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20" w:lineRule="atLeast"/>
        <w:jc w:val="both"/>
        <w:rPr>
          <w:rFonts w:hint="eastAsia"/>
          <w:color w:val="auto"/>
          <w:sz w:val="24"/>
          <w:szCs w:val="24"/>
        </w:rPr>
      </w:pPr>
      <w:bookmarkStart w:id="22" w:name="_GoBack"/>
      <w:bookmarkEnd w:id="22"/>
    </w:p>
    <w:p>
      <w:pPr>
        <w:spacing w:line="220" w:lineRule="atLeast"/>
        <w:rPr>
          <w:rFonts w:hint="eastAsia"/>
          <w:sz w:val="52"/>
          <w:szCs w:val="52"/>
        </w:rPr>
      </w:pPr>
    </w:p>
    <w:p>
      <w:pPr>
        <w:spacing w:line="220" w:lineRule="atLeast"/>
        <w:jc w:val="center"/>
        <w:rPr>
          <w:rFonts w:hint="eastAsia"/>
          <w:b/>
          <w:bCs/>
          <w:color w:val="auto"/>
          <w:sz w:val="48"/>
          <w:szCs w:val="48"/>
        </w:rPr>
      </w:pPr>
      <w:r>
        <w:rPr>
          <w:rFonts w:hint="eastAsia"/>
          <w:b/>
          <w:bCs/>
          <w:color w:val="auto"/>
          <w:sz w:val="48"/>
          <w:szCs w:val="48"/>
          <w:lang w:eastAsia="zh-CN"/>
        </w:rPr>
        <w:t>加油站设施设备改造</w:t>
      </w:r>
      <w:r>
        <w:rPr>
          <w:rFonts w:hint="eastAsia"/>
          <w:b/>
          <w:bCs/>
          <w:color w:val="auto"/>
          <w:sz w:val="48"/>
          <w:szCs w:val="48"/>
        </w:rPr>
        <w:t>项目竣工环境保护</w:t>
      </w:r>
    </w:p>
    <w:p>
      <w:pPr>
        <w:spacing w:line="220" w:lineRule="atLeast"/>
        <w:jc w:val="center"/>
        <w:rPr>
          <w:rFonts w:hint="default" w:eastAsia="宋体"/>
          <w:b/>
          <w:bCs/>
          <w:color w:val="auto"/>
          <w:sz w:val="48"/>
          <w:szCs w:val="48"/>
          <w:lang w:val="en-US" w:eastAsia="zh-CN"/>
        </w:rPr>
      </w:pPr>
      <w:r>
        <w:rPr>
          <w:rFonts w:hint="eastAsia"/>
          <w:b/>
          <w:bCs/>
          <w:color w:val="auto"/>
          <w:sz w:val="48"/>
          <w:szCs w:val="48"/>
        </w:rPr>
        <w:t>验收</w:t>
      </w:r>
      <w:r>
        <w:rPr>
          <w:rFonts w:hint="eastAsia"/>
          <w:b/>
          <w:bCs/>
          <w:color w:val="auto"/>
          <w:sz w:val="48"/>
          <w:szCs w:val="48"/>
          <w:lang w:val="en-US" w:eastAsia="zh-CN"/>
        </w:rPr>
        <w:t>监测报告表</w:t>
      </w:r>
    </w:p>
    <w:p>
      <w:pPr>
        <w:spacing w:line="1200" w:lineRule="exact"/>
        <w:jc w:val="center"/>
        <w:rPr>
          <w:rFonts w:hint="eastAsia" w:ascii="宋体" w:hAnsi="宋体"/>
          <w:b/>
          <w:color w:val="auto"/>
          <w:spacing w:val="80"/>
          <w:sz w:val="64"/>
          <w:szCs w:val="64"/>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sz w:val="28"/>
          <w:szCs w:val="28"/>
        </w:rPr>
      </w:pPr>
    </w:p>
    <w:p>
      <w:pPr>
        <w:rPr>
          <w:rFonts w:hint="eastAsia"/>
          <w:color w:val="auto"/>
          <w:sz w:val="28"/>
          <w:szCs w:val="28"/>
        </w:rPr>
      </w:pPr>
    </w:p>
    <w:tbl>
      <w:tblPr>
        <w:tblStyle w:val="21"/>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3" w:hRule="atLeast"/>
          <w:jc w:val="center"/>
        </w:trPr>
        <w:tc>
          <w:tcPr>
            <w:tcW w:w="2129" w:type="dxa"/>
            <w:tcBorders>
              <w:top w:val="nil"/>
              <w:left w:val="nil"/>
              <w:bottom w:val="nil"/>
              <w:right w:val="nil"/>
            </w:tcBorders>
            <w:vAlign w:val="bottom"/>
          </w:tcPr>
          <w:p>
            <w:pPr>
              <w:jc w:val="center"/>
              <w:rPr>
                <w:rFonts w:hint="eastAsia"/>
                <w:color w:val="auto"/>
                <w:sz w:val="28"/>
                <w:szCs w:val="28"/>
              </w:rPr>
            </w:pPr>
            <w:r>
              <w:rPr>
                <w:rFonts w:hint="eastAsia"/>
                <w:b/>
                <w:bCs/>
                <w:color w:val="auto"/>
                <w:sz w:val="32"/>
                <w:szCs w:val="32"/>
                <w:lang w:eastAsia="zh-CN"/>
              </w:rPr>
              <w:t>建设</w:t>
            </w:r>
            <w:r>
              <w:rPr>
                <w:rFonts w:hint="eastAsia"/>
                <w:b/>
                <w:bCs/>
                <w:color w:val="auto"/>
                <w:sz w:val="32"/>
                <w:szCs w:val="32"/>
              </w:rPr>
              <w:t>单位：</w:t>
            </w:r>
          </w:p>
        </w:tc>
        <w:tc>
          <w:tcPr>
            <w:tcW w:w="5670" w:type="dxa"/>
            <w:tcBorders>
              <w:top w:val="nil"/>
              <w:left w:val="nil"/>
              <w:right w:val="nil"/>
            </w:tcBorders>
            <w:vAlign w:val="bottom"/>
          </w:tcPr>
          <w:p>
            <w:pPr>
              <w:jc w:val="center"/>
              <w:rPr>
                <w:rFonts w:hint="eastAsia"/>
                <w:b/>
                <w:bCs/>
                <w:color w:val="auto"/>
                <w:sz w:val="32"/>
                <w:szCs w:val="32"/>
                <w:lang w:eastAsia="zh-CN"/>
              </w:rPr>
            </w:pPr>
            <w:r>
              <w:rPr>
                <w:rFonts w:hint="eastAsia"/>
                <w:b/>
                <w:bCs/>
                <w:color w:val="auto"/>
                <w:sz w:val="32"/>
                <w:szCs w:val="32"/>
                <w:lang w:eastAsia="zh-CN"/>
              </w:rPr>
              <w:t>彭州市天彭镇农机管理服务站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129" w:type="dxa"/>
            <w:tcBorders>
              <w:top w:val="nil"/>
              <w:left w:val="nil"/>
              <w:bottom w:val="nil"/>
              <w:right w:val="nil"/>
            </w:tcBorders>
            <w:vAlign w:val="bottom"/>
          </w:tcPr>
          <w:p>
            <w:pPr>
              <w:jc w:val="center"/>
              <w:rPr>
                <w:rFonts w:hint="eastAsia"/>
                <w:color w:val="auto"/>
                <w:sz w:val="28"/>
                <w:szCs w:val="28"/>
              </w:rPr>
            </w:pPr>
            <w:r>
              <w:rPr>
                <w:rFonts w:hint="eastAsia"/>
                <w:b/>
                <w:bCs/>
                <w:color w:val="auto"/>
                <w:sz w:val="32"/>
                <w:szCs w:val="32"/>
                <w:lang w:val="en-US" w:eastAsia="zh-CN"/>
              </w:rPr>
              <w:t>编制</w:t>
            </w:r>
            <w:r>
              <w:rPr>
                <w:rFonts w:hint="eastAsia"/>
                <w:b/>
                <w:bCs/>
                <w:color w:val="auto"/>
                <w:sz w:val="32"/>
                <w:szCs w:val="32"/>
              </w:rPr>
              <w:t>单位：</w:t>
            </w:r>
          </w:p>
        </w:tc>
        <w:tc>
          <w:tcPr>
            <w:tcW w:w="5670" w:type="dxa"/>
            <w:tcBorders>
              <w:left w:val="nil"/>
              <w:right w:val="nil"/>
            </w:tcBorders>
            <w:vAlign w:val="bottom"/>
          </w:tcPr>
          <w:p>
            <w:pPr>
              <w:jc w:val="center"/>
              <w:rPr>
                <w:rFonts w:hint="eastAsia"/>
                <w:b/>
                <w:bCs/>
                <w:color w:val="auto"/>
                <w:sz w:val="32"/>
                <w:szCs w:val="32"/>
                <w:lang w:eastAsia="zh-CN"/>
              </w:rPr>
            </w:pPr>
            <w:r>
              <w:rPr>
                <w:rFonts w:hint="eastAsia"/>
                <w:b/>
                <w:bCs/>
                <w:color w:val="auto"/>
                <w:sz w:val="32"/>
                <w:szCs w:val="32"/>
                <w:lang w:eastAsia="zh-CN"/>
              </w:rPr>
              <w:t>四川</w:t>
            </w:r>
            <w:r>
              <w:rPr>
                <w:rFonts w:hint="eastAsia"/>
                <w:b/>
                <w:bCs/>
                <w:color w:val="auto"/>
                <w:sz w:val="32"/>
                <w:szCs w:val="32"/>
                <w:lang w:val="en-US" w:eastAsia="zh-CN"/>
              </w:rPr>
              <w:t>中谦检测</w:t>
            </w:r>
            <w:r>
              <w:rPr>
                <w:rFonts w:hint="default"/>
                <w:b/>
                <w:bCs/>
                <w:color w:val="auto"/>
                <w:sz w:val="32"/>
                <w:szCs w:val="32"/>
                <w:lang w:eastAsia="zh-CN"/>
              </w:rPr>
              <w:t>有限公司</w:t>
            </w:r>
          </w:p>
        </w:tc>
      </w:tr>
    </w:tbl>
    <w:p>
      <w:pPr>
        <w:jc w:val="center"/>
        <w:rPr>
          <w:rFonts w:hint="eastAsia"/>
          <w:color w:val="auto"/>
          <w:sz w:val="28"/>
          <w:szCs w:val="28"/>
        </w:rPr>
      </w:pPr>
    </w:p>
    <w:p>
      <w:pPr>
        <w:jc w:val="center"/>
        <w:rPr>
          <w:rFonts w:hint="eastAsia"/>
          <w:color w:val="auto"/>
          <w:sz w:val="28"/>
          <w:szCs w:val="28"/>
        </w:rPr>
      </w:pPr>
    </w:p>
    <w:p>
      <w:pPr>
        <w:rPr>
          <w:rFonts w:hint="eastAsia"/>
          <w:color w:val="auto"/>
          <w:sz w:val="28"/>
          <w:szCs w:val="28"/>
        </w:rPr>
      </w:pPr>
    </w:p>
    <w:p>
      <w:pPr>
        <w:jc w:val="center"/>
        <w:rPr>
          <w:rFonts w:hint="eastAsia"/>
          <w:color w:val="auto"/>
          <w:sz w:val="28"/>
          <w:szCs w:val="28"/>
        </w:rPr>
      </w:pPr>
    </w:p>
    <w:p>
      <w:pPr>
        <w:spacing w:line="240" w:lineRule="exact"/>
        <w:jc w:val="center"/>
        <w:rPr>
          <w:rFonts w:hint="eastAsia"/>
          <w:color w:val="auto"/>
          <w:sz w:val="28"/>
          <w:szCs w:val="28"/>
        </w:rPr>
      </w:pPr>
    </w:p>
    <w:p>
      <w:pPr>
        <w:spacing w:line="240" w:lineRule="exact"/>
        <w:jc w:val="center"/>
        <w:rPr>
          <w:rFonts w:hint="eastAsia"/>
          <w:color w:val="auto"/>
          <w:sz w:val="28"/>
          <w:szCs w:val="28"/>
        </w:rPr>
      </w:pPr>
    </w:p>
    <w:p>
      <w:pPr>
        <w:spacing w:line="520" w:lineRule="exact"/>
        <w:jc w:val="center"/>
        <w:rPr>
          <w:rFonts w:hAnsi="宋体"/>
          <w:b/>
          <w:color w:val="auto"/>
          <w:spacing w:val="20"/>
          <w:sz w:val="32"/>
          <w:szCs w:val="32"/>
        </w:rPr>
        <w:sectPr>
          <w:headerReference r:id="rId3" w:type="default"/>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docGrid w:linePitch="360" w:charSpace="0"/>
        </w:sectPr>
      </w:pPr>
      <w:r>
        <w:rPr>
          <w:b/>
          <w:color w:val="auto"/>
          <w:spacing w:val="20"/>
          <w:sz w:val="32"/>
          <w:szCs w:val="32"/>
        </w:rPr>
        <w:t>20</w:t>
      </w:r>
      <w:r>
        <w:rPr>
          <w:rFonts w:hint="eastAsia"/>
          <w:b/>
          <w:color w:val="auto"/>
          <w:spacing w:val="20"/>
          <w:sz w:val="32"/>
          <w:szCs w:val="32"/>
          <w:lang w:val="en-US" w:eastAsia="zh-CN"/>
        </w:rPr>
        <w:t>21</w:t>
      </w:r>
      <w:r>
        <w:rPr>
          <w:rFonts w:hAnsi="宋体"/>
          <w:b/>
          <w:color w:val="auto"/>
          <w:spacing w:val="20"/>
          <w:sz w:val="32"/>
          <w:szCs w:val="32"/>
        </w:rPr>
        <w:t>年</w:t>
      </w:r>
      <w:r>
        <w:rPr>
          <w:rFonts w:hint="eastAsia" w:hAnsi="宋体"/>
          <w:b/>
          <w:color w:val="auto"/>
          <w:spacing w:val="20"/>
          <w:sz w:val="32"/>
          <w:szCs w:val="32"/>
          <w:lang w:val="en-US" w:eastAsia="zh-CN"/>
        </w:rPr>
        <w:t>2</w:t>
      </w:r>
      <w:r>
        <w:rPr>
          <w:rFonts w:hAnsi="宋体"/>
          <w:b/>
          <w:color w:val="auto"/>
          <w:spacing w:val="20"/>
          <w:sz w:val="32"/>
          <w:szCs w:val="32"/>
        </w:rPr>
        <w:t>月</w:t>
      </w:r>
    </w:p>
    <w:p>
      <w:pPr>
        <w:pStyle w:val="10"/>
        <w:rPr>
          <w:rFonts w:hint="eastAsia"/>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100" w:line="360" w:lineRule="auto"/>
        <w:textAlignment w:val="auto"/>
        <w:rPr>
          <w:rFonts w:hint="eastAsia"/>
          <w:b/>
          <w:bCs/>
          <w:sz w:val="32"/>
          <w:szCs w:val="32"/>
          <w:lang w:val="en-US" w:eastAsia="zh-CN"/>
        </w:rPr>
      </w:pPr>
      <w:r>
        <w:rPr>
          <w:rFonts w:hint="eastAsia"/>
          <w:b/>
          <w:bCs/>
          <w:sz w:val="32"/>
          <w:szCs w:val="32"/>
          <w:lang w:val="en-US" w:eastAsia="zh-CN"/>
        </w:rPr>
        <w:t>建 设 单 位：彭州市天彭镇农机管理服务站</w:t>
      </w:r>
    </w:p>
    <w:p>
      <w:pPr>
        <w:pStyle w:val="10"/>
        <w:keepNext w:val="0"/>
        <w:keepLines w:val="0"/>
        <w:pageBreakBefore w:val="0"/>
        <w:widowControl/>
        <w:kinsoku/>
        <w:wordWrap/>
        <w:overflowPunct/>
        <w:topLinePunct w:val="0"/>
        <w:autoSpaceDE/>
        <w:autoSpaceDN/>
        <w:bidi w:val="0"/>
        <w:adjustRightInd w:val="0"/>
        <w:snapToGrid w:val="0"/>
        <w:spacing w:after="100" w:line="360" w:lineRule="auto"/>
        <w:textAlignment w:val="auto"/>
        <w:rPr>
          <w:rFonts w:hint="default"/>
          <w:b/>
          <w:bCs/>
          <w:sz w:val="32"/>
          <w:szCs w:val="32"/>
          <w:lang w:val="en-US" w:eastAsia="zh-CN"/>
        </w:rPr>
      </w:pPr>
      <w:r>
        <w:rPr>
          <w:rFonts w:hint="eastAsia"/>
          <w:b/>
          <w:bCs/>
          <w:sz w:val="32"/>
          <w:szCs w:val="32"/>
          <w:lang w:val="en-US" w:eastAsia="zh-CN"/>
        </w:rPr>
        <w:t>法 人 代 表：徐玲君</w:t>
      </w:r>
    </w:p>
    <w:p>
      <w:pPr>
        <w:pStyle w:val="10"/>
        <w:keepNext w:val="0"/>
        <w:keepLines w:val="0"/>
        <w:pageBreakBefore w:val="0"/>
        <w:widowControl/>
        <w:kinsoku/>
        <w:wordWrap/>
        <w:overflowPunct/>
        <w:topLinePunct w:val="0"/>
        <w:autoSpaceDE/>
        <w:autoSpaceDN/>
        <w:bidi w:val="0"/>
        <w:adjustRightInd w:val="0"/>
        <w:snapToGrid w:val="0"/>
        <w:spacing w:after="100" w:line="360" w:lineRule="auto"/>
        <w:textAlignment w:val="auto"/>
        <w:rPr>
          <w:rFonts w:hint="default"/>
          <w:b/>
          <w:bCs/>
          <w:sz w:val="32"/>
          <w:szCs w:val="32"/>
          <w:lang w:val="en-US" w:eastAsia="zh-CN"/>
        </w:rPr>
      </w:pPr>
      <w:r>
        <w:rPr>
          <w:rFonts w:hint="eastAsia"/>
          <w:b/>
          <w:bCs/>
          <w:sz w:val="32"/>
          <w:szCs w:val="32"/>
          <w:lang w:val="en-US" w:eastAsia="zh-CN"/>
        </w:rPr>
        <w:t>编 制 单 位：四川中谦检测有限公司</w:t>
      </w:r>
    </w:p>
    <w:p>
      <w:pPr>
        <w:pStyle w:val="10"/>
        <w:keepNext w:val="0"/>
        <w:keepLines w:val="0"/>
        <w:pageBreakBefore w:val="0"/>
        <w:widowControl/>
        <w:kinsoku/>
        <w:wordWrap/>
        <w:overflowPunct/>
        <w:topLinePunct w:val="0"/>
        <w:autoSpaceDE/>
        <w:autoSpaceDN/>
        <w:bidi w:val="0"/>
        <w:adjustRightInd w:val="0"/>
        <w:snapToGrid w:val="0"/>
        <w:spacing w:after="100" w:line="360" w:lineRule="auto"/>
        <w:textAlignment w:val="auto"/>
        <w:rPr>
          <w:rFonts w:hint="default"/>
          <w:b/>
          <w:bCs/>
          <w:sz w:val="32"/>
          <w:szCs w:val="32"/>
          <w:lang w:val="en-US" w:eastAsia="zh-CN"/>
        </w:rPr>
      </w:pPr>
      <w:r>
        <w:rPr>
          <w:rFonts w:hint="eastAsia"/>
          <w:b/>
          <w:bCs/>
          <w:sz w:val="32"/>
          <w:szCs w:val="32"/>
          <w:lang w:val="en-US" w:eastAsia="zh-CN"/>
        </w:rPr>
        <w:t>法 人 代 表：邓清福</w:t>
      </w:r>
    </w:p>
    <w:p>
      <w:pPr>
        <w:rPr>
          <w:rFonts w:hint="eastAsia"/>
          <w:lang w:val="en-US" w:eastAsia="zh-CN"/>
        </w:rPr>
      </w:pPr>
    </w:p>
    <w:tbl>
      <w:tblPr>
        <w:tblStyle w:val="22"/>
        <w:tblpPr w:leftFromText="180" w:rightFromText="180" w:vertAnchor="text" w:horzAnchor="page" w:tblpX="1303" w:tblpY="7912"/>
        <w:tblOverlap w:val="never"/>
        <w:tblW w:w="100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66"/>
        <w:gridCol w:w="5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86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b/>
                <w:bCs/>
                <w:szCs w:val="24"/>
                <w:lang w:val="en-US" w:eastAsia="zh-CN"/>
              </w:rPr>
            </w:pPr>
            <w:r>
              <w:rPr>
                <w:rFonts w:hint="default" w:ascii="Times New Roman" w:hAnsi="Times New Roman" w:cs="Times New Roman"/>
                <w:b/>
                <w:bCs/>
                <w:szCs w:val="24"/>
              </w:rPr>
              <w:t>建设单位：</w:t>
            </w:r>
            <w:r>
              <w:rPr>
                <w:rFonts w:hint="eastAsia" w:cs="Times New Roman"/>
                <w:b/>
                <w:bCs/>
                <w:szCs w:val="24"/>
                <w:lang w:eastAsia="zh-CN"/>
              </w:rPr>
              <w:t>彭州市天彭镇农机管理服务站</w:t>
            </w:r>
          </w:p>
        </w:tc>
        <w:tc>
          <w:tcPr>
            <w:tcW w:w="519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default" w:ascii="宋体" w:hAnsi="宋体" w:cs="宋体"/>
                <w:b/>
                <w:bCs/>
                <w:szCs w:val="24"/>
              </w:rPr>
            </w:pPr>
            <w:r>
              <w:rPr>
                <w:rFonts w:hint="eastAsia" w:ascii="宋体" w:hAnsi="宋体" w:cs="宋体"/>
                <w:b/>
                <w:bCs/>
                <w:szCs w:val="24"/>
              </w:rPr>
              <w:t>编制单位：四川中谦检测有限公司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86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Cs w:val="24"/>
                <w:lang w:val="en-US" w:eastAsia="zh-CN"/>
              </w:rPr>
            </w:pPr>
            <w:r>
              <w:rPr>
                <w:rFonts w:hint="default" w:ascii="宋体" w:hAnsi="宋体" w:cs="宋体"/>
                <w:b/>
                <w:bCs/>
                <w:szCs w:val="24"/>
              </w:rPr>
              <w:t>联系电话：</w:t>
            </w:r>
            <w:r>
              <w:rPr>
                <w:rFonts w:hint="eastAsia" w:ascii="宋体" w:hAnsi="宋体" w:cs="宋体"/>
                <w:b/>
                <w:bCs/>
                <w:szCs w:val="24"/>
                <w:lang w:eastAsia="zh-CN"/>
              </w:rPr>
              <w:t>岳苗18980904831</w:t>
            </w:r>
          </w:p>
        </w:tc>
        <w:tc>
          <w:tcPr>
            <w:tcW w:w="519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b/>
                <w:bCs/>
                <w:szCs w:val="24"/>
                <w:lang w:val="en-US" w:eastAsia="zh-CN"/>
              </w:rPr>
            </w:pPr>
            <w:r>
              <w:rPr>
                <w:rFonts w:hint="eastAsia" w:ascii="宋体" w:hAnsi="宋体" w:cs="宋体"/>
                <w:b/>
                <w:bCs/>
                <w:szCs w:val="24"/>
              </w:rPr>
              <w:t>联系电话：</w:t>
            </w:r>
            <w:r>
              <w:rPr>
                <w:rFonts w:hint="default" w:ascii="Times New Roman" w:hAnsi="Times New Roman" w:cs="Times New Roman"/>
                <w:b/>
                <w:bCs/>
                <w:szCs w:val="24"/>
              </w:rPr>
              <w:t>028-</w:t>
            </w:r>
            <w:r>
              <w:rPr>
                <w:rFonts w:hint="eastAsia" w:ascii="Times New Roman" w:hAnsi="Times New Roman" w:cs="Times New Roman"/>
                <w:b/>
                <w:bCs/>
                <w:szCs w:val="24"/>
                <w:lang w:val="en-US" w:eastAsia="zh-CN"/>
              </w:rPr>
              <w:t>64290962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486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Cs w:val="24"/>
                <w:lang w:eastAsia="zh-CN"/>
              </w:rPr>
            </w:pPr>
            <w:r>
              <w:rPr>
                <w:rFonts w:hint="default" w:ascii="宋体" w:hAnsi="宋体" w:cs="宋体"/>
                <w:b/>
                <w:bCs/>
                <w:szCs w:val="24"/>
              </w:rPr>
              <w:t>地址：</w:t>
            </w:r>
            <w:r>
              <w:rPr>
                <w:rFonts w:hint="eastAsia" w:ascii="宋体" w:hAnsi="宋体" w:cs="宋体"/>
                <w:b/>
                <w:bCs/>
                <w:szCs w:val="24"/>
                <w:lang w:eastAsia="zh-CN"/>
              </w:rPr>
              <w:t>四川省成都市彭州市天彭镇先锋村十组</w:t>
            </w:r>
          </w:p>
        </w:tc>
        <w:tc>
          <w:tcPr>
            <w:tcW w:w="519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default" w:ascii="宋体" w:hAnsi="宋体" w:cs="宋体"/>
                <w:b/>
                <w:bCs/>
                <w:szCs w:val="24"/>
              </w:rPr>
            </w:pPr>
            <w:r>
              <w:rPr>
                <w:rFonts w:hint="default" w:ascii="Times New Roman" w:hAnsi="Times New Roman" w:cs="Times New Roman"/>
                <w:b/>
                <w:bCs/>
                <w:szCs w:val="24"/>
              </w:rPr>
              <w:t>地</w:t>
            </w:r>
            <w:r>
              <w:rPr>
                <w:rFonts w:hint="default" w:ascii="Times New Roman" w:hAnsi="Times New Roman" w:eastAsia="宋体" w:cs="Times New Roman"/>
                <w:b/>
                <w:bCs/>
                <w:szCs w:val="24"/>
              </w:rPr>
              <w:t>址：</w:t>
            </w:r>
            <w:r>
              <w:rPr>
                <w:rFonts w:hint="default" w:ascii="Times New Roman" w:hAnsi="Times New Roman" w:eastAsia="宋体" w:cs="Times New Roman"/>
                <w:b/>
                <w:bCs/>
                <w:szCs w:val="24"/>
                <w:lang w:val="en-US" w:eastAsia="zh-CN"/>
              </w:rPr>
              <w:t>四川省成都市天府新区新兴街道天工大道916号</w:t>
            </w:r>
          </w:p>
        </w:tc>
      </w:tr>
    </w:tbl>
    <w:p>
      <w:pPr>
        <w:pStyle w:val="10"/>
        <w:rPr>
          <w:rFonts w:hint="default"/>
          <w:lang w:val="en-US" w:eastAsia="zh-CN"/>
        </w:rPr>
        <w:sectPr>
          <w:headerReference r:id="rId5" w:type="default"/>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b/>
          <w:bCs w:val="0"/>
          <w:color w:val="auto"/>
          <w:sz w:val="28"/>
          <w:szCs w:val="28"/>
        </w:rPr>
      </w:pPr>
      <w:r>
        <w:rPr>
          <w:rFonts w:hint="eastAsia"/>
          <w:b/>
          <w:color w:val="auto"/>
          <w:sz w:val="28"/>
          <w:szCs w:val="28"/>
          <w:lang w:eastAsia="zh-CN"/>
        </w:rPr>
        <w:t>表</w:t>
      </w:r>
      <w:r>
        <w:rPr>
          <w:rFonts w:hint="eastAsia"/>
          <w:b/>
          <w:bCs w:val="0"/>
          <w:color w:val="auto"/>
          <w:sz w:val="28"/>
          <w:szCs w:val="28"/>
          <w:lang w:val="en-US" w:eastAsia="zh-CN"/>
        </w:rPr>
        <w:t xml:space="preserve">一 </w:t>
      </w:r>
      <w:r>
        <w:rPr>
          <w:rFonts w:hint="eastAsia"/>
          <w:b/>
          <w:bCs w:val="0"/>
          <w:color w:val="auto"/>
          <w:sz w:val="28"/>
          <w:szCs w:val="28"/>
        </w:rPr>
        <w:t xml:space="preserve">   </w:t>
      </w:r>
      <w:r>
        <w:rPr>
          <w:b/>
          <w:bCs w:val="0"/>
          <w:sz w:val="28"/>
          <w:szCs w:val="28"/>
        </w:rPr>
        <w:t>工程基本概况</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7"/>
        <w:gridCol w:w="1497"/>
        <w:gridCol w:w="38"/>
        <w:gridCol w:w="1535"/>
        <w:gridCol w:w="1630"/>
        <w:gridCol w:w="1576"/>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建设项目名称</w:t>
            </w:r>
          </w:p>
        </w:tc>
        <w:tc>
          <w:tcPr>
            <w:tcW w:w="7754" w:type="dxa"/>
            <w:gridSpan w:val="6"/>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加油站设施设备改造</w:t>
            </w:r>
            <w:r>
              <w:rPr>
                <w:rFonts w:hint="eastAsia" w:ascii="Times New Roman" w:hAnsi="Times New Roman" w:eastAsia="宋体" w:cs="Times New Roman"/>
                <w:b w:val="0"/>
                <w:bCs w:val="0"/>
                <w:color w:val="auto"/>
                <w:sz w:val="21"/>
                <w:szCs w:val="21"/>
                <w:lang w:val="en-US" w:eastAsia="zh-CN" w:bidi="ar-SA"/>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eastAsia" w:cs="Times New Roman"/>
                <w:b w:val="0"/>
                <w:bCs w:val="0"/>
                <w:color w:val="auto"/>
                <w:sz w:val="21"/>
                <w:szCs w:val="21"/>
                <w:lang w:val="en-US" w:eastAsia="zh-CN"/>
              </w:rPr>
            </w:pPr>
            <w:r>
              <w:rPr>
                <w:rFonts w:hint="default" w:cs="Times New Roman"/>
                <w:b w:val="0"/>
                <w:bCs w:val="0"/>
                <w:color w:val="auto"/>
                <w:sz w:val="21"/>
                <w:szCs w:val="21"/>
                <w:lang w:val="en-US" w:eastAsia="zh-CN"/>
              </w:rPr>
              <w:t>建设单位</w:t>
            </w:r>
            <w:r>
              <w:rPr>
                <w:rFonts w:hint="eastAsia" w:cs="Times New Roman"/>
                <w:b w:val="0"/>
                <w:bCs w:val="0"/>
                <w:color w:val="auto"/>
                <w:sz w:val="21"/>
                <w:szCs w:val="21"/>
                <w:lang w:val="en-US" w:eastAsia="zh-CN"/>
              </w:rPr>
              <w:t>名称</w:t>
            </w:r>
          </w:p>
        </w:tc>
        <w:tc>
          <w:tcPr>
            <w:tcW w:w="7754" w:type="dxa"/>
            <w:gridSpan w:val="6"/>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彭州市天彭镇农机管理服务站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建设项目性质</w:t>
            </w:r>
          </w:p>
        </w:tc>
        <w:tc>
          <w:tcPr>
            <w:tcW w:w="1497" w:type="dxa"/>
            <w:tcBorders>
              <w:right w:val="nil"/>
            </w:tcBorders>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firstLine="0" w:firstLine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新建</w:t>
            </w:r>
            <w:r>
              <w:rPr>
                <w:rFonts w:hint="eastAsia" w:cs="Times New Roman"/>
                <w:b w:val="0"/>
                <w:bCs w:val="0"/>
                <w:color w:val="auto"/>
                <w:sz w:val="21"/>
                <w:szCs w:val="21"/>
                <w:lang w:val="en-US" w:eastAsia="zh-CN" w:bidi="ar-SA"/>
              </w:rPr>
              <w:t>□</w:t>
            </w:r>
          </w:p>
        </w:tc>
        <w:tc>
          <w:tcPr>
            <w:tcW w:w="1573" w:type="dxa"/>
            <w:gridSpan w:val="2"/>
            <w:tcBorders>
              <w:left w:val="nil"/>
              <w:right w:val="nil"/>
            </w:tcBorders>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扩建</w:t>
            </w:r>
            <w:r>
              <w:rPr>
                <w:rFonts w:hint="eastAsia" w:cs="Times New Roman"/>
                <w:b w:val="0"/>
                <w:bCs w:val="0"/>
                <w:color w:val="auto"/>
                <w:sz w:val="21"/>
                <w:szCs w:val="21"/>
                <w:lang w:val="en-US" w:eastAsia="zh-CN" w:bidi="ar-SA"/>
              </w:rPr>
              <w:t>□</w:t>
            </w:r>
          </w:p>
        </w:tc>
        <w:tc>
          <w:tcPr>
            <w:tcW w:w="1630" w:type="dxa"/>
            <w:tcBorders>
              <w:left w:val="nil"/>
              <w:right w:val="nil"/>
            </w:tcBorders>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改扩建</w:t>
            </w:r>
            <w:r>
              <w:rPr>
                <w:rFonts w:hint="eastAsia" w:cs="Times New Roman"/>
                <w:b w:val="0"/>
                <w:bCs w:val="0"/>
                <w:color w:val="auto"/>
                <w:sz w:val="21"/>
                <w:szCs w:val="21"/>
                <w:lang w:val="en-US" w:eastAsia="zh-CN" w:bidi="ar-SA"/>
              </w:rPr>
              <w:t>☑</w:t>
            </w:r>
          </w:p>
        </w:tc>
        <w:tc>
          <w:tcPr>
            <w:tcW w:w="3054" w:type="dxa"/>
            <w:gridSpan w:val="2"/>
            <w:tcBorders>
              <w:left w:val="nil"/>
            </w:tcBorders>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技改迁建</w:t>
            </w:r>
            <w:r>
              <w:rPr>
                <w:rFonts w:hint="eastAsia" w:cs="Times New Roman"/>
                <w:b w:val="0"/>
                <w:bCs w:val="0"/>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建设地点</w:t>
            </w:r>
          </w:p>
        </w:tc>
        <w:tc>
          <w:tcPr>
            <w:tcW w:w="7754" w:type="dxa"/>
            <w:gridSpan w:val="6"/>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四川省成都市彭州市天彭镇先锋村十组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主要产品名称</w:t>
            </w:r>
          </w:p>
        </w:tc>
        <w:tc>
          <w:tcPr>
            <w:tcW w:w="7754" w:type="dxa"/>
            <w:gridSpan w:val="6"/>
            <w:vAlign w:val="center"/>
          </w:tcPr>
          <w:p>
            <w:pPr>
              <w:keepNext w:val="0"/>
              <w:keepLines w:val="0"/>
              <w:pageBreakBefore w:val="0"/>
              <w:widowControl/>
              <w:kinsoku/>
              <w:wordWrap/>
              <w:overflowPunct/>
              <w:topLinePunct w:val="0"/>
              <w:autoSpaceDE/>
              <w:autoSpaceDN/>
              <w:bidi w:val="0"/>
              <w:adjustRightInd/>
              <w:snapToGrid/>
              <w:spacing w:beforeAutospacing="0" w:after="0" w:line="240" w:lineRule="atLeas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设计生产能力</w:t>
            </w:r>
          </w:p>
        </w:tc>
        <w:tc>
          <w:tcPr>
            <w:tcW w:w="7754" w:type="dxa"/>
            <w:gridSpan w:val="6"/>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1825t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a加油能力</w:t>
            </w:r>
            <w:r>
              <w:rPr>
                <w:rFonts w:hint="default" w:ascii="Times New Roman" w:hAnsi="Times New Roman" w:eastAsia="宋体" w:cs="Times New Roman"/>
                <w:b w:val="0"/>
                <w:bCs w:val="0"/>
                <w:color w:val="auto"/>
                <w:sz w:val="21"/>
                <w:szCs w:val="21"/>
                <w:lang w:val="en-US" w:eastAsia="zh-CN" w:bidi="ar-SA"/>
              </w:rPr>
              <w:t>（其中汽油</w:t>
            </w:r>
            <w:r>
              <w:rPr>
                <w:rFonts w:hint="eastAsia" w:cs="Times New Roman"/>
                <w:b w:val="0"/>
                <w:bCs w:val="0"/>
                <w:color w:val="auto"/>
                <w:sz w:val="21"/>
                <w:szCs w:val="21"/>
                <w:lang w:val="en-US" w:eastAsia="zh-CN" w:bidi="ar-SA"/>
              </w:rPr>
              <w:t>1460t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w:t>
            </w:r>
            <w:r>
              <w:rPr>
                <w:rFonts w:hint="default" w:ascii="Times New Roman" w:hAnsi="Times New Roman" w:eastAsia="宋体" w:cs="Times New Roman"/>
                <w:b w:val="0"/>
                <w:bCs w:val="0"/>
                <w:color w:val="auto"/>
                <w:sz w:val="21"/>
                <w:szCs w:val="21"/>
                <w:lang w:val="en-US" w:eastAsia="zh-CN" w:bidi="ar-SA"/>
              </w:rPr>
              <w:t>、柴油</w:t>
            </w:r>
            <w:r>
              <w:rPr>
                <w:rFonts w:hint="eastAsia" w:cs="Times New Roman"/>
                <w:b w:val="0"/>
                <w:bCs w:val="0"/>
                <w:color w:val="auto"/>
                <w:sz w:val="21"/>
                <w:szCs w:val="21"/>
                <w:lang w:val="en-US" w:eastAsia="zh-CN" w:bidi="ar-SA"/>
              </w:rPr>
              <w:t>365t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w:t>
            </w:r>
            <w:r>
              <w:rPr>
                <w:rFonts w:hint="default" w:ascii="Times New Roman" w:hAnsi="Times New Roman" w:eastAsia="宋体" w:cs="Times New Roman"/>
                <w:b w:val="0"/>
                <w:bCs w:val="0"/>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实际生产能力</w:t>
            </w:r>
          </w:p>
        </w:tc>
        <w:tc>
          <w:tcPr>
            <w:tcW w:w="7754" w:type="dxa"/>
            <w:gridSpan w:val="6"/>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1825t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a加油能力</w:t>
            </w:r>
            <w:r>
              <w:rPr>
                <w:rFonts w:hint="default" w:ascii="Times New Roman" w:hAnsi="Times New Roman" w:eastAsia="宋体" w:cs="Times New Roman"/>
                <w:b w:val="0"/>
                <w:bCs w:val="0"/>
                <w:color w:val="auto"/>
                <w:sz w:val="21"/>
                <w:szCs w:val="21"/>
                <w:lang w:val="en-US" w:eastAsia="zh-CN" w:bidi="ar-SA"/>
              </w:rPr>
              <w:t>（其中汽油</w:t>
            </w:r>
            <w:r>
              <w:rPr>
                <w:rFonts w:hint="eastAsia" w:cs="Times New Roman"/>
                <w:b w:val="0"/>
                <w:bCs w:val="0"/>
                <w:color w:val="auto"/>
                <w:sz w:val="21"/>
                <w:szCs w:val="21"/>
                <w:lang w:val="en-US" w:eastAsia="zh-CN" w:bidi="ar-SA"/>
              </w:rPr>
              <w:t>1460t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w:t>
            </w:r>
            <w:r>
              <w:rPr>
                <w:rFonts w:hint="default" w:ascii="Times New Roman" w:hAnsi="Times New Roman" w:eastAsia="宋体" w:cs="Times New Roman"/>
                <w:b w:val="0"/>
                <w:bCs w:val="0"/>
                <w:color w:val="auto"/>
                <w:sz w:val="21"/>
                <w:szCs w:val="21"/>
                <w:lang w:val="en-US" w:eastAsia="zh-CN" w:bidi="ar-SA"/>
              </w:rPr>
              <w:t>、柴油</w:t>
            </w:r>
            <w:r>
              <w:rPr>
                <w:rFonts w:hint="eastAsia" w:cs="Times New Roman"/>
                <w:b w:val="0"/>
                <w:bCs w:val="0"/>
                <w:color w:val="auto"/>
                <w:sz w:val="21"/>
                <w:szCs w:val="21"/>
                <w:lang w:val="en-US" w:eastAsia="zh-CN" w:bidi="ar-SA"/>
              </w:rPr>
              <w:t>365t</w:t>
            </w:r>
            <w:r>
              <w:rPr>
                <w:rFonts w:hint="default" w:ascii="Times New Roman" w:hAnsi="Times New Roman" w:eastAsia="宋体" w:cs="Times New Roman"/>
                <w:b w:val="0"/>
                <w:bCs w:val="0"/>
                <w:color w:val="auto"/>
                <w:sz w:val="21"/>
                <w:szCs w:val="21"/>
                <w:lang w:val="en-US" w:eastAsia="zh-CN" w:bidi="ar-SA"/>
              </w:rPr>
              <w:t>/</w:t>
            </w:r>
            <w:r>
              <w:rPr>
                <w:rFonts w:hint="eastAsia" w:cs="Times New Roman"/>
                <w:b w:val="0"/>
                <w:bCs w:val="0"/>
                <w:color w:val="auto"/>
                <w:sz w:val="21"/>
                <w:szCs w:val="21"/>
                <w:lang w:val="en-US" w:eastAsia="zh-CN" w:bidi="ar-SA"/>
              </w:rPr>
              <w:t>a</w:t>
            </w:r>
            <w:r>
              <w:rPr>
                <w:rFonts w:hint="default" w:ascii="Times New Roman" w:hAnsi="Times New Roman" w:eastAsia="宋体" w:cs="Times New Roman"/>
                <w:b w:val="0"/>
                <w:bCs w:val="0"/>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项目环评时间</w:t>
            </w:r>
          </w:p>
        </w:tc>
        <w:tc>
          <w:tcPr>
            <w:tcW w:w="3070" w:type="dxa"/>
            <w:gridSpan w:val="3"/>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eastAsia" w:eastAsia="宋体"/>
                <w:sz w:val="21"/>
                <w:szCs w:val="21"/>
                <w:lang w:val="en-US" w:eastAsia="zh-CN"/>
              </w:rPr>
              <w:t>2020</w:t>
            </w:r>
            <w:r>
              <w:rPr>
                <w:rFonts w:hint="default"/>
                <w:sz w:val="21"/>
                <w:szCs w:val="21"/>
              </w:rPr>
              <w:t>年</w:t>
            </w:r>
            <w:r>
              <w:rPr>
                <w:rFonts w:hint="eastAsia" w:eastAsia="宋体"/>
                <w:sz w:val="21"/>
                <w:szCs w:val="21"/>
                <w:lang w:val="en-US" w:eastAsia="zh-CN"/>
              </w:rPr>
              <w:t>4</w:t>
            </w:r>
            <w:r>
              <w:rPr>
                <w:rFonts w:hint="default" w:ascii="Times New Roman" w:eastAsia="Times New Roman"/>
                <w:sz w:val="21"/>
                <w:szCs w:val="21"/>
              </w:rPr>
              <w:t xml:space="preserve"> </w:t>
            </w:r>
            <w:r>
              <w:rPr>
                <w:rFonts w:hint="default"/>
                <w:sz w:val="21"/>
                <w:szCs w:val="21"/>
              </w:rPr>
              <w:t>月</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开工日期</w:t>
            </w:r>
          </w:p>
        </w:tc>
        <w:tc>
          <w:tcPr>
            <w:tcW w:w="3054" w:type="dxa"/>
            <w:gridSpan w:val="2"/>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firstLine="0" w:firstLineChars="0"/>
              <w:jc w:val="center"/>
              <w:textAlignment w:val="auto"/>
              <w:rPr>
                <w:rFonts w:hint="default" w:ascii="Times New Roman" w:hAnsi="Times New Roman" w:eastAsia="宋体" w:cstheme="minorBidi"/>
                <w:sz w:val="21"/>
                <w:szCs w:val="21"/>
                <w:lang w:val="en-US" w:eastAsia="zh-CN" w:bidi="ar-SA"/>
              </w:rPr>
            </w:pPr>
            <w:r>
              <w:rPr>
                <w:rFonts w:hint="default" w:ascii="Times New Roman" w:eastAsia="Times New Roman"/>
                <w:color w:val="auto"/>
                <w:sz w:val="21"/>
                <w:szCs w:val="21"/>
              </w:rPr>
              <w:t>20</w:t>
            </w:r>
            <w:r>
              <w:rPr>
                <w:rFonts w:hint="eastAsia" w:eastAsia="宋体"/>
                <w:color w:val="auto"/>
                <w:sz w:val="21"/>
                <w:szCs w:val="21"/>
                <w:lang w:val="en-US" w:eastAsia="zh-CN"/>
              </w:rPr>
              <w:t>1</w:t>
            </w:r>
            <w:r>
              <w:rPr>
                <w:rFonts w:hint="eastAsia"/>
                <w:color w:val="auto"/>
                <w:sz w:val="21"/>
                <w:szCs w:val="21"/>
                <w:lang w:val="en-US" w:eastAsia="zh-CN"/>
              </w:rPr>
              <w:t>7</w:t>
            </w:r>
            <w:r>
              <w:rPr>
                <w:rFonts w:hint="default"/>
                <w:color w:val="auto"/>
                <w:sz w:val="21"/>
                <w:szCs w:val="21"/>
              </w:rPr>
              <w:t>年</w:t>
            </w:r>
            <w:r>
              <w:rPr>
                <w:rFonts w:hint="eastAsia"/>
                <w:color w:val="auto"/>
                <w:sz w:val="21"/>
                <w:szCs w:val="21"/>
                <w:lang w:val="en-US" w:eastAsia="zh-CN"/>
              </w:rPr>
              <w:t>1</w:t>
            </w:r>
            <w:r>
              <w:rPr>
                <w:rFonts w:hint="default"/>
                <w:color w:val="auto"/>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投入生产时间</w:t>
            </w:r>
          </w:p>
        </w:tc>
        <w:tc>
          <w:tcPr>
            <w:tcW w:w="3070" w:type="dxa"/>
            <w:gridSpan w:val="3"/>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color w:val="auto"/>
                <w:sz w:val="21"/>
                <w:szCs w:val="21"/>
                <w:lang w:val="en-US" w:eastAsia="zh-CN"/>
              </w:rPr>
              <w:t>201</w:t>
            </w:r>
            <w:r>
              <w:rPr>
                <w:rFonts w:hint="eastAsia"/>
                <w:color w:val="auto"/>
                <w:sz w:val="21"/>
                <w:szCs w:val="21"/>
                <w:lang w:val="en-US" w:eastAsia="zh-CN"/>
              </w:rPr>
              <w:t>7</w:t>
            </w:r>
            <w:r>
              <w:rPr>
                <w:rFonts w:hint="default"/>
                <w:color w:val="auto"/>
                <w:sz w:val="21"/>
                <w:szCs w:val="21"/>
              </w:rPr>
              <w:t>年</w:t>
            </w:r>
            <w:r>
              <w:rPr>
                <w:rFonts w:hint="eastAsia"/>
                <w:color w:val="auto"/>
                <w:sz w:val="21"/>
                <w:szCs w:val="21"/>
                <w:lang w:val="en-US" w:eastAsia="zh-CN"/>
              </w:rPr>
              <w:t>9</w:t>
            </w:r>
            <w:r>
              <w:rPr>
                <w:rFonts w:hint="default"/>
                <w:color w:val="auto"/>
                <w:sz w:val="21"/>
                <w:szCs w:val="21"/>
              </w:rPr>
              <w:t>月</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现场监测时间</w:t>
            </w:r>
          </w:p>
        </w:tc>
        <w:tc>
          <w:tcPr>
            <w:tcW w:w="3054" w:type="dxa"/>
            <w:gridSpan w:val="2"/>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default" w:eastAsia="宋体"/>
                <w:sz w:val="21"/>
                <w:szCs w:val="21"/>
                <w:lang w:val="en-US" w:eastAsia="zh-CN"/>
              </w:rPr>
            </w:pPr>
            <w:r>
              <w:rPr>
                <w:rFonts w:hint="default" w:eastAsia="宋体"/>
                <w:sz w:val="21"/>
                <w:szCs w:val="21"/>
                <w:lang w:val="en-US" w:eastAsia="zh-CN"/>
              </w:rPr>
              <w:t>2020 年</w:t>
            </w:r>
            <w:r>
              <w:rPr>
                <w:rFonts w:hint="eastAsia" w:eastAsia="宋体"/>
                <w:sz w:val="21"/>
                <w:szCs w:val="21"/>
                <w:lang w:val="en-US" w:eastAsia="zh-CN"/>
              </w:rPr>
              <w:t>11</w:t>
            </w:r>
            <w:r>
              <w:rPr>
                <w:rFonts w:hint="default" w:eastAsia="宋体"/>
                <w:sz w:val="21"/>
                <w:szCs w:val="21"/>
                <w:lang w:val="en-US" w:eastAsia="zh-CN"/>
              </w:rPr>
              <w:t>月</w:t>
            </w:r>
            <w:r>
              <w:rPr>
                <w:rFonts w:hint="eastAsia" w:eastAsia="宋体"/>
                <w:sz w:val="21"/>
                <w:szCs w:val="21"/>
                <w:lang w:val="en-US" w:eastAsia="zh-CN"/>
              </w:rPr>
              <w:t>30</w:t>
            </w:r>
            <w:r>
              <w:rPr>
                <w:rFonts w:hint="default" w:eastAsia="宋体"/>
                <w:sz w:val="21"/>
                <w:szCs w:val="21"/>
                <w:lang w:val="en-US" w:eastAsia="zh-CN"/>
              </w:rPr>
              <w:t>日</w:t>
            </w:r>
            <w:r>
              <w:rPr>
                <w:rFonts w:hint="eastAsia" w:eastAsia="宋体"/>
                <w:sz w:val="21"/>
                <w:szCs w:val="21"/>
                <w:lang w:val="en-US" w:eastAsia="zh-CN"/>
              </w:rPr>
              <w:t>-12月1日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环评表审批部门</w:t>
            </w:r>
          </w:p>
        </w:tc>
        <w:tc>
          <w:tcPr>
            <w:tcW w:w="307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tLeast"/>
              <w:ind w:left="0" w:right="0" w:firstLine="0" w:firstLineChars="0"/>
              <w:jc w:val="center"/>
              <w:textAlignment w:val="auto"/>
              <w:rPr>
                <w:rFonts w:hint="default" w:ascii="Times New Roman" w:hAnsi="Times New Roman" w:eastAsia="宋体" w:cstheme="minorBidi"/>
                <w:color w:val="auto"/>
                <w:sz w:val="21"/>
                <w:szCs w:val="21"/>
                <w:lang w:val="en-US" w:eastAsia="zh-CN" w:bidi="ar-SA"/>
              </w:rPr>
            </w:pPr>
            <w:r>
              <w:rPr>
                <w:rFonts w:hint="default" w:ascii="Times New Roman" w:hAnsi="Times New Roman" w:eastAsia="宋体" w:cstheme="minorBidi"/>
                <w:color w:val="auto"/>
                <w:sz w:val="21"/>
                <w:szCs w:val="21"/>
                <w:lang w:val="en-US" w:eastAsia="zh-CN" w:bidi="ar-SA"/>
              </w:rPr>
              <w:t>成都市彭州生态环境局</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default"/>
                <w:sz w:val="21"/>
                <w:szCs w:val="21"/>
              </w:rPr>
              <w:t>环评报告表编制单位</w:t>
            </w:r>
          </w:p>
        </w:tc>
        <w:tc>
          <w:tcPr>
            <w:tcW w:w="3054" w:type="dxa"/>
            <w:gridSpan w:val="2"/>
            <w:vAlign w:val="center"/>
          </w:tcPr>
          <w:p>
            <w:pPr>
              <w:pStyle w:val="31"/>
              <w:keepNext w:val="0"/>
              <w:keepLines w:val="0"/>
              <w:pageBreakBefore w:val="0"/>
              <w:widowControl/>
              <w:suppressLineNumbers w:val="0"/>
              <w:kinsoku/>
              <w:wordWrap/>
              <w:overflowPunct/>
              <w:topLinePunct w:val="0"/>
              <w:autoSpaceDE/>
              <w:autoSpaceDN/>
              <w:bidi w:val="0"/>
              <w:snapToGrid/>
              <w:spacing w:beforeLines="0" w:beforeAutospacing="0" w:after="0" w:afterLines="0" w:afterAutospacing="0" w:line="240" w:lineRule="atLeast"/>
              <w:ind w:left="0" w:leftChars="0" w:right="0" w:rightChars="0"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重庆市江津区成硕环保工程有限公司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firstLine="0" w:firstLineChars="0"/>
              <w:jc w:val="center"/>
              <w:textAlignment w:val="auto"/>
              <w:rPr>
                <w:rFonts w:hint="eastAsia" w:ascii="Times New Roman" w:hAnsi="Times New Roman" w:cs="Times New Roman"/>
                <w:b w:val="0"/>
                <w:bCs w:val="0"/>
                <w:color w:val="auto"/>
                <w:sz w:val="21"/>
                <w:szCs w:val="21"/>
                <w:lang w:eastAsia="zh-CN"/>
              </w:rPr>
            </w:pPr>
            <w:r>
              <w:rPr>
                <w:rFonts w:hint="default"/>
                <w:sz w:val="21"/>
                <w:szCs w:val="21"/>
              </w:rPr>
              <w:t>环保设施设计单位</w:t>
            </w:r>
          </w:p>
        </w:tc>
        <w:tc>
          <w:tcPr>
            <w:tcW w:w="3070" w:type="dxa"/>
            <w:gridSpan w:val="3"/>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sz w:val="21"/>
                <w:szCs w:val="21"/>
              </w:rPr>
              <w:t>/</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sz w:val="21"/>
                <w:szCs w:val="21"/>
              </w:rPr>
              <w:t>环保设施施工单位</w:t>
            </w:r>
          </w:p>
        </w:tc>
        <w:tc>
          <w:tcPr>
            <w:tcW w:w="3054" w:type="dxa"/>
            <w:gridSpan w:val="2"/>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投资总概算</w:t>
            </w:r>
          </w:p>
        </w:tc>
        <w:tc>
          <w:tcPr>
            <w:tcW w:w="1535" w:type="dxa"/>
            <w:gridSpan w:val="2"/>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eastAsia"/>
                <w:sz w:val="21"/>
                <w:szCs w:val="21"/>
                <w:lang w:val="en-US" w:eastAsia="zh-CN"/>
              </w:rPr>
              <w:t>150</w:t>
            </w:r>
            <w:r>
              <w:rPr>
                <w:rFonts w:hint="default"/>
                <w:sz w:val="21"/>
                <w:szCs w:val="21"/>
              </w:rPr>
              <w:t>万元</w:t>
            </w:r>
          </w:p>
        </w:tc>
        <w:tc>
          <w:tcPr>
            <w:tcW w:w="1535"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环保投资总概算</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firstLine="0" w:firstLineChars="0"/>
              <w:jc w:val="center"/>
              <w:textAlignment w:val="auto"/>
              <w:rPr>
                <w:rFonts w:hint="default" w:ascii="Times New Roman" w:hAnsi="Times New Roman" w:eastAsia="宋体" w:cstheme="minorBidi"/>
                <w:sz w:val="21"/>
                <w:szCs w:val="21"/>
                <w:lang w:val="en-US" w:eastAsia="zh-CN" w:bidi="ar-SA"/>
              </w:rPr>
            </w:pPr>
            <w:r>
              <w:rPr>
                <w:rFonts w:hint="eastAsia"/>
                <w:sz w:val="21"/>
                <w:szCs w:val="21"/>
                <w:lang w:val="en-US" w:eastAsia="zh-CN"/>
              </w:rPr>
              <w:t>20.6</w:t>
            </w:r>
            <w:r>
              <w:rPr>
                <w:rFonts w:hint="default"/>
                <w:sz w:val="21"/>
                <w:szCs w:val="21"/>
              </w:rPr>
              <w:t>万元</w:t>
            </w:r>
          </w:p>
        </w:tc>
        <w:tc>
          <w:tcPr>
            <w:tcW w:w="1576"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比例</w:t>
            </w:r>
          </w:p>
        </w:tc>
        <w:tc>
          <w:tcPr>
            <w:tcW w:w="1478"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firstLine="0" w:firstLineChars="0"/>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13.7</w:t>
            </w:r>
            <w:r>
              <w:rPr>
                <w:rFonts w:hint="default"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实际总投资</w:t>
            </w:r>
          </w:p>
        </w:tc>
        <w:tc>
          <w:tcPr>
            <w:tcW w:w="1535" w:type="dxa"/>
            <w:gridSpan w:val="2"/>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eastAsia"/>
                <w:sz w:val="21"/>
                <w:szCs w:val="21"/>
                <w:lang w:val="en-US" w:eastAsia="zh-CN"/>
              </w:rPr>
              <w:t>150</w:t>
            </w:r>
            <w:r>
              <w:rPr>
                <w:rFonts w:hint="default"/>
                <w:sz w:val="21"/>
                <w:szCs w:val="21"/>
              </w:rPr>
              <w:t>万元</w:t>
            </w:r>
          </w:p>
        </w:tc>
        <w:tc>
          <w:tcPr>
            <w:tcW w:w="1535"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实际环保投资</w:t>
            </w:r>
          </w:p>
        </w:tc>
        <w:tc>
          <w:tcPr>
            <w:tcW w:w="1630"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eastAsia"/>
                <w:sz w:val="21"/>
                <w:szCs w:val="21"/>
                <w:lang w:val="en-US" w:eastAsia="zh-CN"/>
              </w:rPr>
              <w:t>20.6</w:t>
            </w:r>
            <w:r>
              <w:rPr>
                <w:rFonts w:hint="default"/>
                <w:sz w:val="21"/>
                <w:szCs w:val="21"/>
              </w:rPr>
              <w:t>万元</w:t>
            </w:r>
          </w:p>
        </w:tc>
        <w:tc>
          <w:tcPr>
            <w:tcW w:w="1576"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heme="minorBidi"/>
                <w:sz w:val="21"/>
                <w:szCs w:val="21"/>
                <w:lang w:val="en-US" w:eastAsia="zh-CN" w:bidi="ar-SA"/>
              </w:rPr>
            </w:pPr>
            <w:r>
              <w:rPr>
                <w:rFonts w:hint="default"/>
                <w:sz w:val="21"/>
                <w:szCs w:val="21"/>
              </w:rPr>
              <w:t>比例</w:t>
            </w:r>
          </w:p>
        </w:tc>
        <w:tc>
          <w:tcPr>
            <w:tcW w:w="1478" w:type="dxa"/>
            <w:vAlign w:val="center"/>
          </w:tcPr>
          <w:p>
            <w:pPr>
              <w:pStyle w:val="31"/>
              <w:keepNext w:val="0"/>
              <w:keepLines w:val="0"/>
              <w:pageBreakBefore w:val="0"/>
              <w:widowControl/>
              <w:suppressLineNumbers w:val="0"/>
              <w:kinsoku/>
              <w:wordWrap/>
              <w:overflowPunct/>
              <w:topLinePunct w:val="0"/>
              <w:autoSpaceDE/>
              <w:autoSpaceDN/>
              <w:bidi w:val="0"/>
              <w:adjustRightInd w:val="0"/>
              <w:snapToGrid/>
              <w:spacing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13.7</w:t>
            </w:r>
            <w:r>
              <w:rPr>
                <w:rFonts w:hint="default"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tcBorders>
              <w:bottom w:val="single" w:color="000000" w:sz="4" w:space="0"/>
            </w:tcBorders>
            <w:vAlign w:val="center"/>
          </w:tcPr>
          <w:p>
            <w:pPr>
              <w:keepNext w:val="0"/>
              <w:keepLines w:val="0"/>
              <w:pageBreakBefore w:val="0"/>
              <w:widowControl/>
              <w:kinsoku/>
              <w:wordWrap/>
              <w:overflowPunct/>
              <w:topLinePunct w:val="0"/>
              <w:autoSpaceDE/>
              <w:autoSpaceDN/>
              <w:bidi w:val="0"/>
              <w:snapToGrid/>
              <w:spacing w:beforeAutospacing="0" w:after="0" w:line="240" w:lineRule="atLeast"/>
              <w:ind w:left="120" w:leftChars="50" w:right="0" w:rightChars="0" w:firstLine="0" w:firstLineChars="0"/>
              <w:jc w:val="center"/>
              <w:textAlignment w:val="auto"/>
              <w:rPr>
                <w:rFonts w:hint="default" w:ascii="Times New Roman" w:hAnsi="Times New Roman" w:eastAsia="宋体" w:cs="Times New Roman"/>
                <w:b w:val="0"/>
                <w:bCs w:val="0"/>
                <w:color w:val="auto"/>
                <w:sz w:val="24"/>
                <w:szCs w:val="24"/>
              </w:rPr>
            </w:pPr>
            <w:r>
              <w:rPr>
                <w:rFonts w:hint="default"/>
                <w:sz w:val="24"/>
              </w:rPr>
              <w:t>验收监测依据</w:t>
            </w:r>
          </w:p>
        </w:tc>
        <w:tc>
          <w:tcPr>
            <w:tcW w:w="7754" w:type="dxa"/>
            <w:gridSpan w:val="6"/>
            <w:tcBorders>
              <w:bottom w:val="single" w:color="000000" w:sz="4" w:space="0"/>
            </w:tcBorders>
            <w:vAlign w:val="center"/>
          </w:tcPr>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《中华人民共和国环境保护法》</w:t>
            </w:r>
            <w:r>
              <w:rPr>
                <w:rFonts w:hint="default"/>
                <w:lang w:val="en-US" w:eastAsia="zh-CN"/>
              </w:rPr>
              <w:t>(2014</w:t>
            </w:r>
            <w:r>
              <w:rPr>
                <w:rFonts w:hint="eastAsia"/>
                <w:lang w:val="en-US" w:eastAsia="zh-CN"/>
              </w:rPr>
              <w:t>年修订</w:t>
            </w:r>
            <w:r>
              <w:rPr>
                <w:rFonts w:hint="default"/>
                <w:lang w:val="en-US" w:eastAsia="zh-CN"/>
              </w:rPr>
              <w:t>)</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《中华人民共和国大气污染防治法》</w:t>
            </w:r>
            <w:r>
              <w:rPr>
                <w:rFonts w:hint="default"/>
                <w:lang w:val="en-US" w:eastAsia="zh-CN"/>
              </w:rPr>
              <w:t>(2018</w:t>
            </w:r>
            <w:r>
              <w:rPr>
                <w:rFonts w:hint="eastAsia"/>
                <w:lang w:val="en-US" w:eastAsia="zh-CN"/>
              </w:rPr>
              <w:t>年修订</w:t>
            </w:r>
            <w:r>
              <w:rPr>
                <w:rFonts w:hint="default"/>
                <w:lang w:val="en-US" w:eastAsia="zh-CN"/>
              </w:rPr>
              <w:t>)</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《中华人民共和国水污染防治法》</w:t>
            </w:r>
            <w:r>
              <w:rPr>
                <w:rFonts w:hint="default"/>
                <w:lang w:val="en-US" w:eastAsia="zh-CN"/>
              </w:rPr>
              <w:t>(2017</w:t>
            </w:r>
            <w:r>
              <w:rPr>
                <w:rFonts w:hint="eastAsia"/>
                <w:lang w:val="en-US" w:eastAsia="zh-CN"/>
              </w:rPr>
              <w:t>年修订</w:t>
            </w:r>
            <w:r>
              <w:rPr>
                <w:rFonts w:hint="default"/>
                <w:lang w:val="en-US" w:eastAsia="zh-CN"/>
              </w:rPr>
              <w:t>)</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《中华人民共和国环境噪声污染防治法》</w:t>
            </w:r>
            <w:r>
              <w:rPr>
                <w:rFonts w:hint="default"/>
                <w:lang w:val="en-US" w:eastAsia="zh-CN"/>
              </w:rPr>
              <w:t>(2018</w:t>
            </w:r>
            <w:r>
              <w:rPr>
                <w:rFonts w:hint="eastAsia"/>
                <w:lang w:val="en-US" w:eastAsia="zh-CN"/>
              </w:rPr>
              <w:t>年修订</w:t>
            </w:r>
            <w:r>
              <w:rPr>
                <w:rFonts w:hint="default"/>
                <w:lang w:val="en-US" w:eastAsia="zh-CN"/>
              </w:rPr>
              <w:t>)</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《中华人民共和国固体废物污染环境防治法》</w:t>
            </w:r>
            <w:r>
              <w:rPr>
                <w:rFonts w:hint="default"/>
                <w:lang w:val="en-US" w:eastAsia="zh-CN"/>
              </w:rPr>
              <w:t>(2016</w:t>
            </w:r>
            <w:r>
              <w:rPr>
                <w:rFonts w:hint="eastAsia"/>
                <w:lang w:val="en-US" w:eastAsia="zh-CN"/>
              </w:rPr>
              <w:t>年修订</w:t>
            </w:r>
            <w:r>
              <w:rPr>
                <w:rFonts w:hint="default"/>
                <w:lang w:val="en-US" w:eastAsia="zh-CN"/>
              </w:rPr>
              <w:t>)</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中华人民共和国国务院令第</w:t>
            </w:r>
            <w:r>
              <w:rPr>
                <w:rFonts w:hint="default"/>
                <w:lang w:val="en-US" w:eastAsia="zh-CN"/>
              </w:rPr>
              <w:t>682</w:t>
            </w:r>
            <w:r>
              <w:rPr>
                <w:rFonts w:hint="eastAsia"/>
                <w:lang w:val="en-US" w:eastAsia="zh-CN"/>
              </w:rPr>
              <w:t>号《建设项目环境保护管理条例》（</w:t>
            </w:r>
            <w:r>
              <w:rPr>
                <w:rFonts w:hint="default"/>
                <w:lang w:val="en-US" w:eastAsia="zh-CN"/>
              </w:rPr>
              <w:t>2017</w:t>
            </w:r>
            <w:r>
              <w:rPr>
                <w:rFonts w:hint="eastAsia"/>
                <w:lang w:val="en-US" w:eastAsia="zh-CN"/>
              </w:rPr>
              <w:t>年</w:t>
            </w:r>
            <w:r>
              <w:rPr>
                <w:rFonts w:hint="default"/>
                <w:lang w:val="en-US" w:eastAsia="zh-CN"/>
              </w:rPr>
              <w:t>7</w:t>
            </w:r>
            <w:r>
              <w:rPr>
                <w:rFonts w:hint="eastAsia"/>
                <w:lang w:val="en-US" w:eastAsia="zh-CN"/>
              </w:rPr>
              <w:t>月</w:t>
            </w:r>
            <w:r>
              <w:rPr>
                <w:rFonts w:hint="default"/>
                <w:lang w:val="en-US" w:eastAsia="zh-CN"/>
              </w:rPr>
              <w:t>16</w:t>
            </w:r>
            <w:r>
              <w:rPr>
                <w:rFonts w:hint="eastAsia"/>
                <w:lang w:val="en-US" w:eastAsia="zh-CN"/>
              </w:rPr>
              <w:t>日）；</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环境保护部《建设项目竣工环境保护验收暂行办法》国环规环评</w:t>
            </w:r>
            <w:r>
              <w:rPr>
                <w:rFonts w:hint="default"/>
                <w:lang w:val="en-US" w:eastAsia="zh-CN"/>
              </w:rPr>
              <w:t>[2017]4</w:t>
            </w:r>
            <w:r>
              <w:rPr>
                <w:rFonts w:hint="eastAsia"/>
                <w:lang w:val="en-US" w:eastAsia="zh-CN"/>
              </w:rPr>
              <w:t>号（</w:t>
            </w:r>
            <w:r>
              <w:rPr>
                <w:rFonts w:hint="default"/>
                <w:lang w:val="en-US" w:eastAsia="zh-CN"/>
              </w:rPr>
              <w:t>2017</w:t>
            </w:r>
            <w:r>
              <w:rPr>
                <w:rFonts w:hint="eastAsia"/>
                <w:lang w:val="en-US" w:eastAsia="zh-CN"/>
              </w:rPr>
              <w:t>年</w:t>
            </w:r>
            <w:r>
              <w:rPr>
                <w:rFonts w:hint="default"/>
                <w:lang w:val="en-US" w:eastAsia="zh-CN"/>
              </w:rPr>
              <w:t>11</w:t>
            </w:r>
            <w:r>
              <w:rPr>
                <w:rFonts w:hint="eastAsia"/>
                <w:lang w:val="en-US" w:eastAsia="zh-CN"/>
              </w:rPr>
              <w:t>月</w:t>
            </w:r>
            <w:r>
              <w:rPr>
                <w:rFonts w:hint="default"/>
                <w:lang w:val="en-US" w:eastAsia="zh-CN"/>
              </w:rPr>
              <w:t>22</w:t>
            </w:r>
            <w:r>
              <w:rPr>
                <w:rFonts w:hint="eastAsia"/>
                <w:lang w:val="en-US" w:eastAsia="zh-CN"/>
              </w:rPr>
              <w:t>日）；</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rPr>
            </w:pPr>
            <w:r>
              <w:rPr>
                <w:rFonts w:hint="eastAsia"/>
                <w:lang w:val="en-US" w:eastAsia="zh-CN"/>
              </w:rPr>
              <w:t>《关于认真做好建设项目竣工环境保护验收监测工作的通知》</w:t>
            </w:r>
            <w:r>
              <w:rPr>
                <w:rFonts w:hint="default"/>
                <w:lang w:val="en-US" w:eastAsia="zh-CN"/>
              </w:rPr>
              <w:t>（原四川省环境保护局，川环发[2003]001号，2003.1.7）；</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rightChars="0" w:hanging="425" w:firstLineChars="0"/>
              <w:jc w:val="both"/>
              <w:textAlignment w:val="auto"/>
              <w:rPr>
                <w:rFonts w:hint="default"/>
              </w:rPr>
            </w:pPr>
            <w:r>
              <w:rPr>
                <w:rFonts w:hint="default"/>
                <w:lang w:val="en-US" w:eastAsia="zh-CN"/>
              </w:rPr>
              <w:t>《关于依法加强环境影响评价管理防范环境风险的通知》（原四川省环保局，川环发 [2006] 1号，2006.1.4）；</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snapToGrid/>
              <w:spacing w:beforeAutospacing="0" w:after="0" w:afterAutospacing="0" w:line="360" w:lineRule="auto"/>
              <w:ind w:left="545" w:leftChars="50" w:right="0" w:rightChars="0" w:hanging="425" w:firstLineChars="0"/>
              <w:textAlignment w:val="auto"/>
              <w:rPr>
                <w:rFonts w:hint="default"/>
                <w:lang w:val="en-US" w:eastAsia="zh-CN"/>
              </w:rPr>
            </w:pPr>
            <w:r>
              <w:rPr>
                <w:rFonts w:hint="default"/>
                <w:lang w:val="en-US" w:eastAsia="zh-CN"/>
              </w:rPr>
              <w:t>《关于进一步加强建设项目竣工环境保护验收监测（调查）工作的通知》（原四川省环境保护局，川环发[2006]61号，2006.6.6）</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rightChars="0" w:hanging="425" w:firstLineChars="0"/>
              <w:jc w:val="both"/>
              <w:textAlignment w:val="auto"/>
              <w:rPr>
                <w:rFonts w:hint="default"/>
                <w:lang w:eastAsia="zh-CN"/>
              </w:rPr>
            </w:pPr>
            <w:r>
              <w:rPr>
                <w:rFonts w:hint="default"/>
              </w:rPr>
              <w:t>《建设项目竣工环境保护验收技术</w:t>
            </w:r>
            <w:r>
              <w:rPr>
                <w:rFonts w:hint="default"/>
                <w:lang w:val="en-US" w:eastAsia="zh-CN"/>
              </w:rPr>
              <w:t>指南</w:t>
            </w:r>
            <w:r>
              <w:rPr>
                <w:rFonts w:hint="default"/>
              </w:rPr>
              <w:t>—</w:t>
            </w:r>
            <w:r>
              <w:rPr>
                <w:rFonts w:hint="default"/>
                <w:lang w:val="en-US" w:eastAsia="zh-CN"/>
              </w:rPr>
              <w:t>污染影响类</w:t>
            </w:r>
            <w:r>
              <w:rPr>
                <w:rFonts w:hint="default"/>
              </w:rPr>
              <w:t>》</w:t>
            </w:r>
            <w:r>
              <w:rPr>
                <w:rFonts w:hint="eastAsia"/>
                <w:lang w:eastAsia="zh-CN"/>
              </w:rPr>
              <w:t>（</w:t>
            </w:r>
            <w:r>
              <w:rPr>
                <w:rFonts w:hint="eastAsia"/>
                <w:lang w:val="en-US" w:eastAsia="zh-CN"/>
              </w:rPr>
              <w:t>公告2018年第9号，生态环境部，2018年5月16日</w:t>
            </w:r>
            <w:r>
              <w:rPr>
                <w:rFonts w:hint="eastAsia"/>
                <w:lang w:eastAsia="zh-CN"/>
              </w:rPr>
              <w:t>）</w:t>
            </w:r>
            <w:r>
              <w:rPr>
                <w:rFonts w:hint="default"/>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0" w:line="360" w:lineRule="auto"/>
              <w:ind w:left="545" w:leftChars="50" w:right="0" w:rightChars="0" w:hanging="425" w:firstLineChars="0"/>
              <w:jc w:val="both"/>
              <w:textAlignment w:val="auto"/>
              <w:outlineLvl w:val="9"/>
              <w:rPr>
                <w:rFonts w:hint="default" w:ascii="Times New Roman" w:hAnsi="Times New Roman" w:eastAsia="宋体" w:cs="Times New Roman"/>
                <w:smallCaps w:val="0"/>
                <w:color w:val="auto"/>
                <w:spacing w:val="0"/>
                <w:w w:val="100"/>
                <w:position w:val="0"/>
                <w:sz w:val="24"/>
                <w:szCs w:val="24"/>
                <w:lang w:val="en-US" w:eastAsia="zh-CN"/>
              </w:rPr>
            </w:pPr>
            <w:r>
              <w:rPr>
                <w:rFonts w:hint="default" w:ascii="Times New Roman" w:hAnsi="Times New Roman" w:eastAsia="宋体" w:cs="Times New Roman"/>
                <w:smallCaps w:val="0"/>
                <w:color w:val="auto"/>
                <w:spacing w:val="0"/>
                <w:w w:val="100"/>
                <w:position w:val="0"/>
                <w:sz w:val="24"/>
                <w:szCs w:val="24"/>
                <w:lang w:val="en-US" w:eastAsia="zh-CN"/>
              </w:rPr>
              <w:t>《成都市环境保护局关于贯彻落实〈建设项目竣工环境保护验收暂行办法〉的通知》（成环发[2018]8号，2018年5月16日）</w:t>
            </w:r>
            <w:r>
              <w:rPr>
                <w:rFonts w:hint="eastAsia" w:cs="Times New Roman"/>
                <w:smallCaps w:val="0"/>
                <w:color w:val="auto"/>
                <w:spacing w:val="0"/>
                <w:w w:val="100"/>
                <w:positio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0" w:line="360" w:lineRule="auto"/>
              <w:ind w:left="545" w:leftChars="50" w:right="0" w:rightChars="0" w:hanging="425" w:firstLineChars="0"/>
              <w:jc w:val="both"/>
              <w:textAlignment w:val="auto"/>
              <w:outlineLvl w:val="9"/>
              <w:rPr>
                <w:rFonts w:hint="default" w:ascii="Times New Roman" w:hAnsi="Times New Roman" w:eastAsia="宋体" w:cs="Times New Roman"/>
                <w:smallCaps w:val="0"/>
                <w:color w:val="auto"/>
                <w:spacing w:val="0"/>
                <w:w w:val="100"/>
                <w:position w:val="0"/>
                <w:sz w:val="24"/>
                <w:szCs w:val="24"/>
                <w:lang w:val="en-US" w:eastAsia="zh-CN"/>
              </w:rPr>
            </w:pPr>
            <w:r>
              <w:rPr>
                <w:rFonts w:hint="default" w:ascii="Times New Roman" w:hAnsi="Times New Roman" w:eastAsia="宋体" w:cs="Times New Roman"/>
                <w:smallCaps w:val="0"/>
                <w:color w:val="auto"/>
                <w:spacing w:val="0"/>
                <w:w w:val="100"/>
                <w:position w:val="0"/>
                <w:sz w:val="24"/>
                <w:szCs w:val="24"/>
                <w:lang w:val="en-US" w:eastAsia="zh-CN"/>
              </w:rPr>
              <w:t>成都市生态环境局，（2019年8月26日）关于认真开展建设项目竣工环境保护自主验收抽查工作的通知（成环发[2019]308）</w:t>
            </w:r>
            <w:r>
              <w:rPr>
                <w:rFonts w:hint="eastAsia" w:cs="Times New Roman"/>
                <w:smallCaps w:val="0"/>
                <w:color w:val="auto"/>
                <w:spacing w:val="0"/>
                <w:w w:val="100"/>
                <w:position w:val="0"/>
                <w:sz w:val="24"/>
                <w:szCs w:val="24"/>
                <w:lang w:val="en-US"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545" w:leftChars="50" w:right="0" w:rightChars="0" w:hanging="425" w:firstLineChars="0"/>
              <w:jc w:val="both"/>
              <w:textAlignment w:val="auto"/>
              <w:rPr>
                <w:rFonts w:hint="default"/>
                <w:color w:val="auto"/>
              </w:rPr>
            </w:pPr>
            <w:r>
              <w:rPr>
                <w:rFonts w:hint="default"/>
                <w:lang w:val="en-US" w:eastAsia="zh-CN"/>
              </w:rPr>
              <w:t>重庆市江津区成硕环保工程有限公司编制完成《</w:t>
            </w:r>
            <w:r>
              <w:rPr>
                <w:rFonts w:hint="eastAsia"/>
                <w:lang w:eastAsia="zh-CN"/>
              </w:rPr>
              <w:t>彭州市天彭镇农机管理服务站</w:t>
            </w:r>
            <w:r>
              <w:rPr>
                <w:rFonts w:hint="eastAsia"/>
                <w:lang w:val="en-GB" w:eastAsia="zh-CN"/>
              </w:rPr>
              <w:t>加油站设施设备改造项目</w:t>
            </w:r>
            <w:r>
              <w:rPr>
                <w:rFonts w:hint="default"/>
                <w:lang w:val="en-US" w:eastAsia="zh-CN"/>
              </w:rPr>
              <w:t>环境影响报告表》</w:t>
            </w:r>
            <w:r>
              <w:rPr>
                <w:rFonts w:hint="eastAsia"/>
                <w:lang w:val="en-US" w:eastAsia="zh-CN"/>
              </w:rPr>
              <w:t>（</w:t>
            </w:r>
            <w:r>
              <w:rPr>
                <w:rFonts w:hint="default"/>
                <w:lang w:val="en-US" w:eastAsia="zh-CN"/>
              </w:rPr>
              <w:t>20</w:t>
            </w:r>
            <w:r>
              <w:rPr>
                <w:rFonts w:hint="eastAsia"/>
                <w:lang w:val="en-US" w:eastAsia="zh-CN"/>
              </w:rPr>
              <w:t>20</w:t>
            </w:r>
            <w:r>
              <w:rPr>
                <w:rFonts w:hint="default"/>
                <w:lang w:val="en-US" w:eastAsia="zh-CN"/>
              </w:rPr>
              <w:t>年</w:t>
            </w:r>
            <w:r>
              <w:rPr>
                <w:rFonts w:hint="eastAsia"/>
                <w:lang w:val="en-US" w:eastAsia="zh-CN"/>
              </w:rPr>
              <w:t>4</w:t>
            </w:r>
            <w:r>
              <w:rPr>
                <w:rFonts w:hint="default"/>
                <w:lang w:val="en-US" w:eastAsia="zh-CN"/>
              </w:rPr>
              <w:t>月</w:t>
            </w:r>
            <w:r>
              <w:rPr>
                <w:rFonts w:hint="eastAsia"/>
                <w:lang w:val="en-US"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545" w:leftChars="50" w:right="0" w:rightChars="0" w:hanging="425" w:firstLineChars="0"/>
              <w:jc w:val="both"/>
              <w:textAlignment w:val="auto"/>
              <w:rPr>
                <w:rFonts w:hint="default"/>
                <w:lang w:val="en-US" w:eastAsia="zh-CN"/>
              </w:rPr>
            </w:pPr>
            <w:r>
              <w:rPr>
                <w:rFonts w:hint="eastAsia"/>
                <w:color w:val="auto"/>
                <w:lang w:val="en-US" w:eastAsia="zh-CN"/>
              </w:rPr>
              <w:t>成都市彭州生态环境局</w:t>
            </w:r>
            <w:r>
              <w:rPr>
                <w:rFonts w:hint="default"/>
                <w:color w:val="auto"/>
                <w:lang w:val="en-US" w:eastAsia="zh-CN"/>
              </w:rPr>
              <w:t>出具的《关于彭州市天彭镇农机管理服务站加油站设施设备改造环境影响报告表审查批复》（彭环审</w:t>
            </w:r>
            <w:r>
              <w:rPr>
                <w:rFonts w:hint="eastAsia"/>
                <w:color w:val="auto"/>
                <w:lang w:val="en-US" w:eastAsia="zh-CN"/>
              </w:rPr>
              <w:t>[</w:t>
            </w:r>
            <w:r>
              <w:rPr>
                <w:rFonts w:hint="default"/>
                <w:color w:val="auto"/>
                <w:lang w:val="en-US" w:eastAsia="zh-CN"/>
              </w:rPr>
              <w:t>2020</w:t>
            </w:r>
            <w:r>
              <w:rPr>
                <w:rFonts w:hint="eastAsia"/>
                <w:color w:val="auto"/>
                <w:lang w:val="en-US" w:eastAsia="zh-CN"/>
              </w:rPr>
              <w:t>]</w:t>
            </w:r>
            <w:r>
              <w:rPr>
                <w:rFonts w:hint="default"/>
                <w:color w:val="auto"/>
                <w:lang w:val="en-US" w:eastAsia="zh-CN"/>
              </w:rPr>
              <w:t>46号</w:t>
            </w:r>
            <w:r>
              <w:rPr>
                <w:rFonts w:hint="eastAsia"/>
                <w:color w:val="auto"/>
                <w:lang w:val="en-US" w:eastAsia="zh-CN"/>
              </w:rPr>
              <w:t>，</w:t>
            </w:r>
            <w:r>
              <w:rPr>
                <w:rFonts w:hint="default"/>
                <w:color w:val="auto"/>
                <w:lang w:val="en-US" w:eastAsia="zh-CN"/>
              </w:rPr>
              <w:t>20</w:t>
            </w:r>
            <w:r>
              <w:rPr>
                <w:rFonts w:hint="eastAsia"/>
                <w:color w:val="auto"/>
                <w:lang w:val="en-US" w:eastAsia="zh-CN"/>
              </w:rPr>
              <w:t>20</w:t>
            </w:r>
            <w:r>
              <w:rPr>
                <w:rFonts w:hint="default"/>
                <w:color w:val="auto"/>
                <w:lang w:val="en-US" w:eastAsia="zh-CN"/>
              </w:rPr>
              <w:t>年</w:t>
            </w:r>
            <w:r>
              <w:rPr>
                <w:rFonts w:hint="eastAsia"/>
                <w:color w:val="auto"/>
                <w:lang w:val="en-US" w:eastAsia="zh-CN"/>
              </w:rPr>
              <w:t>7</w:t>
            </w:r>
            <w:r>
              <w:rPr>
                <w:rFonts w:hint="default"/>
                <w:color w:val="auto"/>
                <w:lang w:val="en-US" w:eastAsia="zh-CN"/>
              </w:rPr>
              <w:t>月</w:t>
            </w:r>
            <w:r>
              <w:rPr>
                <w:rFonts w:hint="eastAsia"/>
                <w:color w:val="auto"/>
                <w:lang w:val="en-US" w:eastAsia="zh-CN"/>
              </w:rPr>
              <w:t>24</w:t>
            </w:r>
            <w:r>
              <w:rPr>
                <w:rFonts w:hint="default"/>
                <w:color w:val="auto"/>
                <w:lang w:val="en-US" w:eastAsia="zh-CN"/>
              </w:rPr>
              <w:t>日）</w:t>
            </w:r>
            <w:r>
              <w:rPr>
                <w:rFonts w:hint="eastAsia"/>
                <w:color w:val="auto"/>
                <w:lang w:val="en-US"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545" w:leftChars="50" w:right="0" w:rightChars="0" w:hanging="425" w:firstLineChars="0"/>
              <w:jc w:val="both"/>
              <w:textAlignment w:val="auto"/>
              <w:rPr>
                <w:rFonts w:hint="default"/>
              </w:rPr>
            </w:pPr>
            <w:r>
              <w:rPr>
                <w:rFonts w:hint="default"/>
                <w:lang w:eastAsia="zh-CN"/>
              </w:rPr>
              <w:t>监测报告；</w:t>
            </w:r>
          </w:p>
          <w:p>
            <w:pPr>
              <w:keepNext w:val="0"/>
              <w:keepLines w:val="0"/>
              <w:pageBreakBefore w:val="0"/>
              <w:widowControl/>
              <w:numPr>
                <w:ilvl w:val="0"/>
                <w:numId w:val="1"/>
              </w:numPr>
              <w:kinsoku/>
              <w:wordWrap/>
              <w:overflowPunct/>
              <w:topLinePunct w:val="0"/>
              <w:autoSpaceDE/>
              <w:autoSpaceDN/>
              <w:bidi w:val="0"/>
              <w:adjustRightInd/>
              <w:snapToGrid/>
              <w:spacing w:beforeAutospacing="0" w:after="0" w:line="360" w:lineRule="auto"/>
              <w:ind w:left="545" w:leftChars="50" w:right="0" w:rightChars="0" w:hanging="425" w:firstLineChars="0"/>
              <w:jc w:val="left"/>
              <w:textAlignment w:val="auto"/>
              <w:outlineLvl w:val="9"/>
              <w:rPr>
                <w:rFonts w:hint="eastAsia"/>
                <w:lang w:val="en-US" w:eastAsia="zh-CN"/>
              </w:rPr>
            </w:pPr>
            <w:r>
              <w:rPr>
                <w:rFonts w:hint="default"/>
                <w:lang w:eastAsia="zh-CN"/>
              </w:rPr>
              <w:t>其他建设资料。</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dxa"/>
            <w:tcBorders>
              <w:top w:val="single" w:color="000000" w:sz="4" w:space="0"/>
            </w:tcBorders>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right="0" w:rightChars="0" w:firstLine="0" w:firstLineChars="0"/>
              <w:jc w:val="center"/>
              <w:textAlignment w:val="auto"/>
              <w:rPr>
                <w:rFonts w:hint="default"/>
                <w:sz w:val="24"/>
              </w:rPr>
            </w:pPr>
            <w:r>
              <w:rPr>
                <w:rFonts w:hint="default"/>
                <w:sz w:val="24"/>
              </w:rPr>
              <w:t>验收监测</w:t>
            </w:r>
            <w:r>
              <w:rPr>
                <w:rFonts w:hint="eastAsia"/>
                <w:sz w:val="24"/>
                <w:lang w:val="en-US" w:eastAsia="zh-CN"/>
              </w:rPr>
              <w:t>评价</w:t>
            </w:r>
            <w:r>
              <w:rPr>
                <w:rFonts w:hint="default"/>
                <w:sz w:val="24"/>
              </w:rPr>
              <w:t>标</w:t>
            </w:r>
            <w:r>
              <w:rPr>
                <w:rFonts w:hint="default"/>
                <w:spacing w:val="-3"/>
                <w:sz w:val="24"/>
              </w:rPr>
              <w:t>准、标号、级</w:t>
            </w:r>
            <w:r>
              <w:rPr>
                <w:rFonts w:hint="default"/>
                <w:sz w:val="24"/>
              </w:rPr>
              <w:t>别</w:t>
            </w:r>
          </w:p>
        </w:tc>
        <w:tc>
          <w:tcPr>
            <w:tcW w:w="7754" w:type="dxa"/>
            <w:gridSpan w:val="6"/>
            <w:tcBorders>
              <w:top w:val="single" w:color="000000" w:sz="4" w:space="0"/>
            </w:tcBorders>
            <w:vAlign w:val="center"/>
          </w:tcPr>
          <w:p>
            <w:pPr>
              <w:keepNext w:val="0"/>
              <w:keepLines w:val="0"/>
              <w:pageBreakBefore w:val="0"/>
              <w:widowControl/>
              <w:numPr>
                <w:ilvl w:val="0"/>
                <w:numId w:val="2"/>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lang w:val="en-US" w:eastAsia="zh-CN"/>
              </w:rPr>
            </w:pPr>
            <w:r>
              <w:rPr>
                <w:rFonts w:hint="default"/>
                <w:b/>
                <w:bCs/>
                <w:lang w:val="en-US" w:eastAsia="zh-CN"/>
              </w:rPr>
              <w:t>废水</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spacing w:beforeAutospacing="0" w:after="0" w:afterAutospacing="0" w:line="360" w:lineRule="auto"/>
              <w:ind w:leftChars="0" w:right="0" w:rightChars="0" w:firstLine="480" w:firstLineChars="200"/>
              <w:jc w:val="both"/>
              <w:textAlignment w:val="auto"/>
              <w:rPr>
                <w:rFonts w:hint="default"/>
                <w:lang w:val="en-US" w:eastAsia="zh-CN"/>
              </w:rPr>
            </w:pPr>
            <w:r>
              <w:rPr>
                <w:rFonts w:hint="eastAsia"/>
                <w:lang w:val="en-US" w:eastAsia="zh-CN"/>
              </w:rPr>
              <w:t>执行《污水综合排放标准》（GB8978-1996）三级标准；氨氮和总磷执行《污水排入城镇下水道水质标准》（GB/T 31962-2015）表1B级标准。</w:t>
            </w:r>
          </w:p>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b/>
                <w:szCs w:val="21"/>
              </w:rPr>
            </w:pPr>
            <w:r>
              <w:rPr>
                <w:rFonts w:hint="eastAsia" w:ascii="Times New Roman" w:hAnsi="Times New Roman"/>
                <w:b/>
                <w:szCs w:val="21"/>
              </w:rPr>
              <w:t>表</w:t>
            </w:r>
            <w:r>
              <w:rPr>
                <w:rFonts w:hint="eastAsia" w:ascii="Times New Roman" w:hAnsi="Times New Roman"/>
                <w:b/>
                <w:szCs w:val="21"/>
                <w:lang w:val="en-US" w:eastAsia="zh-CN"/>
              </w:rPr>
              <w:t>1</w:t>
            </w:r>
            <w:r>
              <w:rPr>
                <w:rFonts w:hint="eastAsia" w:ascii="Times New Roman" w:hAnsi="Times New Roman"/>
                <w:b/>
                <w:szCs w:val="21"/>
              </w:rPr>
              <w:t>-</w:t>
            </w:r>
            <w:r>
              <w:rPr>
                <w:rFonts w:hint="eastAsia"/>
                <w:b/>
                <w:szCs w:val="21"/>
                <w:lang w:val="en-US" w:eastAsia="zh-CN"/>
              </w:rPr>
              <w:t>1</w:t>
            </w:r>
            <w:r>
              <w:rPr>
                <w:rFonts w:hint="eastAsia" w:ascii="Times New Roman" w:hAnsi="Times New Roman"/>
                <w:b/>
                <w:szCs w:val="21"/>
              </w:rPr>
              <w:t xml:space="preserve"> 污水综合排放标准</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57"/>
              <w:gridCol w:w="1022"/>
              <w:gridCol w:w="1022"/>
              <w:gridCol w:w="1022"/>
              <w:gridCol w:w="1022"/>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67"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项目</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pH</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COD</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BOD</w:t>
                  </w:r>
                  <w:r>
                    <w:rPr>
                      <w:rFonts w:hint="eastAsia" w:ascii="Times New Roman" w:hAnsi="Times New Roman"/>
                      <w:b w:val="0"/>
                      <w:bCs/>
                      <w:color w:val="000000" w:themeColor="text1"/>
                      <w:sz w:val="21"/>
                      <w:szCs w:val="21"/>
                      <w:vertAlign w:val="subscript"/>
                      <w14:textFill>
                        <w14:solidFill>
                          <w14:schemeClr w14:val="tx1"/>
                        </w14:solidFill>
                      </w14:textFill>
                    </w:rPr>
                    <w:t>5</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SS</w:t>
                  </w:r>
                </w:p>
              </w:tc>
              <w:tc>
                <w:tcPr>
                  <w:tcW w:w="666" w:type="pct"/>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67"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标准限值（mg/L）</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6~9</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500</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300</w:t>
                  </w:r>
                </w:p>
              </w:tc>
              <w:tc>
                <w:tcPr>
                  <w:tcW w:w="666"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400</w:t>
                  </w:r>
                </w:p>
              </w:tc>
              <w:tc>
                <w:tcPr>
                  <w:tcW w:w="666" w:type="pct"/>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20</w:t>
                  </w:r>
                </w:p>
              </w:tc>
            </w:tr>
          </w:tbl>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b/>
                <w:szCs w:val="21"/>
              </w:rPr>
            </w:pPr>
            <w:r>
              <w:rPr>
                <w:rFonts w:hint="eastAsia" w:ascii="Times New Roman" w:hAnsi="Times New Roman"/>
                <w:b/>
                <w:szCs w:val="21"/>
              </w:rPr>
              <w:t>表</w:t>
            </w:r>
            <w:r>
              <w:rPr>
                <w:rFonts w:hint="eastAsia" w:ascii="Times New Roman" w:hAnsi="Times New Roman"/>
                <w:b/>
                <w:szCs w:val="21"/>
                <w:lang w:val="en-US" w:eastAsia="zh-CN"/>
              </w:rPr>
              <w:t>1</w:t>
            </w:r>
            <w:r>
              <w:rPr>
                <w:rFonts w:hint="eastAsia" w:ascii="Times New Roman" w:hAnsi="Times New Roman"/>
                <w:b/>
                <w:szCs w:val="21"/>
              </w:rPr>
              <w:t>-</w:t>
            </w:r>
            <w:r>
              <w:rPr>
                <w:rFonts w:hint="eastAsia"/>
                <w:b/>
                <w:szCs w:val="21"/>
                <w:lang w:val="en-US" w:eastAsia="zh-CN"/>
              </w:rPr>
              <w:t>2</w:t>
            </w:r>
            <w:r>
              <w:rPr>
                <w:rFonts w:hint="eastAsia" w:ascii="Times New Roman" w:hAnsi="Times New Roman"/>
                <w:b/>
                <w:szCs w:val="21"/>
                <w:lang w:val="en-US" w:eastAsia="zh-CN"/>
              </w:rPr>
              <w:t>污水排入城镇下水道水质标准</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55"/>
              <w:gridCol w:w="2555"/>
              <w:gridCol w:w="2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项目</w:t>
                  </w:r>
                </w:p>
              </w:tc>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NH</w:t>
                  </w:r>
                  <w:r>
                    <w:rPr>
                      <w:rFonts w:hint="eastAsia"/>
                      <w:b w:val="0"/>
                      <w:bCs/>
                      <w:color w:val="000000" w:themeColor="text1"/>
                      <w:sz w:val="21"/>
                      <w:szCs w:val="21"/>
                      <w:vertAlign w:val="subscript"/>
                      <w:lang w:val="en-US" w:eastAsia="zh-CN"/>
                      <w14:textFill>
                        <w14:solidFill>
                          <w14:schemeClr w14:val="tx1"/>
                        </w14:solidFill>
                      </w14:textFill>
                    </w:rPr>
                    <w:t>3</w:t>
                  </w:r>
                  <w:r>
                    <w:rPr>
                      <w:rFonts w:hint="eastAsia"/>
                      <w:b w:val="0"/>
                      <w:bCs/>
                      <w:color w:val="000000" w:themeColor="text1"/>
                      <w:sz w:val="21"/>
                      <w:szCs w:val="21"/>
                      <w:lang w:val="en-US" w:eastAsia="zh-CN"/>
                      <w14:textFill>
                        <w14:solidFill>
                          <w14:schemeClr w14:val="tx1"/>
                        </w14:solidFill>
                      </w14:textFill>
                    </w:rPr>
                    <w:t>-N</w:t>
                  </w:r>
                </w:p>
              </w:tc>
              <w:tc>
                <w:tcPr>
                  <w:tcW w:w="2557"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标准限值（mg/L）</w:t>
                  </w:r>
                </w:p>
              </w:tc>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45</w:t>
                  </w:r>
                </w:p>
              </w:tc>
              <w:tc>
                <w:tcPr>
                  <w:tcW w:w="2557"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8</w:t>
                  </w:r>
                </w:p>
              </w:tc>
            </w:tr>
          </w:tbl>
          <w:p>
            <w:pPr>
              <w:keepNext w:val="0"/>
              <w:keepLines w:val="0"/>
              <w:pageBreakBefore w:val="0"/>
              <w:widowControl/>
              <w:numPr>
                <w:ilvl w:val="0"/>
                <w:numId w:val="2"/>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eastAsia" w:ascii="Times New Roman" w:hAnsi="Times New Roman" w:eastAsia="宋体"/>
                <w:lang w:val="en-US" w:eastAsia="zh-CN"/>
              </w:rPr>
            </w:pPr>
            <w:r>
              <w:rPr>
                <w:rFonts w:hint="eastAsia"/>
                <w:b/>
                <w:bCs/>
                <w:lang w:val="en-US" w:eastAsia="zh-CN"/>
              </w:rPr>
              <w:t>废气</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spacing w:beforeAutospacing="0" w:after="0" w:afterAutospacing="0" w:line="360" w:lineRule="auto"/>
              <w:ind w:leftChars="0" w:right="0" w:rightChars="0" w:firstLine="480" w:firstLineChars="200"/>
              <w:jc w:val="both"/>
              <w:textAlignment w:val="auto"/>
              <w:rPr>
                <w:rFonts w:hint="default"/>
                <w:lang w:val="en-US" w:eastAsia="zh-CN"/>
              </w:rPr>
            </w:pPr>
            <w:r>
              <w:rPr>
                <w:rFonts w:hint="eastAsia" w:ascii="Times New Roman" w:hAnsi="Times New Roman" w:eastAsia="宋体"/>
                <w:lang w:val="en-US" w:eastAsia="zh-CN"/>
              </w:rPr>
              <w:t>无组织</w:t>
            </w:r>
            <w:r>
              <w:rPr>
                <w:rFonts w:hint="eastAsia"/>
                <w:lang w:val="en-US" w:eastAsia="zh-CN"/>
              </w:rPr>
              <w:t>非甲烷总烃</w:t>
            </w:r>
            <w:r>
              <w:rPr>
                <w:rFonts w:hint="eastAsia" w:ascii="Times New Roman" w:hAnsi="Times New Roman" w:eastAsia="宋体"/>
                <w:lang w:val="en-US" w:eastAsia="zh-CN"/>
              </w:rPr>
              <w:t>废气执行</w:t>
            </w:r>
            <w:r>
              <w:rPr>
                <w:rFonts w:hint="eastAsia"/>
                <w:color w:val="auto"/>
              </w:rPr>
              <w:t>《大气污染物综合排放标准》</w:t>
            </w:r>
            <w:r>
              <w:rPr>
                <w:rFonts w:hint="eastAsia"/>
                <w:color w:val="auto"/>
                <w:lang w:eastAsia="zh-CN"/>
              </w:rPr>
              <w:t>（</w:t>
            </w:r>
            <w:r>
              <w:rPr>
                <w:rFonts w:hint="eastAsia"/>
                <w:color w:val="auto"/>
              </w:rPr>
              <w:t>GB16297-1996</w:t>
            </w:r>
            <w:r>
              <w:rPr>
                <w:rFonts w:hint="eastAsia"/>
                <w:color w:val="auto"/>
                <w:lang w:eastAsia="zh-CN"/>
              </w:rPr>
              <w:t>）</w:t>
            </w:r>
            <w:r>
              <w:rPr>
                <w:rFonts w:hint="eastAsia"/>
                <w:color w:val="auto"/>
              </w:rPr>
              <w:t>中</w:t>
            </w:r>
            <w:r>
              <w:rPr>
                <w:rFonts w:hint="eastAsia" w:ascii="Times New Roman" w:hAnsi="Times New Roman" w:eastAsia="宋体"/>
                <w:lang w:val="en-US" w:eastAsia="zh-CN"/>
              </w:rPr>
              <w:t>无组织排放监控浓度限值。</w:t>
            </w:r>
          </w:p>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b/>
                <w:szCs w:val="21"/>
              </w:rPr>
            </w:pPr>
            <w:r>
              <w:rPr>
                <w:rFonts w:hint="default"/>
                <w:b/>
                <w:bCs/>
              </w:rPr>
              <w:t>表</w:t>
            </w:r>
            <w:r>
              <w:rPr>
                <w:rFonts w:hint="eastAsia"/>
                <w:b/>
                <w:bCs/>
                <w:lang w:val="en-US" w:eastAsia="zh-CN"/>
              </w:rPr>
              <w:t>1-3大气污染物综合排放标准</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45"/>
              <w:gridCol w:w="4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5"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0" w:lineRule="atLeast"/>
                    <w:ind w:left="0" w:leftChars="0" w:firstLine="0" w:firstLineChars="0"/>
                    <w:jc w:val="center"/>
                    <w:textAlignment w:val="auto"/>
                    <w:rPr>
                      <w:rFonts w:hint="eastAsia" w:ascii="Times New Roman" w:hAnsi="Times New Roman" w:eastAsia="宋体" w:cstheme="minorBidi"/>
                      <w:b w:val="0"/>
                      <w:bCs/>
                      <w:color w:val="000000" w:themeColor="text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污染物名称</w:t>
                  </w:r>
                </w:p>
              </w:tc>
              <w:tc>
                <w:tcPr>
                  <w:tcW w:w="3014"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0" w:lineRule="atLeast"/>
                    <w:ind w:left="0" w:leftChars="0" w:firstLine="0" w:firstLineChars="0"/>
                    <w:jc w:val="center"/>
                    <w:textAlignment w:val="auto"/>
                    <w:rPr>
                      <w:rFonts w:hint="eastAsia" w:ascii="Times New Roman" w:hAnsi="Times New Roman" w:eastAsia="宋体" w:cstheme="minorBidi"/>
                      <w:b w:val="0"/>
                      <w:bCs/>
                      <w:color w:val="000000" w:themeColor="text1"/>
                      <w:sz w:val="21"/>
                      <w:szCs w:val="21"/>
                      <w:lang w:val="en-US" w:eastAsia="zh-CN" w:bidi="ar-SA"/>
                      <w14:textFill>
                        <w14:solidFill>
                          <w14:schemeClr w14:val="tx1"/>
                        </w14:solidFill>
                      </w14:textFill>
                    </w:rPr>
                  </w:pPr>
                  <w:r>
                    <w:rPr>
                      <w:rFonts w:hint="eastAsia"/>
                      <w:b w:val="0"/>
                      <w:bCs/>
                      <w:color w:val="000000" w:themeColor="text1"/>
                      <w:sz w:val="21"/>
                      <w:szCs w:val="21"/>
                      <w:lang w:eastAsia="zh-CN"/>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5"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无组织排放浓度限值（mg/m</w:t>
                  </w:r>
                  <w:r>
                    <w:rPr>
                      <w:rFonts w:hint="eastAsia" w:ascii="Times New Roman" w:hAnsi="Times New Roman" w:eastAsia="宋体"/>
                      <w:b w:val="0"/>
                      <w:bCs/>
                      <w:color w:val="000000" w:themeColor="text1"/>
                      <w:sz w:val="21"/>
                      <w:szCs w:val="21"/>
                      <w:vertAlign w:val="superscript"/>
                      <w14:textFill>
                        <w14:solidFill>
                          <w14:schemeClr w14:val="tx1"/>
                        </w14:solidFill>
                      </w14:textFill>
                    </w:rPr>
                    <w:t>3</w:t>
                  </w:r>
                  <w:r>
                    <w:rPr>
                      <w:rFonts w:hint="eastAsia" w:ascii="Times New Roman" w:hAnsi="Times New Roman" w:eastAsia="宋体"/>
                      <w:b w:val="0"/>
                      <w:bCs/>
                      <w:color w:val="000000" w:themeColor="text1"/>
                      <w:sz w:val="21"/>
                      <w:szCs w:val="21"/>
                      <w14:textFill>
                        <w14:solidFill>
                          <w14:schemeClr w14:val="tx1"/>
                        </w14:solidFill>
                      </w14:textFill>
                    </w:rPr>
                    <w:t>）</w:t>
                  </w:r>
                </w:p>
              </w:tc>
              <w:tc>
                <w:tcPr>
                  <w:tcW w:w="3014" w:type="pct"/>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4.0</w:t>
                  </w:r>
                </w:p>
              </w:tc>
            </w:tr>
          </w:tbl>
          <w:p>
            <w:pPr>
              <w:keepNext w:val="0"/>
              <w:keepLines w:val="0"/>
              <w:pageBreakBefore w:val="0"/>
              <w:widowControl/>
              <w:numPr>
                <w:ilvl w:val="0"/>
                <w:numId w:val="2"/>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default" w:ascii="Times New Roman" w:hAnsi="Times New Roman" w:eastAsia="宋体"/>
                <w:lang w:val="en-US" w:eastAsia="zh-CN"/>
              </w:rPr>
            </w:pPr>
            <w:r>
              <w:rPr>
                <w:rFonts w:hint="default"/>
                <w:b/>
                <w:bCs/>
                <w:lang w:val="en-US" w:eastAsia="zh-CN"/>
              </w:rPr>
              <w:t>噪声</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spacing w:beforeAutospacing="0" w:after="0" w:afterAutospacing="0" w:line="360" w:lineRule="auto"/>
              <w:ind w:leftChars="0" w:right="0" w:rightChars="0" w:firstLine="480" w:firstLineChars="200"/>
              <w:jc w:val="both"/>
              <w:textAlignment w:val="auto"/>
              <w:rPr>
                <w:rFonts w:hint="default" w:ascii="Times New Roman" w:hAnsi="Times New Roman" w:eastAsia="宋体"/>
                <w:lang w:val="en-US" w:eastAsia="zh-CN"/>
              </w:rPr>
            </w:pPr>
            <w:r>
              <w:rPr>
                <w:rFonts w:hint="default" w:ascii="Times New Roman" w:hAnsi="Times New Roman" w:eastAsia="宋体"/>
                <w:lang w:val="en-US" w:eastAsia="zh-CN"/>
              </w:rPr>
              <w:t>执行《工业企业厂界环境噪声排放标准》（GB12348-2008）中 2 类、西侧执行 4</w:t>
            </w:r>
            <w:r>
              <w:rPr>
                <w:rFonts w:hint="eastAsia" w:ascii="Times New Roman" w:hAnsi="Times New Roman" w:eastAsia="宋体"/>
                <w:lang w:val="en-US" w:eastAsia="zh-CN"/>
              </w:rPr>
              <w:t>a</w:t>
            </w:r>
            <w:r>
              <w:rPr>
                <w:rFonts w:hint="default" w:ascii="Times New Roman" w:hAnsi="Times New Roman" w:eastAsia="宋体"/>
                <w:lang w:val="en-US" w:eastAsia="zh-CN"/>
              </w:rPr>
              <w:t>类标准。</w:t>
            </w:r>
          </w:p>
          <w:p>
            <w:pPr>
              <w:keepNext w:val="0"/>
              <w:keepLines w:val="0"/>
              <w:pageBreakBefore w:val="0"/>
              <w:widowControl w:val="0"/>
              <w:kinsoku/>
              <w:wordWrap/>
              <w:overflowPunct/>
              <w:topLinePunct w:val="0"/>
              <w:autoSpaceDE w:val="0"/>
              <w:autoSpaceDN w:val="0"/>
              <w:bidi w:val="0"/>
              <w:adjustRightInd/>
              <w:snapToGrid/>
              <w:spacing w:beforeAutospacing="0" w:after="0" w:line="240" w:lineRule="atLeast"/>
              <w:ind w:left="24" w:leftChars="10" w:firstLine="0" w:firstLineChars="0"/>
              <w:jc w:val="center"/>
              <w:textAlignment w:val="auto"/>
              <w:rPr>
                <w:rFonts w:hint="default" w:ascii="Times New Roman" w:hAnsi="Times New Roman" w:eastAsia="宋体" w:cs="Times New Roman"/>
                <w:b/>
                <w:bCs/>
                <w:color w:val="auto"/>
                <w:lang w:val="en-US" w:eastAsia="zh-CN"/>
              </w:rPr>
            </w:pPr>
            <w:r>
              <w:rPr>
                <w:rFonts w:hint="default"/>
                <w:b/>
                <w:bCs/>
              </w:rPr>
              <w:t>表</w:t>
            </w:r>
            <w:r>
              <w:rPr>
                <w:rFonts w:hint="eastAsia"/>
                <w:b/>
                <w:bCs/>
                <w:lang w:val="en-US" w:eastAsia="zh-CN"/>
              </w:rPr>
              <w:t xml:space="preserve"> 1-4 </w:t>
            </w:r>
            <w:r>
              <w:rPr>
                <w:rFonts w:hint="default" w:ascii="Times New Roman" w:hAnsi="Times New Roman" w:eastAsia="宋体" w:cs="Times New Roman"/>
                <w:b/>
                <w:bCs/>
                <w:color w:val="auto"/>
                <w:lang w:val="en-US" w:eastAsia="zh-CN"/>
              </w:rPr>
              <w:t>工业企业厂界环境噪声检测结果参考评价标准</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55"/>
              <w:gridCol w:w="2555"/>
              <w:gridCol w:w="2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eastAsia="zh-CN"/>
                      <w14:textFill>
                        <w14:solidFill>
                          <w14:schemeClr w14:val="tx1"/>
                        </w14:solidFill>
                      </w14:textFill>
                    </w:rPr>
                    <w:t>类别</w:t>
                  </w:r>
                </w:p>
              </w:tc>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2类</w:t>
                  </w:r>
                </w:p>
              </w:tc>
              <w:tc>
                <w:tcPr>
                  <w:tcW w:w="2557"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4a类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eastAsia="宋体" w:cstheme="minorBidi"/>
                      <w:b w:val="0"/>
                      <w:bCs/>
                      <w:color w:val="000000" w:themeColor="text1"/>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昼间dB（A）</w:t>
                  </w:r>
                </w:p>
              </w:tc>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60</w:t>
                  </w:r>
                </w:p>
              </w:tc>
              <w:tc>
                <w:tcPr>
                  <w:tcW w:w="2557"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eastAsia" w:ascii="Times New Roman" w:hAnsi="Times New Roman" w:eastAsia="宋体" w:cstheme="minorBidi"/>
                      <w:b w:val="0"/>
                      <w:bCs/>
                      <w:color w:val="000000" w:themeColor="text1"/>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夜间dB（A）</w:t>
                  </w:r>
                </w:p>
              </w:tc>
              <w:tc>
                <w:tcPr>
                  <w:tcW w:w="2555"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w:t>
                  </w:r>
                </w:p>
              </w:tc>
              <w:tc>
                <w:tcPr>
                  <w:tcW w:w="2557" w:type="dxa"/>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Autospacing="0" w:after="0" w:line="240" w:lineRule="atLeast"/>
                    <w:ind w:left="24" w:leftChars="10" w:firstLine="0" w:firstLineChars="0"/>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55</w:t>
                  </w:r>
                </w:p>
              </w:tc>
            </w:tr>
          </w:tbl>
          <w:p>
            <w:pPr>
              <w:keepNext w:val="0"/>
              <w:keepLines w:val="0"/>
              <w:pageBreakBefore w:val="0"/>
              <w:widowControl/>
              <w:numPr>
                <w:ilvl w:val="0"/>
                <w:numId w:val="2"/>
              </w:numPr>
              <w:suppressLineNumbers w:val="0"/>
              <w:kinsoku/>
              <w:wordWrap/>
              <w:overflowPunct/>
              <w:topLinePunct w:val="0"/>
              <w:autoSpaceDE w:val="0"/>
              <w:autoSpaceDN/>
              <w:bidi w:val="0"/>
              <w:adjustRightInd w:val="0"/>
              <w:snapToGrid/>
              <w:spacing w:beforeAutospacing="0" w:after="0" w:afterAutospacing="0" w:line="360" w:lineRule="auto"/>
              <w:ind w:left="545" w:leftChars="50" w:right="0" w:hanging="425" w:firstLineChars="0"/>
              <w:jc w:val="both"/>
              <w:textAlignment w:val="auto"/>
              <w:rPr>
                <w:rFonts w:hint="eastAsia" w:ascii="Times New Roman" w:hAnsi="Times New Roman"/>
                <w:b/>
                <w:szCs w:val="21"/>
              </w:rPr>
            </w:pPr>
            <w:r>
              <w:rPr>
                <w:rFonts w:hint="eastAsia"/>
                <w:b/>
                <w:bCs/>
                <w:lang w:val="en-US" w:eastAsia="zh-CN"/>
              </w:rPr>
              <w:t>固废</w:t>
            </w:r>
          </w:p>
          <w:p>
            <w:pPr>
              <w:pStyle w:val="16"/>
              <w:keepNext w:val="0"/>
              <w:keepLines w:val="0"/>
              <w:pageBreakBefore w:val="0"/>
              <w:widowControl/>
              <w:kinsoku/>
              <w:wordWrap/>
              <w:overflowPunct/>
              <w:topLinePunct w:val="0"/>
              <w:autoSpaceDE/>
              <w:autoSpaceDN/>
              <w:bidi w:val="0"/>
              <w:adjustRightInd w:val="0"/>
              <w:snapToGrid/>
              <w:spacing w:beforeAutospacing="0" w:after="0" w:line="360" w:lineRule="auto"/>
              <w:ind w:left="0" w:leftChars="0" w:firstLine="480" w:firstLineChars="200"/>
              <w:textAlignment w:val="auto"/>
              <w:rPr>
                <w:rFonts w:hint="eastAsia"/>
                <w:lang w:val="en-US" w:eastAsia="zh-CN"/>
              </w:rPr>
            </w:pPr>
            <w:r>
              <w:rPr>
                <w:rFonts w:hint="default" w:ascii="Times New Roman" w:hAnsi="Times New Roman" w:eastAsia="宋体" w:cstheme="minorBidi"/>
                <w:sz w:val="24"/>
                <w:szCs w:val="22"/>
                <w:lang w:val="en-US" w:eastAsia="zh-CN" w:bidi="ar-SA"/>
              </w:rPr>
              <w:t>执行《一般工业固体废物贮存、处置场污染控制标准》（GB18599-2001）及修改单和《危险废物贮存污染控制标准》（GB18597-2001）及修改单规定。</w:t>
            </w:r>
          </w:p>
        </w:tc>
      </w:tr>
    </w:tbl>
    <w:p>
      <w:pPr>
        <w:spacing w:line="220" w:lineRule="atLeast"/>
        <w:rPr>
          <w:color w:val="auto"/>
          <w:sz w:val="18"/>
          <w:szCs w:val="18"/>
        </w:rPr>
        <w:sectPr>
          <w:headerReference r:id="rId6" w:type="default"/>
          <w:footerReference r:id="rId7" w:type="default"/>
          <w:pgSz w:w="11906" w:h="16838"/>
          <w:pgMar w:top="1440" w:right="1800" w:bottom="1440" w:left="1800" w:header="1083" w:footer="1089" w:gutter="0"/>
          <w:pgBorders>
            <w:top w:val="none" w:sz="0" w:space="0"/>
            <w:left w:val="none" w:sz="0" w:space="0"/>
            <w:bottom w:val="none" w:sz="0" w:space="0"/>
            <w:right w:val="none" w:sz="0" w:space="0"/>
          </w:pgBorders>
          <w:pgNumType w:fmt="decimal" w:start="1"/>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eastAsia="宋体"/>
          <w:b/>
          <w:color w:val="auto"/>
          <w:sz w:val="28"/>
          <w:szCs w:val="28"/>
          <w:lang w:val="en-US" w:eastAsia="zh-CN"/>
        </w:rPr>
      </w:pPr>
      <w:r>
        <w:rPr>
          <w:rFonts w:hint="eastAsia"/>
          <w:b/>
          <w:color w:val="auto"/>
          <w:sz w:val="28"/>
          <w:szCs w:val="28"/>
        </w:rPr>
        <w:t>表</w:t>
      </w:r>
      <w:r>
        <w:rPr>
          <w:rFonts w:hint="eastAsia"/>
          <w:b/>
          <w:color w:val="auto"/>
          <w:sz w:val="28"/>
          <w:szCs w:val="28"/>
          <w:lang w:val="en-US" w:eastAsia="zh-CN"/>
        </w:rPr>
        <w:t>二 工程建设内容</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78" w:hRule="atLeast"/>
          <w:jc w:val="center"/>
        </w:trPr>
        <w:tc>
          <w:tcPr>
            <w:tcW w:w="9167" w:type="dxa"/>
            <w:tcBorders>
              <w:left w:val="single" w:color="000000" w:sz="12" w:space="0"/>
              <w:bottom w:val="single" w:color="000000" w:sz="12" w:space="0"/>
            </w:tcBorders>
            <w:vAlign w:val="center"/>
          </w:tcPr>
          <w:p>
            <w:pPr>
              <w:pStyle w:val="27"/>
              <w:pageBreakBefore w:val="0"/>
              <w:numPr>
                <w:ilvl w:val="0"/>
                <w:numId w:val="0"/>
              </w:numPr>
              <w:tabs>
                <w:tab w:val="left" w:pos="1023"/>
              </w:tabs>
              <w:kinsoku/>
              <w:wordWrap/>
              <w:overflowPunct/>
              <w:topLinePunct w:val="0"/>
              <w:bidi w:val="0"/>
              <w:spacing w:after="0" w:line="360" w:lineRule="auto"/>
              <w:ind w:right="0" w:rightChars="0"/>
              <w:jc w:val="both"/>
              <w:textAlignment w:val="auto"/>
              <w:rPr>
                <w:b/>
                <w:sz w:val="28"/>
                <w:szCs w:val="28"/>
              </w:rPr>
            </w:pPr>
            <w:r>
              <w:rPr>
                <w:b/>
                <w:sz w:val="28"/>
                <w:szCs w:val="28"/>
              </w:rPr>
              <w:t>项目基本情况</w:t>
            </w:r>
          </w:p>
          <w:p>
            <w:pPr>
              <w:pStyle w:val="10"/>
              <w:pageBreakBefore w:val="0"/>
              <w:kinsoku/>
              <w:wordWrap/>
              <w:overflowPunct/>
              <w:topLinePunct w:val="0"/>
              <w:bidi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彭州市天彭镇农机管理服务站（原简称天彭镇农机管理服务站，为农机加油站） 始建于 2000 年，后因设备陈旧老化、布局不合理，工艺管线落后、存在安全环保等问题，同时为响应《国务院关于印发水污染防治行动计划的通知》（国发〔2015〕17 号）及成都市经信委、成都市安监局《关于明确加油站地下改造油罐的通知》（成经信能源【2016】117 号）中更换双层罐的要求。彭州市天彭镇农机管理服务站于2017 年对加油站进行了升级改造。</w:t>
            </w:r>
            <w:r>
              <w:rPr>
                <w:rFonts w:hint="eastAsia" w:ascii="Times New Roman" w:hAnsi="Times New Roman" w:eastAsia="宋体" w:cs="Times New Roman"/>
                <w:color w:val="auto"/>
                <w:sz w:val="24"/>
                <w:lang w:val="en-US" w:eastAsia="zh-CN"/>
              </w:rPr>
              <w:t>本加油站岗</w:t>
            </w:r>
            <w:r>
              <w:rPr>
                <w:rFonts w:hint="eastAsia" w:cs="Times New Roman"/>
                <w:color w:val="auto"/>
                <w:sz w:val="24"/>
                <w:lang w:val="en-US" w:eastAsia="zh-CN"/>
              </w:rPr>
              <w:t>位</w:t>
            </w:r>
            <w:r>
              <w:rPr>
                <w:rFonts w:hint="eastAsia" w:ascii="Times New Roman" w:hAnsi="Times New Roman" w:eastAsia="宋体" w:cs="Times New Roman"/>
                <w:color w:val="auto"/>
                <w:sz w:val="24"/>
                <w:lang w:val="en-US" w:eastAsia="zh-CN"/>
              </w:rPr>
              <w:t>人数 10 人，其中：站长 1 名，加油工</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名。24 小时营业，年工作 365 天，三班两倒工作制。</w:t>
            </w:r>
          </w:p>
          <w:p>
            <w:pPr>
              <w:pStyle w:val="10"/>
              <w:pageBreakBefore w:val="0"/>
              <w:kinsoku/>
              <w:wordWrap/>
              <w:overflowPunct/>
              <w:topLinePunct w:val="0"/>
              <w:bidi w:val="0"/>
              <w:spacing w:after="0" w:line="360" w:lineRule="auto"/>
              <w:ind w:left="0" w:leftChars="0" w:right="0" w:rightChars="0" w:firstLine="480"/>
              <w:jc w:val="both"/>
              <w:textAlignment w:val="auto"/>
              <w:rPr>
                <w:rFonts w:hint="default"/>
                <w:color w:val="auto"/>
                <w:lang w:val="en-US"/>
              </w:rPr>
            </w:pPr>
            <w:r>
              <w:rPr>
                <w:rFonts w:hint="eastAsia" w:cs="Times New Roman"/>
                <w:color w:val="auto"/>
                <w:sz w:val="24"/>
                <w:szCs w:val="24"/>
                <w:lang w:val="en-US" w:eastAsia="zh-CN" w:bidi="zh-CN"/>
              </w:rPr>
              <w:t>2020年4月委托</w:t>
            </w:r>
            <w:r>
              <w:rPr>
                <w:rFonts w:hint="default"/>
                <w:lang w:val="en-US" w:eastAsia="zh-CN"/>
              </w:rPr>
              <w:t>重庆市江津区成硕环保工程有限公司</w:t>
            </w:r>
            <w:r>
              <w:rPr>
                <w:rFonts w:hint="eastAsia"/>
                <w:color w:val="auto"/>
                <w:lang w:val="en-US" w:eastAsia="zh-CN"/>
              </w:rPr>
              <w:t>编制完成</w:t>
            </w:r>
            <w:r>
              <w:rPr>
                <w:rFonts w:hint="default"/>
                <w:color w:val="auto"/>
                <w:lang w:val="en-US" w:eastAsia="zh-CN"/>
              </w:rPr>
              <w:t>《</w:t>
            </w:r>
            <w:r>
              <w:rPr>
                <w:rFonts w:hint="eastAsia"/>
                <w:color w:val="auto"/>
                <w:lang w:eastAsia="zh-CN"/>
              </w:rPr>
              <w:t>彭州市天彭镇农机管理服务站</w:t>
            </w:r>
            <w:r>
              <w:rPr>
                <w:rFonts w:hint="eastAsia"/>
                <w:color w:val="auto"/>
                <w:lang w:val="en-GB" w:eastAsia="zh-CN"/>
              </w:rPr>
              <w:t>加油站设施设备改造项目</w:t>
            </w:r>
            <w:r>
              <w:rPr>
                <w:rFonts w:hint="default"/>
                <w:color w:val="auto"/>
                <w:lang w:val="en-US" w:eastAsia="zh-CN"/>
              </w:rPr>
              <w:t>环境影响报告表》</w:t>
            </w:r>
            <w:r>
              <w:rPr>
                <w:rFonts w:hint="eastAsia"/>
                <w:color w:val="auto"/>
                <w:lang w:val="en-US" w:eastAsia="zh-CN"/>
              </w:rPr>
              <w:t>；2020年7月24日</w:t>
            </w:r>
            <w:r>
              <w:rPr>
                <w:rFonts w:hint="eastAsia" w:ascii="Times New Roman" w:hAnsi="Times New Roman" w:eastAsia="宋体" w:cs="Times New Roman"/>
                <w:color w:val="auto"/>
                <w:sz w:val="24"/>
                <w:szCs w:val="24"/>
                <w:lang w:val="en-US" w:eastAsia="zh-CN" w:bidi="zh-CN"/>
              </w:rPr>
              <w:t>取得</w:t>
            </w:r>
            <w:r>
              <w:rPr>
                <w:rFonts w:hint="eastAsia" w:cs="Times New Roman"/>
                <w:color w:val="auto"/>
                <w:sz w:val="24"/>
                <w:szCs w:val="24"/>
                <w:lang w:val="en-US" w:eastAsia="zh-CN" w:bidi="zh-CN"/>
              </w:rPr>
              <w:t>成都市彭州生态环境局</w:t>
            </w:r>
            <w:r>
              <w:rPr>
                <w:rFonts w:hint="eastAsia" w:ascii="Times New Roman" w:hAnsi="Times New Roman" w:eastAsia="宋体" w:cs="Times New Roman"/>
                <w:color w:val="auto"/>
                <w:sz w:val="24"/>
                <w:szCs w:val="24"/>
                <w:lang w:val="en-US" w:eastAsia="zh-CN" w:bidi="zh-CN"/>
              </w:rPr>
              <w:t>出具的《彭州市天彭镇农机管理服务站加油站设施设备改造项目环境影响报告表审查批复》（</w:t>
            </w:r>
            <w:r>
              <w:rPr>
                <w:rFonts w:hint="default"/>
                <w:color w:val="auto"/>
                <w:lang w:val="en-US" w:eastAsia="zh-CN"/>
              </w:rPr>
              <w:t>彭环审</w:t>
            </w:r>
            <w:r>
              <w:rPr>
                <w:rFonts w:hint="eastAsia"/>
                <w:color w:val="auto"/>
                <w:lang w:val="en-US" w:eastAsia="zh-CN"/>
              </w:rPr>
              <w:t>[</w:t>
            </w:r>
            <w:r>
              <w:rPr>
                <w:rFonts w:hint="default"/>
                <w:color w:val="auto"/>
                <w:lang w:val="en-US" w:eastAsia="zh-CN"/>
              </w:rPr>
              <w:t>2020</w:t>
            </w:r>
            <w:r>
              <w:rPr>
                <w:rFonts w:hint="eastAsia"/>
                <w:color w:val="auto"/>
                <w:lang w:val="en-US" w:eastAsia="zh-CN"/>
              </w:rPr>
              <w:t>]</w:t>
            </w:r>
            <w:r>
              <w:rPr>
                <w:rFonts w:hint="default"/>
                <w:color w:val="auto"/>
                <w:lang w:val="en-US" w:eastAsia="zh-CN"/>
              </w:rPr>
              <w:t>46号</w:t>
            </w:r>
            <w:r>
              <w:rPr>
                <w:rFonts w:hint="eastAsia" w:ascii="Times New Roman" w:hAnsi="Times New Roman" w:eastAsia="宋体" w:cs="Times New Roman"/>
                <w:color w:val="auto"/>
                <w:sz w:val="24"/>
                <w:szCs w:val="24"/>
                <w:lang w:val="en-US" w:eastAsia="zh-CN" w:bidi="zh-CN"/>
              </w:rPr>
              <w:t>）</w:t>
            </w:r>
            <w:r>
              <w:rPr>
                <w:rFonts w:hint="eastAsia" w:cs="Times New Roman"/>
                <w:color w:val="auto"/>
                <w:sz w:val="24"/>
                <w:szCs w:val="24"/>
                <w:lang w:val="en-US" w:eastAsia="zh-CN" w:bidi="zh-CN"/>
              </w:rPr>
              <w:t>。</w:t>
            </w:r>
          </w:p>
          <w:p>
            <w:pPr>
              <w:pStyle w:val="10"/>
              <w:pageBreakBefore w:val="0"/>
              <w:kinsoku/>
              <w:wordWrap/>
              <w:overflowPunct/>
              <w:topLinePunct w:val="0"/>
              <w:bidi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受</w:t>
            </w:r>
            <w:r>
              <w:rPr>
                <w:rFonts w:hint="eastAsia" w:cs="Times New Roman"/>
                <w:color w:val="auto"/>
                <w:sz w:val="24"/>
                <w:lang w:eastAsia="zh-CN"/>
              </w:rPr>
              <w:t>彭州市天彭镇农机管理服务站</w:t>
            </w:r>
            <w:r>
              <w:rPr>
                <w:rFonts w:hint="default" w:ascii="Times New Roman" w:hAnsi="Times New Roman" w:eastAsia="宋体" w:cs="Times New Roman"/>
                <w:color w:val="auto"/>
                <w:sz w:val="24"/>
              </w:rPr>
              <w:t>委托，四川</w:t>
            </w:r>
            <w:r>
              <w:rPr>
                <w:rFonts w:hint="eastAsia" w:ascii="Times New Roman" w:hAnsi="Times New Roman" w:eastAsia="宋体" w:cs="Times New Roman"/>
                <w:color w:val="auto"/>
                <w:sz w:val="24"/>
                <w:lang w:val="en-US" w:eastAsia="zh-CN"/>
              </w:rPr>
              <w:t>中谦检测</w:t>
            </w:r>
            <w:r>
              <w:rPr>
                <w:rFonts w:hint="default" w:ascii="Times New Roman" w:hAnsi="Times New Roman" w:eastAsia="宋体" w:cs="Times New Roman"/>
                <w:color w:val="auto"/>
                <w:sz w:val="24"/>
              </w:rPr>
              <w:t>有限公司派相关技术人员对该公司进行了现场勘查，并于2020年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auto"/>
                <w:sz w:val="24"/>
                <w:lang w:val="en-US" w:eastAsia="zh-CN"/>
              </w:rPr>
              <w:t>30</w:t>
            </w:r>
            <w:r>
              <w:rPr>
                <w:rFonts w:hint="default" w:ascii="Times New Roman" w:hAnsi="Times New Roman" w:eastAsia="宋体" w:cs="Times New Roman"/>
                <w:color w:val="auto"/>
                <w:sz w:val="24"/>
              </w:rPr>
              <w:t>日</w:t>
            </w:r>
            <w:r>
              <w:rPr>
                <w:rFonts w:hint="eastAsia" w:cs="Times New Roman"/>
                <w:color w:val="auto"/>
                <w:sz w:val="24"/>
                <w:lang w:eastAsia="zh-CN"/>
              </w:rPr>
              <w:t>至</w:t>
            </w:r>
            <w:r>
              <w:rPr>
                <w:rFonts w:hint="eastAsia" w:cs="Times New Roman"/>
                <w:color w:val="auto"/>
                <w:sz w:val="24"/>
                <w:lang w:val="en-US" w:eastAsia="zh-CN"/>
              </w:rPr>
              <w:t>12月1日</w:t>
            </w:r>
            <w:r>
              <w:rPr>
                <w:rFonts w:hint="default" w:ascii="Times New Roman" w:hAnsi="Times New Roman" w:eastAsia="宋体" w:cs="Times New Roman"/>
                <w:color w:val="auto"/>
                <w:sz w:val="24"/>
              </w:rPr>
              <w:t>对</w:t>
            </w:r>
            <w:r>
              <w:rPr>
                <w:rFonts w:hint="eastAsia" w:ascii="Times New Roman" w:hAnsi="Times New Roman" w:eastAsia="宋体" w:cs="Times New Roman"/>
                <w:color w:val="auto"/>
                <w:sz w:val="24"/>
              </w:rPr>
              <w:t>“</w:t>
            </w:r>
            <w:r>
              <w:rPr>
                <w:rFonts w:hint="eastAsia" w:cs="Times New Roman"/>
                <w:color w:val="auto"/>
                <w:sz w:val="24"/>
                <w:lang w:eastAsia="zh-CN"/>
              </w:rPr>
              <w:t>加油站设施设备改造</w:t>
            </w:r>
            <w:r>
              <w:rPr>
                <w:rFonts w:hint="eastAsia" w:ascii="Times New Roman" w:hAnsi="Times New Roman" w:eastAsia="宋体" w:cs="Times New Roman"/>
                <w:color w:val="auto"/>
                <w:sz w:val="24"/>
              </w:rPr>
              <w:t>项目”</w:t>
            </w:r>
            <w:r>
              <w:rPr>
                <w:rFonts w:hint="default" w:ascii="Times New Roman" w:hAnsi="Times New Roman" w:eastAsia="宋体" w:cs="Times New Roman"/>
                <w:color w:val="auto"/>
                <w:sz w:val="24"/>
              </w:rPr>
              <w:t>进行了现场监测，根据现场检查和监测结果，</w:t>
            </w:r>
            <w:r>
              <w:rPr>
                <w:rFonts w:hint="default" w:ascii="Times New Roman" w:hAnsi="Times New Roman" w:eastAsia="宋体" w:cs="Times New Roman"/>
                <w:color w:val="auto"/>
                <w:sz w:val="24"/>
                <w:lang w:eastAsia="zh-CN"/>
              </w:rPr>
              <w:t>依据</w:t>
            </w:r>
            <w:r>
              <w:rPr>
                <w:rFonts w:hint="default" w:ascii="Times New Roman" w:hAnsi="Times New Roman" w:eastAsia="宋体" w:cs="Times New Roman"/>
                <w:color w:val="auto"/>
                <w:sz w:val="24"/>
                <w:lang w:val="en-US" w:eastAsia="zh-CN"/>
              </w:rPr>
              <w:t>生态环境部《建设项目竣工环境保护验收技术指南  污染影响类》（公告2018年第9号）</w:t>
            </w:r>
            <w:r>
              <w:rPr>
                <w:rFonts w:hint="default" w:ascii="Times New Roman" w:hAnsi="Times New Roman" w:eastAsia="宋体" w:cs="Times New Roman"/>
                <w:color w:val="auto"/>
                <w:sz w:val="24"/>
              </w:rPr>
              <w:t>编制了本验收监测</w:t>
            </w:r>
            <w:r>
              <w:rPr>
                <w:rFonts w:hint="default" w:ascii="Times New Roman" w:hAnsi="Times New Roman" w:eastAsia="宋体" w:cs="Times New Roman"/>
                <w:color w:val="auto"/>
                <w:sz w:val="24"/>
                <w:lang w:eastAsia="zh-CN"/>
              </w:rPr>
              <w:t>报告</w:t>
            </w:r>
            <w:r>
              <w:rPr>
                <w:rFonts w:hint="eastAsia" w:ascii="Times New Roman" w:hAnsi="Times New Roman" w:eastAsia="宋体" w:cs="Times New Roman"/>
                <w:color w:val="auto"/>
                <w:sz w:val="24"/>
                <w:lang w:eastAsia="zh-CN"/>
              </w:rPr>
              <w:t>表</w:t>
            </w:r>
            <w:r>
              <w:rPr>
                <w:rFonts w:hint="default" w:ascii="Times New Roman" w:hAnsi="Times New Roman" w:eastAsia="宋体" w:cs="Times New Roman"/>
                <w:color w:val="auto"/>
                <w:sz w:val="24"/>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b/>
                <w:bCs/>
              </w:rPr>
            </w:pPr>
            <w:r>
              <w:rPr>
                <w:b/>
                <w:bCs/>
              </w:rPr>
              <w:t>表</w:t>
            </w:r>
            <w:r>
              <w:rPr>
                <w:rFonts w:hint="eastAsia"/>
                <w:b/>
                <w:bCs/>
              </w:rPr>
              <w:t>2</w:t>
            </w:r>
            <w:r>
              <w:rPr>
                <w:b/>
                <w:bCs/>
              </w:rPr>
              <w:t>-1 主要产品及产品方案表</w:t>
            </w:r>
          </w:p>
          <w:tbl>
            <w:tblPr>
              <w:tblStyle w:val="2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1"/>
              <w:gridCol w:w="2303"/>
              <w:gridCol w:w="2054"/>
              <w:gridCol w:w="2187"/>
              <w:gridCol w:w="16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14" w:type="pct"/>
                  <w:tcBorders>
                    <w:tl2br w:val="nil"/>
                    <w:tr2bl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ascii="Times New Roman" w:hAnsi="Times New Roman" w:cs="Times New Roman" w:eastAsiaTheme="minorEastAsia"/>
                      <w:b/>
                      <w:sz w:val="21"/>
                      <w:szCs w:val="20"/>
                    </w:rPr>
                  </w:pPr>
                  <w:r>
                    <w:rPr>
                      <w:rFonts w:ascii="Times New Roman" w:hAnsi="Times New Roman" w:cs="Times New Roman" w:eastAsiaTheme="minorEastAsia"/>
                      <w:b/>
                      <w:sz w:val="21"/>
                      <w:szCs w:val="20"/>
                    </w:rPr>
                    <w:t>序号</w:t>
                  </w:r>
                </w:p>
              </w:tc>
              <w:tc>
                <w:tcPr>
                  <w:tcW w:w="1287" w:type="pct"/>
                  <w:tcBorders>
                    <w:tl2br w:val="nil"/>
                    <w:tr2bl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ascii="Times New Roman" w:hAnsi="Times New Roman" w:cs="Times New Roman" w:eastAsiaTheme="minorEastAsia"/>
                      <w:b/>
                      <w:sz w:val="21"/>
                      <w:szCs w:val="20"/>
                    </w:rPr>
                  </w:pPr>
                  <w:r>
                    <w:rPr>
                      <w:rFonts w:ascii="Times New Roman" w:hAnsi="Times New Roman" w:cs="Times New Roman" w:eastAsiaTheme="minorEastAsia"/>
                      <w:b/>
                      <w:sz w:val="21"/>
                      <w:szCs w:val="20"/>
                    </w:rPr>
                    <w:t>产品名称及规格</w:t>
                  </w:r>
                </w:p>
              </w:tc>
              <w:tc>
                <w:tcPr>
                  <w:tcW w:w="1148" w:type="pct"/>
                  <w:tcBorders>
                    <w:tl2br w:val="nil"/>
                    <w:tr2bl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ascii="Times New Roman" w:hAnsi="Times New Roman" w:cs="Times New Roman" w:eastAsiaTheme="minorEastAsia"/>
                      <w:b/>
                      <w:sz w:val="21"/>
                      <w:szCs w:val="20"/>
                    </w:rPr>
                  </w:pPr>
                  <w:r>
                    <w:rPr>
                      <w:rFonts w:ascii="Times New Roman" w:hAnsi="Times New Roman" w:cs="Times New Roman" w:eastAsiaTheme="minorEastAsia"/>
                      <w:b/>
                      <w:sz w:val="21"/>
                      <w:szCs w:val="20"/>
                    </w:rPr>
                    <w:t>设计能力(</w:t>
                  </w:r>
                  <w:r>
                    <w:rPr>
                      <w:rFonts w:hint="eastAsia" w:ascii="Times New Roman" w:hAnsi="Times New Roman" w:cs="Times New Roman" w:eastAsiaTheme="minorEastAsia"/>
                      <w:b/>
                      <w:sz w:val="21"/>
                      <w:szCs w:val="20"/>
                      <w:lang w:val="en-US"/>
                    </w:rPr>
                    <w:t>t</w:t>
                  </w:r>
                  <w:r>
                    <w:rPr>
                      <w:rFonts w:ascii="Times New Roman" w:hAnsi="Times New Roman" w:cs="Times New Roman" w:eastAsiaTheme="minorEastAsia"/>
                      <w:b/>
                      <w:sz w:val="21"/>
                      <w:szCs w:val="20"/>
                    </w:rPr>
                    <w:t>/</w:t>
                  </w:r>
                  <w:r>
                    <w:rPr>
                      <w:rFonts w:hint="eastAsia" w:ascii="Times New Roman" w:hAnsi="Times New Roman" w:cs="Times New Roman" w:eastAsiaTheme="minorEastAsia"/>
                      <w:b/>
                      <w:sz w:val="21"/>
                      <w:szCs w:val="20"/>
                      <w:lang w:val="en-US"/>
                    </w:rPr>
                    <w:t>年</w:t>
                  </w:r>
                  <w:r>
                    <w:rPr>
                      <w:rFonts w:ascii="Times New Roman" w:hAnsi="Times New Roman" w:cs="Times New Roman" w:eastAsiaTheme="minorEastAsia"/>
                      <w:b/>
                      <w:sz w:val="21"/>
                      <w:szCs w:val="20"/>
                    </w:rPr>
                    <w:t>)</w:t>
                  </w:r>
                </w:p>
              </w:tc>
              <w:tc>
                <w:tcPr>
                  <w:tcW w:w="1222" w:type="pct"/>
                  <w:tcBorders>
                    <w:tl2br w:val="nil"/>
                    <w:tr2bl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ascii="Times New Roman" w:hAnsi="Times New Roman" w:cs="Times New Roman" w:eastAsiaTheme="minorEastAsia"/>
                      <w:b/>
                      <w:sz w:val="21"/>
                      <w:szCs w:val="20"/>
                    </w:rPr>
                  </w:pPr>
                  <w:r>
                    <w:rPr>
                      <w:rFonts w:ascii="Times New Roman" w:hAnsi="Times New Roman" w:cs="Times New Roman" w:eastAsiaTheme="minorEastAsia"/>
                      <w:b/>
                      <w:sz w:val="21"/>
                      <w:szCs w:val="20"/>
                    </w:rPr>
                    <w:t>实际能力(</w:t>
                  </w:r>
                  <w:r>
                    <w:rPr>
                      <w:rFonts w:hint="eastAsia" w:ascii="Times New Roman" w:hAnsi="Times New Roman" w:cs="Times New Roman" w:eastAsiaTheme="minorEastAsia"/>
                      <w:b/>
                      <w:sz w:val="21"/>
                      <w:szCs w:val="20"/>
                      <w:lang w:val="en-US"/>
                    </w:rPr>
                    <w:t>t</w:t>
                  </w:r>
                  <w:r>
                    <w:rPr>
                      <w:rFonts w:ascii="Times New Roman" w:hAnsi="Times New Roman" w:cs="Times New Roman" w:eastAsiaTheme="minorEastAsia"/>
                      <w:b/>
                      <w:sz w:val="21"/>
                      <w:szCs w:val="20"/>
                    </w:rPr>
                    <w:t>/年)</w:t>
                  </w:r>
                </w:p>
              </w:tc>
              <w:tc>
                <w:tcPr>
                  <w:tcW w:w="929" w:type="pct"/>
                  <w:tcBorders>
                    <w:tl2br w:val="nil"/>
                    <w:tr2bl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ascii="Times New Roman" w:hAnsi="Times New Roman" w:cs="Times New Roman" w:eastAsiaTheme="minorEastAsia"/>
                      <w:b/>
                      <w:sz w:val="21"/>
                      <w:szCs w:val="20"/>
                    </w:rPr>
                  </w:pPr>
                  <w:r>
                    <w:rPr>
                      <w:rFonts w:ascii="Times New Roman" w:hAnsi="Times New Roman" w:cs="Times New Roman" w:eastAsiaTheme="minorEastAsia"/>
                      <w:b/>
                      <w:sz w:val="21"/>
                      <w:szCs w:val="20"/>
                    </w:rPr>
                    <w:t>年运行时数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pct"/>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1</w:t>
                  </w:r>
                </w:p>
              </w:tc>
              <w:tc>
                <w:tcPr>
                  <w:tcW w:w="12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95#汽油、92#汽油</w:t>
                  </w:r>
                </w:p>
              </w:tc>
              <w:tc>
                <w:tcPr>
                  <w:tcW w:w="114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1460</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1460</w:t>
                  </w:r>
                </w:p>
              </w:tc>
              <w:tc>
                <w:tcPr>
                  <w:tcW w:w="929" w:type="pct"/>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val="en-US" w:eastAsia="zh-CN"/>
                    </w:rPr>
                    <w:t>365天*24小时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pct"/>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val="en-US" w:eastAsia="zh-CN"/>
                    </w:rPr>
                    <w:t>2</w:t>
                  </w:r>
                </w:p>
              </w:tc>
              <w:tc>
                <w:tcPr>
                  <w:tcW w:w="12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0#柴油</w:t>
                  </w:r>
                </w:p>
              </w:tc>
              <w:tc>
                <w:tcPr>
                  <w:tcW w:w="114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365</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365</w:t>
                  </w:r>
                </w:p>
              </w:tc>
              <w:tc>
                <w:tcPr>
                  <w:tcW w:w="929" w:type="pct"/>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val="en-US" w:eastAsia="zh-CN"/>
                    </w:rPr>
                    <w:t>365天*24小时</w:t>
                  </w:r>
                </w:p>
              </w:tc>
            </w:tr>
          </w:tbl>
          <w:p>
            <w:pPr>
              <w:jc w:val="center"/>
              <w:rPr>
                <w:b/>
                <w:bCs/>
              </w:rPr>
            </w:pPr>
            <w:r>
              <w:rPr>
                <w:b/>
                <w:bCs/>
              </w:rPr>
              <w:t>表</w:t>
            </w:r>
            <w:r>
              <w:rPr>
                <w:rFonts w:hint="eastAsia"/>
                <w:b/>
                <w:bCs/>
              </w:rPr>
              <w:t>2</w:t>
            </w:r>
            <w:r>
              <w:rPr>
                <w:b/>
                <w:bCs/>
              </w:rPr>
              <w:t>-</w:t>
            </w:r>
            <w:r>
              <w:rPr>
                <w:rFonts w:hint="eastAsia"/>
                <w:b/>
                <w:bCs/>
              </w:rPr>
              <w:t>2</w:t>
            </w:r>
            <w:r>
              <w:rPr>
                <w:b/>
                <w:bCs/>
              </w:rPr>
              <w:t xml:space="preserve"> 项目主要设备规格、数量一览表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67"/>
              <w:gridCol w:w="1746"/>
              <w:gridCol w:w="2108"/>
              <w:gridCol w:w="1215"/>
              <w:gridCol w:w="225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374" w:type="pct"/>
                  <w:tcBorders>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序号</w:t>
                  </w:r>
                </w:p>
              </w:tc>
              <w:tc>
                <w:tcPr>
                  <w:tcW w:w="979" w:type="pct"/>
                  <w:tcBorders>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设备名称</w:t>
                  </w:r>
                </w:p>
              </w:tc>
              <w:tc>
                <w:tcPr>
                  <w:tcW w:w="1182" w:type="pct"/>
                  <w:tcBorders>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规格（型号）</w:t>
                  </w:r>
                </w:p>
              </w:tc>
              <w:tc>
                <w:tcPr>
                  <w:tcW w:w="681" w:type="pct"/>
                  <w:tcBorders>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环评</w:t>
                  </w:r>
                  <w:r>
                    <w:rPr>
                      <w:rFonts w:ascii="Times New Roman" w:hAnsi="Times New Roman" w:cs="Times New Roman" w:eastAsiaTheme="minorEastAsia"/>
                      <w:b/>
                      <w:bCs/>
                      <w:sz w:val="21"/>
                      <w:szCs w:val="21"/>
                    </w:rPr>
                    <w:t>数量</w:t>
                  </w:r>
                </w:p>
              </w:tc>
              <w:tc>
                <w:tcPr>
                  <w:tcW w:w="1264" w:type="pct"/>
                  <w:tcBorders>
                    <w:left w:val="single" w:color="000000" w:sz="4" w:space="0"/>
                    <w:bottom w:val="single" w:color="000000" w:sz="4" w:space="0"/>
                    <w:right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实际数量</w:t>
                  </w:r>
                </w:p>
              </w:tc>
              <w:tc>
                <w:tcPr>
                  <w:tcW w:w="518" w:type="pct"/>
                  <w:tcBorders>
                    <w:left w:val="single" w:color="000000" w:sz="4" w:space="0"/>
                    <w:bottom w:val="single" w:color="000000" w:sz="4" w:space="0"/>
                    <w:right w:val="nil"/>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eastAsia="Times New Roman"/>
                      <w:sz w:val="21"/>
                      <w:szCs w:val="21"/>
                    </w:rPr>
                    <w:t>SF</w:t>
                  </w:r>
                  <w:r>
                    <w:rPr>
                      <w:sz w:val="21"/>
                      <w:szCs w:val="21"/>
                    </w:rPr>
                    <w:t>双层油罐</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卧式双层油罐，</w:t>
                  </w:r>
                  <w:r>
                    <w:rPr>
                      <w:rFonts w:ascii="Times New Roman" w:eastAsia="Times New Roman"/>
                      <w:sz w:val="21"/>
                      <w:szCs w:val="21"/>
                    </w:rPr>
                    <w:t>30m</w:t>
                  </w:r>
                  <w:r>
                    <w:rPr>
                      <w:rFonts w:ascii="Times New Roman" w:eastAsia="Times New Roman"/>
                      <w:sz w:val="21"/>
                      <w:szCs w:val="21"/>
                      <w:vertAlign w:val="superscript"/>
                    </w:rPr>
                    <w:t>3</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rFonts w:eastAsiaTheme="minorEastAsia"/>
                      <w:sz w:val="21"/>
                      <w:szCs w:val="21"/>
                    </w:rPr>
                  </w:pPr>
                  <w:r>
                    <w:rPr>
                      <w:rFonts w:hint="eastAsia" w:eastAsiaTheme="minorEastAsia"/>
                      <w:sz w:val="21"/>
                      <w:szCs w:val="21"/>
                    </w:rPr>
                    <w:t>3具</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eastAsiaTheme="minorEastAsia"/>
                      <w:color w:val="FF0000"/>
                      <w:sz w:val="21"/>
                      <w:szCs w:val="21"/>
                    </w:rPr>
                  </w:pPr>
                  <w:r>
                    <w:rPr>
                      <w:rFonts w:hint="eastAsia"/>
                      <w:sz w:val="21"/>
                      <w:szCs w:val="21"/>
                      <w:lang w:eastAsia="zh-CN"/>
                    </w:rPr>
                    <w:t>3具</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加油机</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双枪潜油泵型加油机</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5台</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eastAsiaTheme="minorEastAsia"/>
                      <w:color w:val="FF0000"/>
                      <w:sz w:val="21"/>
                      <w:szCs w:val="21"/>
                    </w:rPr>
                  </w:pPr>
                  <w:r>
                    <w:rPr>
                      <w:rFonts w:hint="eastAsia"/>
                      <w:sz w:val="21"/>
                      <w:szCs w:val="21"/>
                      <w:lang w:eastAsia="zh-CN"/>
                    </w:rPr>
                    <w:t>5台</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潜油泵</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sz w:val="21"/>
                      <w:szCs w:val="21"/>
                    </w:rPr>
                    <w:t>/</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rFonts w:eastAsiaTheme="minorEastAsia"/>
                      <w:sz w:val="21"/>
                      <w:szCs w:val="21"/>
                    </w:rPr>
                  </w:pPr>
                  <w:r>
                    <w:rPr>
                      <w:rFonts w:hint="eastAsia"/>
                      <w:sz w:val="21"/>
                      <w:szCs w:val="21"/>
                    </w:rPr>
                    <w:t>3台</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eastAsiaTheme="minorEastAsia"/>
                      <w:color w:val="FF0000"/>
                      <w:sz w:val="21"/>
                      <w:szCs w:val="21"/>
                    </w:rPr>
                  </w:pPr>
                  <w:r>
                    <w:rPr>
                      <w:rFonts w:hint="eastAsia"/>
                      <w:sz w:val="21"/>
                      <w:szCs w:val="21"/>
                      <w:lang w:eastAsia="zh-CN"/>
                    </w:rPr>
                    <w:t>3台</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液位仪</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sz w:val="21"/>
                      <w:szCs w:val="21"/>
                    </w:rPr>
                    <w:t>/</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rFonts w:eastAsiaTheme="minorEastAsia"/>
                      <w:sz w:val="21"/>
                      <w:szCs w:val="21"/>
                    </w:rPr>
                  </w:pPr>
                  <w:r>
                    <w:rPr>
                      <w:rFonts w:hint="eastAsia" w:eastAsiaTheme="minorEastAsia"/>
                      <w:sz w:val="21"/>
                      <w:szCs w:val="21"/>
                    </w:rPr>
                    <w:t>3套</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eastAsiaTheme="minorEastAsia"/>
                      <w:color w:val="FF0000"/>
                      <w:sz w:val="21"/>
                      <w:szCs w:val="21"/>
                    </w:rPr>
                  </w:pPr>
                  <w:r>
                    <w:rPr>
                      <w:rFonts w:hint="eastAsia"/>
                      <w:sz w:val="21"/>
                      <w:szCs w:val="21"/>
                      <w:lang w:val="en-US" w:eastAsia="zh-CN"/>
                    </w:rPr>
                    <w:t>1套（3合1）</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减少设备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油气回收设备</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rPr>
                  </w:pPr>
                  <w:r>
                    <w:rPr>
                      <w:sz w:val="21"/>
                      <w:szCs w:val="21"/>
                    </w:rPr>
                    <w:t>卸油油气回收系统</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rFonts w:eastAsiaTheme="minorEastAsia"/>
                      <w:sz w:val="21"/>
                      <w:szCs w:val="21"/>
                    </w:rPr>
                  </w:pPr>
                  <w:r>
                    <w:rPr>
                      <w:rFonts w:hint="eastAsia"/>
                      <w:sz w:val="21"/>
                      <w:szCs w:val="21"/>
                    </w:rPr>
                    <w:t>1套</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eastAsiaTheme="minorEastAsia"/>
                      <w:sz w:val="21"/>
                      <w:szCs w:val="21"/>
                    </w:rPr>
                  </w:pPr>
                  <w:r>
                    <w:rPr>
                      <w:rFonts w:hint="eastAsia"/>
                      <w:sz w:val="21"/>
                      <w:szCs w:val="21"/>
                      <w:lang w:eastAsia="zh-CN"/>
                    </w:rPr>
                    <w:t>1套</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6</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r>
                    <w:rPr>
                      <w:sz w:val="21"/>
                      <w:szCs w:val="21"/>
                    </w:rPr>
                    <w:t>油气回收设备</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color w:val="000000"/>
                      <w:sz w:val="21"/>
                      <w:szCs w:val="21"/>
                    </w:rPr>
                  </w:pPr>
                  <w:r>
                    <w:rPr>
                      <w:sz w:val="21"/>
                      <w:szCs w:val="21"/>
                    </w:rPr>
                    <w:t>加油油气回收系统</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1套</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sz w:val="21"/>
                      <w:szCs w:val="21"/>
                    </w:rPr>
                  </w:pPr>
                  <w:r>
                    <w:rPr>
                      <w:rFonts w:hint="eastAsia"/>
                      <w:sz w:val="21"/>
                      <w:szCs w:val="21"/>
                      <w:lang w:eastAsia="zh-CN"/>
                    </w:rPr>
                    <w:t>1套</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7</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r>
                    <w:rPr>
                      <w:sz w:val="21"/>
                      <w:szCs w:val="21"/>
                    </w:rPr>
                    <w:t>通气管</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color w:val="000000"/>
                      <w:sz w:val="21"/>
                      <w:szCs w:val="21"/>
                    </w:rPr>
                  </w:pPr>
                  <w:r>
                    <w:rPr>
                      <w:rFonts w:ascii="Times New Roman"/>
                      <w:sz w:val="21"/>
                      <w:szCs w:val="21"/>
                    </w:rPr>
                    <w:t>/</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3根</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eastAsia="zh-CN"/>
                    </w:rPr>
                    <w:t>3根</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同环评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8</w:t>
                  </w:r>
                </w:p>
              </w:tc>
              <w:tc>
                <w:tcPr>
                  <w:tcW w:w="979"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r>
                    <w:rPr>
                      <w:sz w:val="21"/>
                      <w:szCs w:val="21"/>
                    </w:rPr>
                    <w:t>发电机</w:t>
                  </w:r>
                </w:p>
              </w:tc>
              <w:tc>
                <w:tcPr>
                  <w:tcW w:w="1182" w:type="pct"/>
                  <w:tcBorders>
                    <w:top w:val="single" w:color="000000" w:sz="4" w:space="0"/>
                    <w:left w:val="single" w:color="000000" w:sz="4" w:space="0"/>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color w:val="000000"/>
                      <w:sz w:val="21"/>
                      <w:szCs w:val="21"/>
                    </w:rPr>
                  </w:pPr>
                  <w:r>
                    <w:rPr>
                      <w:rFonts w:ascii="Times New Roman"/>
                      <w:sz w:val="21"/>
                      <w:szCs w:val="21"/>
                    </w:rPr>
                    <w:t>30KW</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1台</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val="en-US" w:eastAsia="zh-CN"/>
                    </w:rPr>
                    <w:t>14.7</w:t>
                  </w:r>
                  <w:r>
                    <w:rPr>
                      <w:rFonts w:hint="eastAsia"/>
                      <w:sz w:val="21"/>
                      <w:szCs w:val="21"/>
                      <w:lang w:eastAsia="zh-CN"/>
                    </w:rPr>
                    <w:t>KW</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减小功率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vMerge w:val="restart"/>
                  <w:tcBorders>
                    <w:top w:val="single" w:color="000000" w:sz="4" w:space="0"/>
                    <w:left w:val="nil"/>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9</w:t>
                  </w:r>
                </w:p>
              </w:tc>
              <w:tc>
                <w:tcPr>
                  <w:tcW w:w="979" w:type="pct"/>
                  <w:vMerge w:val="restart"/>
                  <w:tcBorders>
                    <w:top w:val="single" w:color="000000" w:sz="4" w:space="0"/>
                    <w:left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lang w:val="en-US"/>
                    </w:rPr>
                  </w:pPr>
                  <w:r>
                    <w:rPr>
                      <w:rFonts w:hint="eastAsia"/>
                      <w:sz w:val="21"/>
                      <w:szCs w:val="21"/>
                      <w:lang w:val="en-US"/>
                    </w:rPr>
                    <w:t>消防设备</w:t>
                  </w:r>
                </w:p>
              </w:tc>
              <w:tc>
                <w:tcPr>
                  <w:tcW w:w="1182"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sz w:val="21"/>
                      <w:szCs w:val="21"/>
                    </w:rPr>
                  </w:pPr>
                  <w:r>
                    <w:rPr>
                      <w:rFonts w:ascii="Times New Roman" w:eastAsia="Times New Roman"/>
                      <w:sz w:val="21"/>
                      <w:szCs w:val="21"/>
                    </w:rPr>
                    <w:t>4kg</w:t>
                  </w:r>
                  <w:r>
                    <w:rPr>
                      <w:sz w:val="21"/>
                      <w:szCs w:val="21"/>
                    </w:rPr>
                    <w:t>手提式干粉灭火器</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12具</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eastAsia="zh-CN"/>
                    </w:rPr>
                    <w:t>1</w:t>
                  </w:r>
                  <w:r>
                    <w:rPr>
                      <w:rFonts w:hint="eastAsia"/>
                      <w:sz w:val="21"/>
                      <w:szCs w:val="21"/>
                      <w:lang w:val="en-US" w:eastAsia="zh-CN"/>
                    </w:rPr>
                    <w:t>4</w:t>
                  </w:r>
                  <w:r>
                    <w:rPr>
                      <w:rFonts w:hint="eastAsia"/>
                      <w:sz w:val="21"/>
                      <w:szCs w:val="21"/>
                      <w:lang w:eastAsia="zh-CN"/>
                    </w:rPr>
                    <w:t>具</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vMerge w:val="continue"/>
                  <w:tcBorders>
                    <w:left w:val="nil"/>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p>
              </w:tc>
              <w:tc>
                <w:tcPr>
                  <w:tcW w:w="979" w:type="pct"/>
                  <w:vMerge w:val="continue"/>
                  <w:tcBorders>
                    <w:left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p>
              </w:tc>
              <w:tc>
                <w:tcPr>
                  <w:tcW w:w="1182"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sz w:val="21"/>
                      <w:szCs w:val="21"/>
                    </w:rPr>
                  </w:pPr>
                  <w:r>
                    <w:rPr>
                      <w:rFonts w:ascii="Times New Roman" w:eastAsia="Times New Roman"/>
                      <w:sz w:val="21"/>
                      <w:szCs w:val="21"/>
                    </w:rPr>
                    <w:t>35kg</w:t>
                  </w:r>
                  <w:r>
                    <w:rPr>
                      <w:sz w:val="21"/>
                      <w:szCs w:val="21"/>
                    </w:rPr>
                    <w:t>推车式干粉灭火器</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1台</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val="en-US" w:eastAsia="zh-CN"/>
                    </w:rPr>
                    <w:t>4</w:t>
                  </w:r>
                  <w:r>
                    <w:rPr>
                      <w:rFonts w:hint="eastAsia"/>
                      <w:sz w:val="21"/>
                      <w:szCs w:val="21"/>
                      <w:lang w:eastAsia="zh-CN"/>
                    </w:rPr>
                    <w:t>台</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vMerge w:val="continue"/>
                  <w:tcBorders>
                    <w:left w:val="nil"/>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p>
              </w:tc>
              <w:tc>
                <w:tcPr>
                  <w:tcW w:w="979" w:type="pct"/>
                  <w:vMerge w:val="continue"/>
                  <w:tcBorders>
                    <w:left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p>
              </w:tc>
              <w:tc>
                <w:tcPr>
                  <w:tcW w:w="1182"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sz w:val="21"/>
                      <w:szCs w:val="21"/>
                    </w:rPr>
                  </w:pPr>
                  <w:r>
                    <w:rPr>
                      <w:sz w:val="21"/>
                      <w:szCs w:val="21"/>
                    </w:rPr>
                    <w:t>灭火毯</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5块</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val="en-US" w:eastAsia="zh-CN"/>
                    </w:rPr>
                    <w:t>7</w:t>
                  </w:r>
                  <w:r>
                    <w:rPr>
                      <w:rFonts w:hint="eastAsia"/>
                      <w:sz w:val="21"/>
                      <w:szCs w:val="21"/>
                      <w:lang w:eastAsia="zh-CN"/>
                    </w:rPr>
                    <w:t>块</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vMerge w:val="continue"/>
                  <w:tcBorders>
                    <w:left w:val="nil"/>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p>
              </w:tc>
              <w:tc>
                <w:tcPr>
                  <w:tcW w:w="979" w:type="pct"/>
                  <w:vMerge w:val="continue"/>
                  <w:tcBorders>
                    <w:left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p>
              </w:tc>
              <w:tc>
                <w:tcPr>
                  <w:tcW w:w="1182"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sz w:val="21"/>
                      <w:szCs w:val="21"/>
                    </w:rPr>
                  </w:pPr>
                  <w:r>
                    <w:rPr>
                      <w:sz w:val="21"/>
                      <w:szCs w:val="21"/>
                    </w:rPr>
                    <w:t>消防沙</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2m</w:t>
                  </w:r>
                  <w:r>
                    <w:rPr>
                      <w:rFonts w:hint="eastAsia"/>
                      <w:sz w:val="21"/>
                      <w:szCs w:val="21"/>
                      <w:vertAlign w:val="superscript"/>
                    </w:rPr>
                    <w:t>3</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val="en-US" w:eastAsia="zh-CN"/>
                    </w:rPr>
                    <w:t>10</w:t>
                  </w:r>
                  <w:r>
                    <w:rPr>
                      <w:rFonts w:hint="eastAsia"/>
                      <w:sz w:val="21"/>
                      <w:szCs w:val="21"/>
                      <w:lang w:eastAsia="zh-CN"/>
                    </w:rPr>
                    <w:t>m</w:t>
                  </w:r>
                  <w:r>
                    <w:rPr>
                      <w:rFonts w:hint="eastAsia"/>
                      <w:sz w:val="21"/>
                      <w:szCs w:val="21"/>
                      <w:vertAlign w:val="superscript"/>
                      <w:lang w:eastAsia="zh-CN"/>
                    </w:rPr>
                    <w:t>3</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vMerge w:val="continue"/>
                  <w:tcBorders>
                    <w:left w:val="nil"/>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p>
              </w:tc>
              <w:tc>
                <w:tcPr>
                  <w:tcW w:w="979" w:type="pct"/>
                  <w:vMerge w:val="continue"/>
                  <w:tcBorders>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sz w:val="21"/>
                      <w:szCs w:val="21"/>
                    </w:rPr>
                  </w:pPr>
                </w:p>
              </w:tc>
              <w:tc>
                <w:tcPr>
                  <w:tcW w:w="1182"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sz w:val="21"/>
                      <w:szCs w:val="21"/>
                    </w:rPr>
                  </w:pPr>
                  <w:r>
                    <w:rPr>
                      <w:sz w:val="21"/>
                      <w:szCs w:val="21"/>
                    </w:rPr>
                    <w:t>消防铲</w:t>
                  </w:r>
                </w:p>
              </w:tc>
              <w:tc>
                <w:tcPr>
                  <w:tcW w:w="68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sz w:val="21"/>
                      <w:szCs w:val="21"/>
                    </w:rPr>
                  </w:pPr>
                  <w:r>
                    <w:rPr>
                      <w:rFonts w:hint="eastAsia"/>
                      <w:sz w:val="21"/>
                      <w:szCs w:val="21"/>
                    </w:rPr>
                    <w:t>2把</w:t>
                  </w:r>
                </w:p>
              </w:tc>
              <w:tc>
                <w:tcPr>
                  <w:tcW w:w="225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color w:val="FF0000"/>
                      <w:sz w:val="21"/>
                      <w:szCs w:val="21"/>
                    </w:rPr>
                  </w:pPr>
                  <w:r>
                    <w:rPr>
                      <w:rFonts w:hint="eastAsia"/>
                      <w:sz w:val="21"/>
                      <w:szCs w:val="21"/>
                      <w:lang w:val="en-US" w:eastAsia="zh-CN"/>
                    </w:rPr>
                    <w:t>4</w:t>
                  </w:r>
                  <w:r>
                    <w:rPr>
                      <w:rFonts w:hint="eastAsia"/>
                      <w:sz w:val="21"/>
                      <w:szCs w:val="21"/>
                      <w:lang w:eastAsia="zh-CN"/>
                    </w:rPr>
                    <w:t>把</w:t>
                  </w:r>
                </w:p>
              </w:tc>
              <w:tc>
                <w:tcPr>
                  <w:tcW w:w="92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after="0" w:afterAutospacing="0" w:line="240" w:lineRule="atLeast"/>
                    <w:ind w:left="0" w:leftChars="0" w:right="0" w:rightChars="0"/>
                    <w:jc w:val="center"/>
                    <w:textAlignment w:val="auto"/>
                    <w:rPr>
                      <w:rFonts w:eastAsiaTheme="minorEastAsia"/>
                      <w:color w:val="FF0000"/>
                      <w:sz w:val="21"/>
                      <w:szCs w:val="21"/>
                    </w:rPr>
                  </w:pPr>
                  <w:r>
                    <w:rPr>
                      <w:rFonts w:hint="eastAsia" w:cs="Times New Roman"/>
                      <w:color w:val="auto"/>
                      <w:kern w:val="0"/>
                      <w:sz w:val="21"/>
                      <w:szCs w:val="21"/>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74" w:type="pct"/>
                  <w:tcBorders>
                    <w:top w:val="single" w:color="000000" w:sz="4" w:space="0"/>
                    <w:left w:val="nil"/>
                    <w:bottom w:val="single" w:color="000000" w:sz="4" w:space="0"/>
                    <w:right w:val="single" w:color="000000" w:sz="4" w:space="0"/>
                  </w:tcBorders>
                </w:tcPr>
                <w:p>
                  <w:pPr>
                    <w:pStyle w:val="31"/>
                    <w:keepNext w:val="0"/>
                    <w:keepLines w:val="0"/>
                    <w:pageBreakBefore w:val="0"/>
                    <w:widowControl/>
                    <w:kinsoku/>
                    <w:wordWrap/>
                    <w:overflowPunct/>
                    <w:topLinePunct w:val="0"/>
                    <w:autoSpaceDE/>
                    <w:autoSpaceDN/>
                    <w:bidi w:val="0"/>
                    <w:adjustRightInd w:val="0"/>
                    <w:snapToGrid w:val="0"/>
                    <w:spacing w:beforeLines="0" w:after="0" w:afterLines="0"/>
                    <w:ind w:left="0" w:right="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备注</w:t>
                  </w:r>
                </w:p>
              </w:tc>
              <w:tc>
                <w:tcPr>
                  <w:tcW w:w="4625" w:type="pct"/>
                  <w:gridSpan w:val="5"/>
                  <w:tcBorders>
                    <w:top w:val="single" w:color="000000" w:sz="4" w:space="0"/>
                    <w:left w:val="single" w:color="000000"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ind w:left="0" w:right="0"/>
                    <w:jc w:val="center"/>
                    <w:textAlignment w:val="auto"/>
                    <w:rPr>
                      <w:rFonts w:eastAsiaTheme="minorEastAsia"/>
                      <w:color w:val="FF000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4"/>
                <w:szCs w:val="24"/>
                <w:highlight w:val="none"/>
              </w:rPr>
            </w:pPr>
            <w:r>
              <w:rPr>
                <w:rFonts w:hint="eastAsia"/>
                <w:b/>
                <w:bCs/>
              </w:rPr>
              <w:t>表2-3 验收项目公辅工程</w:t>
            </w:r>
          </w:p>
          <w:tbl>
            <w:tblPr>
              <w:tblStyle w:val="22"/>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4"/>
              <w:gridCol w:w="1099"/>
              <w:gridCol w:w="4148"/>
              <w:gridCol w:w="2113"/>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b/>
                      <w:bCs/>
                      <w:sz w:val="21"/>
                      <w:szCs w:val="21"/>
                      <w:lang w:val="en-US" w:eastAsia="zh-CN"/>
                    </w:rPr>
                  </w:pPr>
                  <w:r>
                    <w:rPr>
                      <w:rFonts w:hint="default"/>
                      <w:b/>
                      <w:bCs/>
                      <w:sz w:val="21"/>
                      <w:szCs w:val="21"/>
                    </w:rPr>
                    <w:t>类别</w:t>
                  </w:r>
                </w:p>
              </w:tc>
              <w:tc>
                <w:tcPr>
                  <w:tcW w:w="62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b/>
                      <w:bCs/>
                      <w:sz w:val="21"/>
                      <w:szCs w:val="21"/>
                      <w:lang w:val="en-US" w:eastAsia="zh-CN"/>
                    </w:rPr>
                  </w:pPr>
                  <w:r>
                    <w:rPr>
                      <w:rFonts w:hint="default"/>
                      <w:b/>
                      <w:bCs/>
                      <w:sz w:val="21"/>
                      <w:szCs w:val="21"/>
                    </w:rPr>
                    <w:t>项目名称</w:t>
                  </w:r>
                </w:p>
              </w:tc>
              <w:tc>
                <w:tcPr>
                  <w:tcW w:w="23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b/>
                      <w:bCs/>
                      <w:sz w:val="21"/>
                      <w:szCs w:val="21"/>
                      <w:lang w:val="en-US" w:eastAsia="zh-CN"/>
                    </w:rPr>
                  </w:pPr>
                  <w:r>
                    <w:rPr>
                      <w:rFonts w:hint="default"/>
                      <w:b/>
                      <w:bCs/>
                      <w:sz w:val="21"/>
                      <w:szCs w:val="21"/>
                    </w:rPr>
                    <w:t>环评建设内容和规模</w:t>
                  </w:r>
                </w:p>
              </w:tc>
              <w:tc>
                <w:tcPr>
                  <w:tcW w:w="119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b/>
                      <w:bCs/>
                      <w:sz w:val="21"/>
                      <w:szCs w:val="21"/>
                      <w:lang w:val="en-US" w:eastAsia="zh-CN"/>
                    </w:rPr>
                  </w:pPr>
                  <w:r>
                    <w:rPr>
                      <w:rFonts w:hint="default"/>
                      <w:b/>
                      <w:bCs/>
                      <w:sz w:val="21"/>
                      <w:szCs w:val="21"/>
                    </w:rPr>
                    <w:t>实际建设内容</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宋体"/>
                      <w:b/>
                      <w:bCs/>
                      <w:sz w:val="21"/>
                      <w:szCs w:val="21"/>
                      <w:lang w:val="en-US" w:eastAsia="zh-CN"/>
                    </w:rPr>
                  </w:pPr>
                  <w:r>
                    <w:rPr>
                      <w:rFonts w:hint="eastAsia"/>
                      <w:b/>
                      <w:bCs/>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restart"/>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rFonts w:hint="eastAsia" w:ascii="Times New Roman" w:hAnsi="宋体" w:eastAsia="Times New Roman" w:cs="宋体"/>
                      <w:b/>
                      <w:bCs/>
                      <w:spacing w:val="2"/>
                      <w:sz w:val="21"/>
                      <w:szCs w:val="21"/>
                      <w:lang w:val="en-US" w:eastAsia="zh-CN"/>
                    </w:rPr>
                  </w:pPr>
                  <w:r>
                    <w:rPr>
                      <w:rFonts w:hint="eastAsia" w:ascii="Times New Roman" w:hAnsi="宋体" w:eastAsia="Times New Roman" w:cs="宋体"/>
                      <w:b/>
                      <w:bCs/>
                      <w:spacing w:val="2"/>
                      <w:sz w:val="21"/>
                      <w:szCs w:val="21"/>
                      <w:lang w:val="en-US" w:eastAsia="zh-CN"/>
                    </w:rPr>
                    <w:t>主体</w:t>
                  </w:r>
                </w:p>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rFonts w:hint="eastAsia" w:ascii="Times New Roman" w:hAnsi="宋体" w:eastAsia="Times New Roman" w:cs="宋体"/>
                      <w:b/>
                      <w:bCs/>
                      <w:spacing w:val="2"/>
                      <w:sz w:val="21"/>
                      <w:szCs w:val="21"/>
                      <w:lang w:val="en-US" w:eastAsia="zh-CN" w:bidi="ar-SA"/>
                    </w:rPr>
                  </w:pPr>
                  <w:r>
                    <w:rPr>
                      <w:rFonts w:hint="eastAsia" w:ascii="Times New Roman" w:hAnsi="宋体" w:eastAsia="Times New Roman" w:cs="宋体"/>
                      <w:b/>
                      <w:bCs/>
                      <w:spacing w:val="2"/>
                      <w:sz w:val="21"/>
                      <w:szCs w:val="21"/>
                      <w:lang w:val="en-US" w:eastAsia="zh-CN"/>
                    </w:rPr>
                    <w:t>工程</w:t>
                  </w: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埋地油罐</w:t>
                  </w:r>
                </w:p>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区</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设置于场区西北侧，地埋式，设置3座 SF双层油罐：30m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的92#汽油罐、30m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的95#汽油罐、30m</w:t>
                  </w:r>
                  <w:r>
                    <w:rPr>
                      <w:rFonts w:hint="eastAsia" w:ascii="Times New Roman" w:hAnsi="Times New Roman" w:eastAsia="宋体"/>
                      <w:sz w:val="21"/>
                      <w:szCs w:val="21"/>
                      <w:vertAlign w:val="superscript"/>
                    </w:rPr>
                    <w:t>3</w:t>
                  </w:r>
                  <w:r>
                    <w:rPr>
                      <w:rFonts w:hint="eastAsia"/>
                      <w:sz w:val="21"/>
                      <w:szCs w:val="21"/>
                      <w:vertAlign w:val="baseline"/>
                      <w:lang w:eastAsia="zh-CN"/>
                    </w:rPr>
                    <w:t>的</w:t>
                  </w:r>
                  <w:r>
                    <w:rPr>
                      <w:rFonts w:hint="eastAsia" w:ascii="Times New Roman" w:hAnsi="Times New Roman" w:eastAsia="宋体"/>
                      <w:sz w:val="21"/>
                      <w:szCs w:val="21"/>
                    </w:rPr>
                    <w:t>0#柴油罐各1 具</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同环评</w:t>
                  </w:r>
                </w:p>
              </w:tc>
              <w:tc>
                <w:tcPr>
                  <w:tcW w:w="52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b/>
                      <w:bCs/>
                      <w:sz w:val="21"/>
                      <w:szCs w:val="21"/>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加油区</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位于站内中部，设置5个加油岛，安装 5 台2枪带油气回收加油机</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同环评</w:t>
                  </w:r>
                </w:p>
              </w:tc>
              <w:tc>
                <w:tcPr>
                  <w:tcW w:w="52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b/>
                      <w:bCs/>
                      <w:sz w:val="21"/>
                      <w:szCs w:val="21"/>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加油罩棚</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钢质网架，投影面积 130m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，净高 4.5m</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spacing w:val="2"/>
                      <w:sz w:val="21"/>
                      <w:szCs w:val="21"/>
                      <w:lang w:val="en-US" w:eastAsia="zh-CN"/>
                    </w:rPr>
                  </w:pPr>
                  <w:r>
                    <w:rPr>
                      <w:rFonts w:hint="eastAsia" w:ascii="Times New Roman" w:hAnsi="Times New Roman" w:eastAsia="宋体"/>
                      <w:sz w:val="21"/>
                      <w:szCs w:val="21"/>
                      <w:lang w:eastAsia="zh-CN"/>
                    </w:rPr>
                    <w:t>同环评</w:t>
                  </w:r>
                </w:p>
              </w:tc>
              <w:tc>
                <w:tcPr>
                  <w:tcW w:w="52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rFonts w:hint="eastAsia" w:ascii="Times New Roman" w:hAnsi="宋体" w:eastAsia="Times New Roman" w:cs="宋体"/>
                      <w:spacing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rFonts w:hint="eastAsia" w:ascii="Times New Roman" w:hAnsi="宋体" w:eastAsia="Times New Roman" w:cs="宋体"/>
                      <w:b/>
                      <w:bCs/>
                      <w:spacing w:val="2"/>
                      <w:sz w:val="21"/>
                      <w:szCs w:val="21"/>
                      <w:lang w:val="en-US" w:eastAsia="zh-CN"/>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输油管线</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rPr>
                    <w:t>选用双层防静电复合管，并配套渗漏检测系统</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spacing w:val="2"/>
                      <w:sz w:val="21"/>
                      <w:szCs w:val="21"/>
                      <w:lang w:val="en-US" w:eastAsia="zh-CN"/>
                    </w:rPr>
                  </w:pPr>
                  <w:r>
                    <w:rPr>
                      <w:rFonts w:hint="eastAsia" w:ascii="Times New Roman" w:hAnsi="Times New Roman" w:eastAsia="宋体"/>
                      <w:sz w:val="21"/>
                      <w:szCs w:val="21"/>
                      <w:lang w:eastAsia="zh-CN"/>
                    </w:rPr>
                    <w:t>同环评</w:t>
                  </w:r>
                </w:p>
              </w:tc>
              <w:tc>
                <w:tcPr>
                  <w:tcW w:w="52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rFonts w:hint="eastAsia" w:ascii="Times New Roman" w:hAnsi="宋体" w:eastAsia="Times New Roman" w:cs="宋体"/>
                      <w:spacing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辅助工程</w:t>
                  </w: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lang w:eastAsia="zh-CN"/>
                    </w:rPr>
                    <w:t>消防</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eastAsia="zh-CN"/>
                    </w:rPr>
                    <w:t>配置 4kg 手提式干粉灭火器</w:t>
                  </w:r>
                  <w:r>
                    <w:rPr>
                      <w:rFonts w:hint="eastAsia"/>
                      <w:sz w:val="21"/>
                      <w:szCs w:val="21"/>
                      <w:lang w:val="en-US" w:eastAsia="zh-CN"/>
                    </w:rPr>
                    <w:t>12</w:t>
                  </w:r>
                  <w:r>
                    <w:rPr>
                      <w:rFonts w:hint="eastAsia" w:ascii="Times New Roman" w:hAnsi="Times New Roman" w:eastAsia="宋体"/>
                      <w:sz w:val="21"/>
                      <w:szCs w:val="21"/>
                      <w:lang w:eastAsia="zh-CN"/>
                    </w:rPr>
                    <w:t>具、35kg 推车式干粉灭火器 1 台、消防沙 2m</w:t>
                  </w:r>
                  <w:r>
                    <w:rPr>
                      <w:rFonts w:hint="eastAsia" w:ascii="Times New Roman" w:hAnsi="Times New Roman" w:eastAsia="宋体"/>
                      <w:sz w:val="21"/>
                      <w:szCs w:val="21"/>
                      <w:vertAlign w:val="superscript"/>
                      <w:lang w:eastAsia="zh-CN"/>
                    </w:rPr>
                    <w:t>3</w:t>
                  </w:r>
                  <w:r>
                    <w:rPr>
                      <w:rFonts w:hint="eastAsia" w:ascii="Times New Roman" w:hAnsi="Times New Roman" w:eastAsia="宋体"/>
                      <w:sz w:val="21"/>
                      <w:szCs w:val="21"/>
                      <w:lang w:eastAsia="zh-CN"/>
                    </w:rPr>
                    <w:t xml:space="preserve">、灭火毯 5块、2 </w:t>
                  </w:r>
                  <w:r>
                    <w:rPr>
                      <w:rFonts w:hint="eastAsia"/>
                      <w:sz w:val="21"/>
                      <w:szCs w:val="21"/>
                      <w:lang w:val="en-US" w:eastAsia="zh-CN"/>
                    </w:rPr>
                    <w:t>把消防铲</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imes New Roman" w:hAnsi="宋体" w:eastAsia="Times New Roman" w:cs="宋体"/>
                      <w:spacing w:val="2"/>
                      <w:sz w:val="21"/>
                      <w:szCs w:val="21"/>
                      <w:lang w:val="zh-CN" w:eastAsia="zh-CN" w:bidi="ar-SA"/>
                    </w:rPr>
                  </w:pPr>
                  <w:r>
                    <w:rPr>
                      <w:rFonts w:hint="eastAsia" w:ascii="Times New Roman" w:hAnsi="Times New Roman" w:eastAsia="宋体"/>
                      <w:sz w:val="21"/>
                      <w:szCs w:val="21"/>
                      <w:lang w:eastAsia="zh-CN"/>
                    </w:rPr>
                    <w:t>配置 4kg 手提式干粉灭火器</w:t>
                  </w:r>
                  <w:r>
                    <w:rPr>
                      <w:rFonts w:hint="eastAsia"/>
                      <w:sz w:val="21"/>
                      <w:szCs w:val="21"/>
                      <w:lang w:val="en-US" w:eastAsia="zh-CN"/>
                    </w:rPr>
                    <w:t>14</w:t>
                  </w:r>
                  <w:r>
                    <w:rPr>
                      <w:rFonts w:hint="eastAsia" w:ascii="Times New Roman" w:hAnsi="Times New Roman" w:eastAsia="宋体"/>
                      <w:sz w:val="21"/>
                      <w:szCs w:val="21"/>
                      <w:lang w:eastAsia="zh-CN"/>
                    </w:rPr>
                    <w:t>具、35kg推车式干粉灭火器</w:t>
                  </w:r>
                  <w:r>
                    <w:rPr>
                      <w:rFonts w:hint="eastAsia"/>
                      <w:sz w:val="21"/>
                      <w:szCs w:val="21"/>
                      <w:lang w:val="en-US" w:eastAsia="zh-CN"/>
                    </w:rPr>
                    <w:t>4</w:t>
                  </w:r>
                  <w:r>
                    <w:rPr>
                      <w:rFonts w:hint="eastAsia" w:ascii="Times New Roman" w:hAnsi="Times New Roman" w:eastAsia="宋体"/>
                      <w:sz w:val="21"/>
                      <w:szCs w:val="21"/>
                      <w:lang w:eastAsia="zh-CN"/>
                    </w:rPr>
                    <w:t xml:space="preserve">台、消防沙 </w:t>
                  </w:r>
                  <w:r>
                    <w:rPr>
                      <w:rFonts w:hint="eastAsia"/>
                      <w:sz w:val="21"/>
                      <w:szCs w:val="21"/>
                      <w:lang w:val="en-US" w:eastAsia="zh-CN"/>
                    </w:rPr>
                    <w:t>10</w:t>
                  </w:r>
                  <w:r>
                    <w:rPr>
                      <w:rFonts w:hint="eastAsia" w:ascii="Times New Roman" w:hAnsi="Times New Roman" w:eastAsia="宋体"/>
                      <w:sz w:val="21"/>
                      <w:szCs w:val="21"/>
                      <w:lang w:eastAsia="zh-CN"/>
                    </w:rPr>
                    <w:t>m</w:t>
                  </w:r>
                  <w:r>
                    <w:rPr>
                      <w:rFonts w:hint="eastAsia" w:ascii="Times New Roman" w:hAnsi="Times New Roman" w:eastAsia="宋体"/>
                      <w:sz w:val="21"/>
                      <w:szCs w:val="21"/>
                      <w:vertAlign w:val="superscript"/>
                      <w:lang w:eastAsia="zh-CN"/>
                    </w:rPr>
                    <w:t>3</w:t>
                  </w:r>
                  <w:r>
                    <w:rPr>
                      <w:rFonts w:hint="eastAsia" w:ascii="Times New Roman" w:hAnsi="Times New Roman" w:eastAsia="宋体"/>
                      <w:sz w:val="21"/>
                      <w:szCs w:val="21"/>
                      <w:lang w:eastAsia="zh-CN"/>
                    </w:rPr>
                    <w:t>、灭火毯</w:t>
                  </w:r>
                  <w:r>
                    <w:rPr>
                      <w:rFonts w:hint="eastAsia"/>
                      <w:sz w:val="21"/>
                      <w:szCs w:val="21"/>
                      <w:lang w:val="en-US" w:eastAsia="zh-CN"/>
                    </w:rPr>
                    <w:t>7</w:t>
                  </w:r>
                  <w:r>
                    <w:rPr>
                      <w:rFonts w:hint="eastAsia" w:ascii="Times New Roman" w:hAnsi="Times New Roman" w:eastAsia="宋体"/>
                      <w:sz w:val="21"/>
                      <w:szCs w:val="21"/>
                      <w:lang w:eastAsia="zh-CN"/>
                    </w:rPr>
                    <w:t>块、</w:t>
                  </w:r>
                  <w:r>
                    <w:rPr>
                      <w:rFonts w:hint="eastAsia"/>
                      <w:sz w:val="21"/>
                      <w:szCs w:val="21"/>
                      <w:lang w:val="en-US" w:eastAsia="zh-CN"/>
                    </w:rPr>
                    <w:t>4</w:t>
                  </w:r>
                  <w:r>
                    <w:rPr>
                      <w:rFonts w:hint="eastAsia" w:ascii="Times New Roman" w:hAnsi="Times New Roman" w:eastAsia="宋体"/>
                      <w:sz w:val="21"/>
                      <w:szCs w:val="21"/>
                      <w:lang w:eastAsia="zh-CN"/>
                    </w:rPr>
                    <w:t xml:space="preserve"> </w:t>
                  </w:r>
                  <w:r>
                    <w:rPr>
                      <w:rFonts w:hint="eastAsia"/>
                      <w:sz w:val="21"/>
                      <w:szCs w:val="21"/>
                      <w:lang w:val="en-US" w:eastAsia="zh-CN"/>
                    </w:rPr>
                    <w:t>把消防铲</w:t>
                  </w:r>
                </w:p>
              </w:tc>
              <w:tc>
                <w:tcPr>
                  <w:tcW w:w="528" w:type="pct"/>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spacing w:beforeLines="0" w:beforeAutospacing="0" w:after="0" w:afterLines="0" w:afterAutospacing="0" w:line="240" w:lineRule="auto"/>
                    <w:ind w:left="0" w:right="0"/>
                    <w:jc w:val="center"/>
                    <w:textAlignment w:val="auto"/>
                    <w:rPr>
                      <w:rFonts w:hint="default" w:ascii="Times New Roman" w:hAnsi="Times New Roman" w:eastAsia="宋体" w:cstheme="minorBidi"/>
                      <w:sz w:val="21"/>
                      <w:szCs w:val="21"/>
                      <w:lang w:val="en-US" w:eastAsia="zh-CN" w:bidi="ar-SA"/>
                    </w:rPr>
                  </w:pPr>
                  <w:r>
                    <w:rPr>
                      <w:rFonts w:hint="eastAsia"/>
                      <w:sz w:val="21"/>
                      <w:szCs w:val="21"/>
                      <w:lang w:val="en-US" w:eastAsia="zh-CN"/>
                    </w:rPr>
                    <w:t>各类消防设备均增加，不产生新污染物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b/>
                      <w:bCs/>
                      <w:sz w:val="21"/>
                      <w:szCs w:val="21"/>
                      <w:lang w:val="en-US" w:eastAsia="zh-CN"/>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卸油场</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位于油罐区东侧，卸油平台 1 个，露天</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kern w:val="0"/>
                      <w:sz w:val="21"/>
                      <w:szCs w:val="21"/>
                    </w:rPr>
                  </w:pPr>
                  <w:r>
                    <w:rPr>
                      <w:rFonts w:hint="eastAsia" w:ascii="Times New Roman" w:hAnsi="Times New Roman" w:eastAsia="宋体"/>
                      <w:sz w:val="21"/>
                      <w:szCs w:val="21"/>
                      <w:lang w:eastAsia="zh-CN"/>
                    </w:rPr>
                    <w:t>同环评</w:t>
                  </w:r>
                </w:p>
              </w:tc>
              <w:tc>
                <w:tcPr>
                  <w:tcW w:w="528" w:type="pct"/>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spacing w:beforeLines="0" w:beforeAutospacing="0" w:after="0" w:afterLines="0" w:afterAutospacing="0" w:line="240" w:lineRule="auto"/>
                    <w:ind w:left="0" w:right="0"/>
                    <w:jc w:val="center"/>
                    <w:textAlignment w:val="auto"/>
                    <w:rPr>
                      <w:rFonts w:hint="eastAsia" w:ascii="Times New Roman"/>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sz w:val="21"/>
                      <w:szCs w:val="21"/>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洗车区</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站内东北角，采用人工清洗方式</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sz w:val="21"/>
                      <w:szCs w:val="21"/>
                      <w:lang w:val="en-US" w:eastAsia="zh-CN"/>
                    </w:rPr>
                  </w:pPr>
                  <w:r>
                    <w:rPr>
                      <w:rFonts w:hint="eastAsia" w:ascii="Times New Roman" w:hAnsi="Times New Roman" w:eastAsia="宋体"/>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公用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工程</w:t>
                  </w: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lang w:eastAsia="zh-CN"/>
                    </w:rPr>
                    <w:t>供水系统</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lang w:eastAsia="zh-CN"/>
                    </w:rPr>
                    <w:t>市政供水，供站内生产、生活用水</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spacing w:val="2"/>
                      <w:sz w:val="21"/>
                      <w:szCs w:val="21"/>
                      <w:lang w:val="zh-CN" w:eastAsia="zh-CN" w:bidi="zh-CN"/>
                    </w:rPr>
                  </w:pPr>
                  <w:r>
                    <w:rPr>
                      <w:rFonts w:hint="eastAsia" w:hAnsi="宋体" w:eastAsia="Times New Roman" w:cs="宋体"/>
                      <w:spacing w:val="2"/>
                      <w:sz w:val="21"/>
                      <w:szCs w:val="21"/>
                      <w:lang w:val="zh-CN" w:eastAsia="zh-CN" w:bidi="zh-CN"/>
                    </w:rPr>
                    <w:t>取地下水</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color w:val="000000"/>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sz w:val="21"/>
                      <w:szCs w:val="21"/>
                      <w:lang w:val="en-US" w:eastAsia="zh-CN"/>
                    </w:rPr>
                  </w:pPr>
                </w:p>
              </w:tc>
              <w:tc>
                <w:tcPr>
                  <w:tcW w:w="620"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排水系统</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采取雨污分流制、预处理池</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color w:val="auto"/>
                      <w:spacing w:val="2"/>
                      <w:sz w:val="21"/>
                      <w:szCs w:val="21"/>
                      <w:lang w:val="zh-CN" w:eastAsia="zh-CN" w:bidi="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color w:val="000000"/>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sz w:val="21"/>
                      <w:szCs w:val="21"/>
                      <w:lang w:val="en-US" w:eastAsia="zh-CN"/>
                    </w:rPr>
                  </w:pPr>
                </w:p>
              </w:tc>
              <w:tc>
                <w:tcPr>
                  <w:tcW w:w="62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zh-CN" w:eastAsia="zh-CN"/>
                    </w:rPr>
                  </w:pPr>
                  <w:r>
                    <w:rPr>
                      <w:rFonts w:hint="eastAsia" w:ascii="Times New Roman" w:hAnsi="Times New Roman" w:eastAsia="宋体"/>
                      <w:color w:val="auto"/>
                      <w:sz w:val="21"/>
                      <w:szCs w:val="21"/>
                      <w:lang w:eastAsia="zh-CN"/>
                    </w:rPr>
                    <w:t>站内建设环保沟、初期雨水隔油池</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color w:val="auto"/>
                      <w:spacing w:val="2"/>
                      <w:sz w:val="21"/>
                      <w:szCs w:val="21"/>
                      <w:lang w:val="zh-CN" w:eastAsia="zh-CN" w:bidi="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Times New Roman" w:eastAsia="宋体"/>
                      <w:color w:val="000000"/>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sz w:val="21"/>
                      <w:szCs w:val="21"/>
                      <w:lang w:val="en-US" w:eastAsia="zh-CN"/>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lang w:eastAsia="zh-CN"/>
                    </w:rPr>
                    <w:t>供电系统</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市政供电、30KW 发电机一台作为备用电源</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color w:val="auto"/>
                      <w:spacing w:val="2"/>
                      <w:sz w:val="21"/>
                      <w:szCs w:val="21"/>
                      <w:lang w:val="zh-CN" w:eastAsia="zh-CN" w:bidi="zh-CN"/>
                    </w:rPr>
                  </w:pPr>
                  <w:r>
                    <w:rPr>
                      <w:rFonts w:hint="eastAsia" w:ascii="Times New Roman" w:hAnsi="Times New Roman" w:eastAsia="宋体"/>
                      <w:color w:val="auto"/>
                      <w:sz w:val="21"/>
                      <w:szCs w:val="21"/>
                      <w:lang w:eastAsia="zh-CN"/>
                    </w:rPr>
                    <w:t>市政供电、</w:t>
                  </w:r>
                  <w:r>
                    <w:rPr>
                      <w:rFonts w:hint="eastAsia"/>
                      <w:color w:val="auto"/>
                      <w:sz w:val="21"/>
                      <w:szCs w:val="21"/>
                      <w:lang w:val="en-US" w:eastAsia="zh-CN"/>
                    </w:rPr>
                    <w:t>14.7</w:t>
                  </w:r>
                  <w:r>
                    <w:rPr>
                      <w:rFonts w:hint="eastAsia" w:ascii="Times New Roman" w:hAnsi="Times New Roman" w:eastAsia="宋体"/>
                      <w:color w:val="auto"/>
                      <w:sz w:val="21"/>
                      <w:szCs w:val="21"/>
                      <w:lang w:eastAsia="zh-CN"/>
                    </w:rPr>
                    <w:t>KW发电机一台作为备用电源</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olor w:val="000000"/>
                      <w:sz w:val="21"/>
                      <w:szCs w:val="21"/>
                      <w:lang w:val="en-US" w:eastAsia="zh-CN"/>
                    </w:rPr>
                  </w:pPr>
                  <w:r>
                    <w:rPr>
                      <w:rFonts w:hint="eastAsia"/>
                      <w:color w:val="000000"/>
                      <w:sz w:val="21"/>
                      <w:szCs w:val="21"/>
                      <w:lang w:val="en-US" w:eastAsia="zh-CN"/>
                    </w:rPr>
                    <w:t>减小功率，降低污染物排放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宋体" w:eastAsia="Times New Roman" w:cs="宋体"/>
                      <w:spacing w:val="2"/>
                      <w:sz w:val="21"/>
                      <w:szCs w:val="21"/>
                      <w:lang w:val="en-US" w:eastAsia="zh-CN" w:bidi="ar-SA"/>
                    </w:rPr>
                  </w:pPr>
                  <w:r>
                    <w:rPr>
                      <w:rFonts w:hint="eastAsia"/>
                      <w:b/>
                      <w:bCs/>
                      <w:sz w:val="21"/>
                      <w:szCs w:val="21"/>
                    </w:rPr>
                    <w:t>办公及生活设施</w:t>
                  </w: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lang w:eastAsia="zh-CN"/>
                    </w:rPr>
                    <w:t>站房</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 处，砖混结构 1 层，位于站区北侧、及西侧。主要功能房间储物间、办公室、配电室</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zh-CN" w:eastAsia="zh-CN"/>
                    </w:rPr>
                  </w:pPr>
                  <w:r>
                    <w:rPr>
                      <w:rFonts w:hint="eastAsia" w:ascii="Times New Roman" w:hAnsi="Times New Roman" w:eastAsia="宋体"/>
                      <w:color w:val="auto"/>
                      <w:sz w:val="21"/>
                      <w:szCs w:val="21"/>
                      <w:lang w:eastAsia="zh-CN"/>
                    </w:rPr>
                    <w:t>发电间、便利店、监控室等</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color w:val="auto"/>
                      <w:spacing w:val="2"/>
                      <w:sz w:val="21"/>
                      <w:szCs w:val="21"/>
                      <w:lang w:val="zh-CN" w:eastAsia="zh-CN"/>
                    </w:rPr>
                  </w:pPr>
                  <w:r>
                    <w:rPr>
                      <w:rFonts w:hint="eastAsia" w:ascii="Times New Roman" w:hAnsi="Times New Roman" w:eastAsia="宋体"/>
                      <w:color w:val="auto"/>
                      <w:sz w:val="21"/>
                      <w:szCs w:val="21"/>
                      <w:lang w:eastAsia="zh-CN"/>
                    </w:rPr>
                    <w:t>同环评</w:t>
                  </w:r>
                </w:p>
              </w:tc>
              <w:tc>
                <w:tcPr>
                  <w:tcW w:w="528" w:type="pct"/>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宋体" w:eastAsia="Times New Roman" w:cs="宋体"/>
                      <w:spacing w:val="2"/>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Lines="0" w:beforeAutospacing="0" w:after="0" w:afterLines="0" w:afterAutospacing="0" w:line="240" w:lineRule="auto"/>
                    <w:ind w:left="0" w:leftChars="0" w:right="0" w:rightChars="0"/>
                    <w:jc w:val="center"/>
                    <w:textAlignment w:val="auto"/>
                    <w:rPr>
                      <w:sz w:val="21"/>
                      <w:szCs w:val="21"/>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卫生间</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位于站房东侧</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宋体" w:eastAsia="Times New Roman" w:cs="宋体"/>
                      <w:color w:val="auto"/>
                      <w:spacing w:val="2"/>
                      <w:sz w:val="21"/>
                      <w:szCs w:val="21"/>
                      <w:lang w:val="en-US" w:eastAsia="zh-CN"/>
                    </w:rPr>
                  </w:pPr>
                  <w:r>
                    <w:rPr>
                      <w:rFonts w:hint="eastAsia" w:ascii="Times New Roman" w:hAnsi="Times New Roman" w:eastAsia="宋体"/>
                      <w:color w:val="auto"/>
                      <w:sz w:val="21"/>
                      <w:szCs w:val="21"/>
                      <w:lang w:eastAsia="zh-CN"/>
                    </w:rPr>
                    <w:t>同环评</w:t>
                  </w:r>
                </w:p>
              </w:tc>
              <w:tc>
                <w:tcPr>
                  <w:tcW w:w="52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宋体" w:eastAsia="Times New Roman" w:cs="宋体"/>
                      <w:spacing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环保</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工程</w:t>
                  </w:r>
                </w:p>
              </w:tc>
              <w:tc>
                <w:tcPr>
                  <w:tcW w:w="620"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废水治理</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预处理池 1 座，地埋式，位于站房东北侧，</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为地埋式，有效容积为 5m</w:t>
                  </w:r>
                  <w:r>
                    <w:rPr>
                      <w:rFonts w:hint="eastAsia" w:ascii="Times New Roman" w:hAnsi="Times New Roman" w:eastAsia="宋体"/>
                      <w:color w:val="auto"/>
                      <w:sz w:val="21"/>
                      <w:szCs w:val="21"/>
                      <w:vertAlign w:val="superscript"/>
                      <w:lang w:eastAsia="zh-CN"/>
                    </w:rPr>
                    <w:t>3</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初期雨水：项目南侧、东侧建环保沟（规格为 B×H=0.25m×0.2m），收集初期雨水； 隔油池 1座，4m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宋体"/>
                      <w:color w:val="auto"/>
                      <w:sz w:val="21"/>
                      <w:szCs w:val="21"/>
                      <w:lang w:eastAsia="zh-CN"/>
                    </w:rPr>
                    <w:t>，位于站内东北侧，用于</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初期雨水隔油沉淀处理，设计为三级隔油</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洗车废水隔油沉淀池 1 座，4.5m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宋体"/>
                      <w:color w:val="auto"/>
                      <w:sz w:val="21"/>
                      <w:szCs w:val="21"/>
                      <w:lang w:eastAsia="zh-CN"/>
                    </w:rPr>
                    <w:t>，站内东北侧，用于洗车废水隔油沉淀处理，设计为三级隔油；设置洗车废水回用设备 1 套，采用石英砂过滤</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废气治理</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设置卸油油气回收系统及加油油气回收系</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统，采用油气回收性的加油枪；设一次、二次油气回收装置；铺设油气回收管线</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同环评</w:t>
                  </w:r>
                </w:p>
              </w:tc>
              <w:tc>
                <w:tcPr>
                  <w:tcW w:w="52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设置储油罐通气管（高出地面 4m）3 根，管</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口设置带阻火器的呼吸阀</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同环评</w:t>
                  </w:r>
                </w:p>
              </w:tc>
              <w:tc>
                <w:tcPr>
                  <w:tcW w:w="52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rPr>
                      <w:rFonts w:hint="eastAsia" w:ascii="Times New Roman" w:hAnsi="宋体" w:eastAsia="Times New Roman" w:cs="宋体"/>
                      <w:spacing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柴油发电机废气：经烟气处理装置处理后由</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排烟管口伸出屋顶排放</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同环评</w:t>
                  </w:r>
                </w:p>
              </w:tc>
              <w:tc>
                <w:tcPr>
                  <w:tcW w:w="52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固废治理</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设置危废暂存间 1 处，位于站房内西侧（面</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积约 5m</w:t>
                  </w:r>
                  <w:r>
                    <w:rPr>
                      <w:rFonts w:hint="eastAsia" w:ascii="Times New Roman" w:hAnsi="Times New Roman" w:eastAsia="宋体"/>
                      <w:sz w:val="21"/>
                      <w:szCs w:val="21"/>
                      <w:vertAlign w:val="superscript"/>
                      <w:lang w:eastAsia="zh-CN"/>
                    </w:rPr>
                    <w:t>3</w:t>
                  </w:r>
                  <w:r>
                    <w:rPr>
                      <w:rFonts w:hint="eastAsia" w:ascii="Times New Roman" w:hAnsi="Times New Roman" w:eastAsia="宋体"/>
                      <w:sz w:val="21"/>
                      <w:szCs w:val="21"/>
                      <w:lang w:eastAsia="zh-CN"/>
                    </w:rPr>
                    <w:t>）</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1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sz w:val="21"/>
                      <w:szCs w:val="21"/>
                      <w:lang w:eastAsia="zh-CN"/>
                    </w:rPr>
                  </w:pPr>
                </w:p>
              </w:tc>
              <w:tc>
                <w:tcPr>
                  <w:tcW w:w="6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地下水防治</w:t>
                  </w:r>
                </w:p>
              </w:tc>
              <w:tc>
                <w:tcPr>
                  <w:tcW w:w="23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项目内进行分区防渗处理，危废暂存间满足K≤1×10</w:t>
                  </w:r>
                  <w:r>
                    <w:rPr>
                      <w:rFonts w:hint="eastAsia" w:ascii="Times New Roman" w:hAnsi="Times New Roman" w:eastAsia="宋体"/>
                      <w:color w:val="auto"/>
                      <w:sz w:val="21"/>
                      <w:szCs w:val="21"/>
                      <w:vertAlign w:val="superscript"/>
                      <w:lang w:eastAsia="zh-CN"/>
                    </w:rPr>
                    <w:t>-10</w:t>
                  </w:r>
                  <w:r>
                    <w:rPr>
                      <w:rFonts w:hint="eastAsia" w:ascii="Times New Roman" w:hAnsi="Times New Roman" w:eastAsia="宋体"/>
                      <w:color w:val="auto"/>
                      <w:sz w:val="21"/>
                      <w:szCs w:val="21"/>
                      <w:lang w:eastAsia="zh-CN"/>
                    </w:rPr>
                    <w:t>cm/s，其他重点防渗区满足等效黏土防渗层 Mb≥6.0m，K≤1×10</w:t>
                  </w:r>
                  <w:r>
                    <w:rPr>
                      <w:rFonts w:hint="eastAsia" w:ascii="Times New Roman" w:hAnsi="Times New Roman" w:eastAsia="宋体"/>
                      <w:color w:val="auto"/>
                      <w:sz w:val="21"/>
                      <w:szCs w:val="21"/>
                      <w:vertAlign w:val="superscript"/>
                      <w:lang w:eastAsia="zh-CN"/>
                    </w:rPr>
                    <w:t>-7</w:t>
                  </w:r>
                  <w:r>
                    <w:rPr>
                      <w:rFonts w:hint="eastAsia" w:ascii="Times New Roman" w:hAnsi="Times New Roman" w:eastAsia="宋体"/>
                      <w:color w:val="auto"/>
                      <w:sz w:val="21"/>
                      <w:szCs w:val="21"/>
                      <w:lang w:eastAsia="zh-CN"/>
                    </w:rPr>
                    <w:t>cm/s；一般防渗区的满足等效黏土防渗层 Mb≥1.5m，K≤1×10</w:t>
                  </w:r>
                  <w:r>
                    <w:rPr>
                      <w:rFonts w:hint="eastAsia" w:ascii="Times New Roman" w:hAnsi="Times New Roman" w:eastAsia="宋体"/>
                      <w:color w:val="auto"/>
                      <w:sz w:val="21"/>
                      <w:szCs w:val="21"/>
                      <w:vertAlign w:val="superscript"/>
                      <w:lang w:eastAsia="zh-CN"/>
                    </w:rPr>
                    <w:t>-7</w:t>
                  </w:r>
                  <w:r>
                    <w:rPr>
                      <w:rFonts w:hint="eastAsia" w:ascii="Times New Roman" w:hAnsi="Times New Roman" w:eastAsia="宋体"/>
                      <w:color w:val="auto"/>
                      <w:sz w:val="21"/>
                      <w:szCs w:val="21"/>
                      <w:lang w:eastAsia="zh-CN"/>
                    </w:rPr>
                    <w:t>cm/s。</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同环评</w:t>
                  </w:r>
                </w:p>
              </w:tc>
              <w:tc>
                <w:tcPr>
                  <w:tcW w:w="52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heme="minorBidi"/>
                      <w:sz w:val="21"/>
                      <w:szCs w:val="21"/>
                      <w:lang w:val="en-US" w:eastAsia="zh-CN" w:bidi="ar-SA"/>
                    </w:rPr>
                  </w:pPr>
                  <w:r>
                    <w:rPr>
                      <w:rFonts w:hint="eastAsia"/>
                      <w:sz w:val="21"/>
                      <w:szCs w:val="21"/>
                      <w:lang w:val="en-US" w:eastAsia="zh-CN"/>
                    </w:rPr>
                    <w:t>/</w:t>
                  </w:r>
                </w:p>
              </w:tc>
            </w:tr>
          </w:tbl>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44" w:firstLineChars="200"/>
              <w:jc w:val="both"/>
              <w:textAlignment w:val="auto"/>
              <w:rPr>
                <w:rFonts w:hint="default" w:eastAsia="宋体"/>
                <w:spacing w:val="-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83" w:hRule="atLeast"/>
          <w:jc w:val="center"/>
        </w:trPr>
        <w:tc>
          <w:tcPr>
            <w:tcW w:w="9167" w:type="dxa"/>
            <w:tcBorders>
              <w:left w:val="single" w:color="000000" w:sz="12" w:space="0"/>
              <w:bottom w:val="single" w:color="000000" w:sz="12" w:space="0"/>
            </w:tcBorders>
            <w:vAlign w:val="center"/>
          </w:tcPr>
          <w:p>
            <w:pPr>
              <w:pStyle w:val="31"/>
              <w:keepNext w:val="0"/>
              <w:keepLines w:val="0"/>
              <w:numPr>
                <w:ilvl w:val="0"/>
                <w:numId w:val="0"/>
              </w:numPr>
              <w:suppressLineNumbers w:val="0"/>
              <w:tabs>
                <w:tab w:val="left" w:pos="888"/>
              </w:tabs>
              <w:spacing w:before="97" w:beforeAutospacing="0" w:after="0" w:afterAutospacing="0" w:line="240" w:lineRule="auto"/>
              <w:ind w:right="0" w:rightChars="0"/>
              <w:jc w:val="left"/>
              <w:rPr>
                <w:rFonts w:hint="default"/>
                <w:b/>
                <w:sz w:val="28"/>
                <w:szCs w:val="28"/>
                <w:lang w:val="en-US"/>
              </w:rPr>
            </w:pPr>
            <w:r>
              <w:rPr>
                <w:rFonts w:hint="default"/>
                <w:b/>
                <w:sz w:val="28"/>
                <w:szCs w:val="28"/>
              </w:rPr>
              <w:t>原辅材料消耗</w:t>
            </w:r>
            <w:r>
              <w:rPr>
                <w:rFonts w:hint="eastAsia"/>
                <w:b/>
                <w:sz w:val="28"/>
                <w:szCs w:val="28"/>
                <w:lang w:eastAsia="zh-CN"/>
              </w:rPr>
              <w:t>、</w:t>
            </w:r>
            <w:r>
              <w:rPr>
                <w:rFonts w:hint="eastAsia"/>
                <w:b/>
                <w:sz w:val="28"/>
                <w:szCs w:val="28"/>
                <w:lang w:val="en-US" w:eastAsia="zh-CN"/>
              </w:rPr>
              <w:t>用水情况及水平衡</w:t>
            </w:r>
          </w:p>
          <w:p>
            <w:pPr>
              <w:pStyle w:val="31"/>
              <w:keepNext w:val="0"/>
              <w:keepLines w:val="0"/>
              <w:pageBreakBefore w:val="0"/>
              <w:widowControl/>
              <w:numPr>
                <w:ilvl w:val="0"/>
                <w:numId w:val="0"/>
              </w:numPr>
              <w:suppressLineNumbers w:val="0"/>
              <w:tabs>
                <w:tab w:val="left" w:pos="948"/>
              </w:tabs>
              <w:kinsoku/>
              <w:wordWrap/>
              <w:overflowPunct/>
              <w:topLinePunct w:val="0"/>
              <w:autoSpaceDE/>
              <w:autoSpaceDN/>
              <w:bidi w:val="0"/>
              <w:adjustRightInd w:val="0"/>
              <w:snapToGrid w:val="0"/>
              <w:spacing w:beforeAutospacing="0" w:after="0" w:afterAutospacing="0" w:line="240" w:lineRule="auto"/>
              <w:ind w:right="0" w:rightChars="0" w:firstLine="482" w:firstLineChars="200"/>
              <w:jc w:val="left"/>
              <w:textAlignment w:val="auto"/>
              <w:rPr>
                <w:rFonts w:hint="default"/>
                <w:b/>
                <w:sz w:val="24"/>
              </w:rPr>
            </w:pPr>
            <w:r>
              <w:rPr>
                <w:rFonts w:hint="eastAsia"/>
                <w:b/>
                <w:sz w:val="24"/>
                <w:lang w:val="en-US" w:eastAsia="zh-CN"/>
              </w:rPr>
              <w:t>1、</w:t>
            </w:r>
            <w:r>
              <w:rPr>
                <w:rFonts w:hint="default"/>
                <w:b/>
                <w:sz w:val="24"/>
              </w:rPr>
              <w:t>原辅材料：</w:t>
            </w:r>
          </w:p>
          <w:p>
            <w:pPr>
              <w:pStyle w:val="31"/>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firstLine="480" w:firstLineChars="200"/>
              <w:textAlignment w:val="auto"/>
              <w:rPr>
                <w:rFonts w:hint="default"/>
                <w:sz w:val="24"/>
              </w:rPr>
            </w:pPr>
            <w:r>
              <w:rPr>
                <w:rFonts w:hint="default"/>
                <w:sz w:val="24"/>
              </w:rPr>
              <w:t>本项目主要原辅材料</w:t>
            </w:r>
            <w:r>
              <w:rPr>
                <w:rFonts w:hint="eastAsia"/>
                <w:sz w:val="24"/>
                <w:lang w:val="en-US" w:eastAsia="zh-CN"/>
              </w:rPr>
              <w:t>消耗与环评对照</w:t>
            </w:r>
            <w:r>
              <w:rPr>
                <w:rFonts w:hint="default"/>
                <w:sz w:val="24"/>
              </w:rPr>
              <w:t xml:space="preserve">表 </w:t>
            </w:r>
            <w:r>
              <w:rPr>
                <w:rFonts w:hint="default" w:ascii="Times New Roman" w:eastAsia="Times New Roman"/>
                <w:sz w:val="24"/>
              </w:rPr>
              <w:t>2-</w:t>
            </w:r>
            <w:r>
              <w:rPr>
                <w:rFonts w:hint="eastAsia"/>
                <w:sz w:val="24"/>
                <w:lang w:val="en-US" w:eastAsia="zh-CN"/>
              </w:rPr>
              <w:t>5</w:t>
            </w:r>
            <w:r>
              <w:rPr>
                <w:rFonts w:hint="default"/>
                <w:sz w:val="24"/>
              </w:rPr>
              <w:t>。</w:t>
            </w:r>
          </w:p>
          <w:p>
            <w:pPr>
              <w:pStyle w:val="3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jc w:val="center"/>
              <w:textAlignment w:val="auto"/>
              <w:rPr>
                <w:rFonts w:hint="default" w:eastAsia="宋体"/>
                <w:b/>
                <w:sz w:val="24"/>
                <w:lang w:val="en-US" w:eastAsia="zh-CN"/>
              </w:rPr>
            </w:pPr>
            <w:r>
              <w:rPr>
                <w:rFonts w:hint="default"/>
                <w:b/>
                <w:sz w:val="24"/>
              </w:rPr>
              <w:t xml:space="preserve">表 </w:t>
            </w:r>
            <w:r>
              <w:rPr>
                <w:rFonts w:hint="default" w:ascii="Times New Roman" w:eastAsia="Times New Roman"/>
                <w:b/>
                <w:sz w:val="24"/>
              </w:rPr>
              <w:t>2-</w:t>
            </w:r>
            <w:r>
              <w:rPr>
                <w:rFonts w:hint="eastAsia"/>
                <w:b/>
                <w:sz w:val="24"/>
                <w:lang w:val="en-US" w:eastAsia="zh-CN"/>
              </w:rPr>
              <w:t>6</w:t>
            </w:r>
            <w:r>
              <w:rPr>
                <w:rFonts w:hint="default" w:ascii="Times New Roman" w:eastAsia="Times New Roman"/>
                <w:b/>
                <w:sz w:val="24"/>
              </w:rPr>
              <w:t xml:space="preserve">  </w:t>
            </w:r>
            <w:r>
              <w:rPr>
                <w:rFonts w:hint="default"/>
                <w:b/>
                <w:sz w:val="24"/>
              </w:rPr>
              <w:t>主要原辅材料消耗</w:t>
            </w:r>
            <w:r>
              <w:rPr>
                <w:rFonts w:hint="eastAsia"/>
                <w:b/>
                <w:sz w:val="24"/>
                <w:lang w:val="en-US" w:eastAsia="zh-CN"/>
              </w:rPr>
              <w:t>与环评对照</w:t>
            </w:r>
          </w:p>
          <w:tbl>
            <w:tblPr>
              <w:tblStyle w:val="22"/>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5"/>
              <w:gridCol w:w="1823"/>
              <w:gridCol w:w="2520"/>
              <w:gridCol w:w="2071"/>
              <w:gridCol w:w="1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b/>
                      <w:bCs/>
                      <w:sz w:val="21"/>
                      <w:szCs w:val="21"/>
                      <w:lang w:val="en-US" w:eastAsia="zh-CN"/>
                    </w:rPr>
                  </w:pPr>
                  <w:r>
                    <w:rPr>
                      <w:rFonts w:hint="eastAsia"/>
                      <w:b/>
                      <w:bCs/>
                      <w:sz w:val="21"/>
                      <w:szCs w:val="21"/>
                      <w:lang w:eastAsia="zh-CN"/>
                    </w:rPr>
                    <w:t>序号</w:t>
                  </w:r>
                </w:p>
              </w:tc>
              <w:tc>
                <w:tcPr>
                  <w:tcW w:w="18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b/>
                      <w:bCs/>
                      <w:sz w:val="21"/>
                      <w:szCs w:val="21"/>
                      <w:lang w:val="en-US" w:eastAsia="zh-CN"/>
                    </w:rPr>
                  </w:pPr>
                  <w:r>
                    <w:rPr>
                      <w:rFonts w:hint="eastAsia"/>
                      <w:b/>
                      <w:bCs/>
                      <w:sz w:val="21"/>
                      <w:szCs w:val="21"/>
                      <w:lang w:eastAsia="zh-CN"/>
                    </w:rPr>
                    <w:t>原辅料名称</w:t>
                  </w:r>
                </w:p>
              </w:tc>
              <w:tc>
                <w:tcPr>
                  <w:tcW w:w="25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b/>
                      <w:bCs/>
                      <w:sz w:val="21"/>
                      <w:szCs w:val="21"/>
                      <w:lang w:val="en-US" w:eastAsia="zh-CN"/>
                    </w:rPr>
                  </w:pPr>
                  <w:r>
                    <w:rPr>
                      <w:rFonts w:hint="eastAsia"/>
                      <w:b/>
                      <w:bCs/>
                      <w:sz w:val="21"/>
                      <w:szCs w:val="21"/>
                      <w:lang w:eastAsia="zh-CN"/>
                    </w:rPr>
                    <w:t>环评原辅料年用量</w:t>
                  </w:r>
                </w:p>
              </w:tc>
              <w:tc>
                <w:tcPr>
                  <w:tcW w:w="20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val="en-US" w:eastAsia="zh-CN"/>
                    </w:rPr>
                  </w:pPr>
                  <w:r>
                    <w:rPr>
                      <w:rFonts w:hint="eastAsia"/>
                      <w:b/>
                      <w:bCs/>
                      <w:sz w:val="21"/>
                      <w:szCs w:val="21"/>
                      <w:lang w:eastAsia="zh-CN"/>
                    </w:rPr>
                    <w:t>实际原辅料年用量</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val="en-US" w:eastAsia="zh-CN"/>
                    </w:rPr>
                  </w:pPr>
                  <w:r>
                    <w:rPr>
                      <w:rFonts w:hint="eastAsia"/>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default"/>
                      <w:sz w:val="21"/>
                      <w:szCs w:val="21"/>
                      <w:lang w:eastAsia="zh-CN"/>
                    </w:rPr>
                    <w:t>1</w:t>
                  </w:r>
                </w:p>
              </w:tc>
              <w:tc>
                <w:tcPr>
                  <w:tcW w:w="18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汽油</w:t>
                  </w:r>
                </w:p>
              </w:tc>
              <w:tc>
                <w:tcPr>
                  <w:tcW w:w="25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eastAsia="zh-CN"/>
                    </w:rPr>
                    <w:t>1460（t）</w:t>
                  </w:r>
                </w:p>
              </w:tc>
              <w:tc>
                <w:tcPr>
                  <w:tcW w:w="20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eastAsia="zh-CN"/>
                    </w:rPr>
                    <w:t>1460（t）</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default"/>
                      <w:sz w:val="21"/>
                      <w:szCs w:val="21"/>
                      <w:lang w:eastAsia="zh-CN"/>
                    </w:rPr>
                    <w:t>2</w:t>
                  </w:r>
                </w:p>
              </w:tc>
              <w:tc>
                <w:tcPr>
                  <w:tcW w:w="18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柴油</w:t>
                  </w:r>
                </w:p>
              </w:tc>
              <w:tc>
                <w:tcPr>
                  <w:tcW w:w="25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eastAsia="zh-CN"/>
                    </w:rPr>
                    <w:t>365（t）</w:t>
                  </w:r>
                </w:p>
              </w:tc>
              <w:tc>
                <w:tcPr>
                  <w:tcW w:w="20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365（t）</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default"/>
                      <w:sz w:val="21"/>
                      <w:szCs w:val="21"/>
                      <w:lang w:eastAsia="zh-CN"/>
                    </w:rPr>
                    <w:t>3</w:t>
                  </w:r>
                </w:p>
              </w:tc>
              <w:tc>
                <w:tcPr>
                  <w:tcW w:w="18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电</w:t>
                  </w:r>
                </w:p>
              </w:tc>
              <w:tc>
                <w:tcPr>
                  <w:tcW w:w="25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eastAsia="zh-CN"/>
                    </w:rPr>
                    <w:t>2（万 kw/h）</w:t>
                  </w:r>
                </w:p>
              </w:tc>
              <w:tc>
                <w:tcPr>
                  <w:tcW w:w="20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2（万 kw/h）</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val="en-US"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18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color w:val="auto"/>
                      <w:sz w:val="21"/>
                      <w:szCs w:val="21"/>
                      <w:lang w:val="en-US" w:eastAsia="zh-CN"/>
                    </w:rPr>
                  </w:pPr>
                  <w:r>
                    <w:rPr>
                      <w:rFonts w:hint="eastAsia"/>
                      <w:color w:val="auto"/>
                      <w:sz w:val="21"/>
                      <w:szCs w:val="21"/>
                      <w:lang w:eastAsia="zh-CN"/>
                    </w:rPr>
                    <w:t>自来水</w:t>
                  </w:r>
                </w:p>
              </w:tc>
              <w:tc>
                <w:tcPr>
                  <w:tcW w:w="25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color w:val="auto"/>
                      <w:sz w:val="21"/>
                      <w:szCs w:val="21"/>
                      <w:lang w:eastAsia="zh-CN"/>
                    </w:rPr>
                  </w:pPr>
                  <w:r>
                    <w:rPr>
                      <w:rFonts w:hint="eastAsia"/>
                      <w:color w:val="auto"/>
                      <w:sz w:val="21"/>
                      <w:szCs w:val="21"/>
                      <w:lang w:eastAsia="zh-CN"/>
                    </w:rPr>
                    <w:t>1170（m</w:t>
                  </w:r>
                  <w:r>
                    <w:rPr>
                      <w:rFonts w:hint="eastAsia"/>
                      <w:color w:val="auto"/>
                      <w:sz w:val="21"/>
                      <w:szCs w:val="21"/>
                      <w:vertAlign w:val="superscript"/>
                      <w:lang w:eastAsia="zh-CN"/>
                    </w:rPr>
                    <w:t>3</w:t>
                  </w:r>
                  <w:r>
                    <w:rPr>
                      <w:rFonts w:hint="eastAsia"/>
                      <w:color w:val="auto"/>
                      <w:sz w:val="21"/>
                      <w:szCs w:val="21"/>
                      <w:lang w:eastAsia="zh-CN"/>
                    </w:rPr>
                    <w:t>）</w:t>
                  </w:r>
                </w:p>
              </w:tc>
              <w:tc>
                <w:tcPr>
                  <w:tcW w:w="20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color w:val="auto"/>
                      <w:sz w:val="21"/>
                      <w:szCs w:val="21"/>
                      <w:lang w:val="en-US" w:eastAsia="zh-CN"/>
                    </w:rPr>
                  </w:pPr>
                  <w:r>
                    <w:rPr>
                      <w:rFonts w:hint="eastAsia"/>
                      <w:color w:val="auto"/>
                      <w:sz w:val="21"/>
                      <w:szCs w:val="21"/>
                      <w:lang w:eastAsia="zh-CN"/>
                    </w:rPr>
                    <w:t>1170（m</w:t>
                  </w:r>
                  <w:r>
                    <w:rPr>
                      <w:rFonts w:hint="eastAsia"/>
                      <w:color w:val="auto"/>
                      <w:sz w:val="21"/>
                      <w:szCs w:val="21"/>
                      <w:vertAlign w:val="superscript"/>
                      <w:lang w:eastAsia="zh-CN"/>
                    </w:rPr>
                    <w:t>3</w:t>
                  </w:r>
                  <w:r>
                    <w:rPr>
                      <w:rFonts w:hint="eastAsia"/>
                      <w:color w:val="auto"/>
                      <w:sz w:val="21"/>
                      <w:szCs w:val="21"/>
                      <w:lang w:eastAsia="zh-CN"/>
                    </w:rPr>
                    <w:t>）</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color w:val="auto"/>
                      <w:sz w:val="21"/>
                      <w:szCs w:val="21"/>
                      <w:lang w:eastAsia="zh-CN"/>
                    </w:rPr>
                  </w:pPr>
                  <w:r>
                    <w:rPr>
                      <w:rFonts w:hint="eastAsia"/>
                      <w:color w:val="auto"/>
                      <w:sz w:val="21"/>
                      <w:szCs w:val="21"/>
                      <w:lang w:eastAsia="zh-CN"/>
                    </w:rPr>
                    <w:t>取地下水</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Autospacing="0" w:after="0" w:afterAutospacing="0" w:line="360" w:lineRule="auto"/>
              <w:ind w:firstLine="482" w:firstLineChars="200"/>
              <w:textAlignment w:val="auto"/>
              <w:rPr>
                <w:rFonts w:hint="default" w:eastAsia="宋体"/>
                <w:b/>
                <w:color w:val="auto"/>
                <w:highlight w:val="none"/>
                <w:lang w:val="en-US" w:eastAsia="zh-CN"/>
              </w:rPr>
            </w:pPr>
            <w:r>
              <w:rPr>
                <w:rFonts w:hint="eastAsia"/>
                <w:b/>
                <w:bCs/>
                <w:color w:val="auto"/>
                <w:sz w:val="24"/>
                <w:szCs w:val="24"/>
                <w:highlight w:val="none"/>
                <w:lang w:val="en-US" w:eastAsia="zh-CN"/>
              </w:rPr>
              <w:t>2、项目用水情况</w:t>
            </w:r>
          </w:p>
          <w:p>
            <w:pPr>
              <w:pStyle w:val="10"/>
              <w:spacing w:after="0" w:line="360" w:lineRule="auto"/>
              <w:ind w:firstLine="480"/>
              <w:contextualSpacing/>
              <w:rPr>
                <w:rFonts w:hint="default" w:eastAsia="宋体"/>
                <w:color w:val="auto"/>
                <w:highlight w:val="none"/>
                <w:lang w:val="en-US" w:eastAsia="zh-CN"/>
              </w:rPr>
            </w:pPr>
            <w:r>
              <w:rPr>
                <w:rFonts w:hint="eastAsia"/>
                <w:color w:val="auto"/>
                <w:highlight w:val="none"/>
                <w:lang w:eastAsia="zh-CN"/>
              </w:rPr>
              <w:t>项目用水主要为</w:t>
            </w:r>
            <w:r>
              <w:rPr>
                <w:spacing w:val="-7"/>
                <w:sz w:val="24"/>
              </w:rPr>
              <w:t>职工及进出人员生活用水、洗车用水</w:t>
            </w:r>
            <w:r>
              <w:rPr>
                <w:rFonts w:hint="eastAsia" w:hAnsi="宋体"/>
                <w:sz w:val="24"/>
                <w:lang w:val="en-US" w:eastAsia="zh-CN"/>
              </w:rPr>
              <w:t>。</w:t>
            </w:r>
          </w:p>
          <w:p>
            <w:pPr>
              <w:pStyle w:val="10"/>
              <w:spacing w:after="0" w:line="360" w:lineRule="auto"/>
              <w:ind w:firstLine="480"/>
              <w:contextualSpacing/>
              <w:rPr>
                <w:rFonts w:hint="eastAsia"/>
                <w:sz w:val="24"/>
                <w:szCs w:val="24"/>
              </w:rPr>
            </w:pPr>
            <w:r>
              <w:rPr>
                <w:rFonts w:hint="eastAsia"/>
                <w:sz w:val="24"/>
                <w:szCs w:val="24"/>
              </w:rPr>
              <w:t>站内采用雨污分流制排水系统。</w:t>
            </w:r>
          </w:p>
          <w:p>
            <w:pPr>
              <w:pStyle w:val="10"/>
              <w:spacing w:after="0" w:line="360" w:lineRule="auto"/>
              <w:ind w:firstLine="480"/>
              <w:contextualSpacing/>
              <w:rPr>
                <w:rFonts w:hint="eastAsia"/>
                <w:sz w:val="24"/>
                <w:szCs w:val="24"/>
                <w:lang w:eastAsia="zh-CN"/>
              </w:rPr>
            </w:pPr>
            <w:r>
              <w:rPr>
                <w:rFonts w:hint="eastAsia"/>
                <w:sz w:val="24"/>
                <w:szCs w:val="24"/>
              </w:rPr>
              <w:t>经现场踏勘，</w:t>
            </w:r>
            <w:r>
              <w:rPr>
                <w:rFonts w:hint="eastAsia"/>
                <w:sz w:val="24"/>
                <w:szCs w:val="24"/>
                <w:lang w:eastAsia="zh-CN"/>
              </w:rPr>
              <w:t>项目所在地市政污水管网正在建设</w:t>
            </w:r>
            <w:r>
              <w:rPr>
                <w:rFonts w:hint="eastAsia"/>
                <w:sz w:val="24"/>
                <w:szCs w:val="24"/>
              </w:rPr>
              <w:t>，在建成运营前，本项目污水委托</w:t>
            </w:r>
            <w:r>
              <w:rPr>
                <w:rFonts w:hint="eastAsia"/>
                <w:sz w:val="24"/>
                <w:szCs w:val="24"/>
                <w:lang w:eastAsia="zh-CN"/>
              </w:rPr>
              <w:t>专业清运公司清运至</w:t>
            </w:r>
            <w:r>
              <w:rPr>
                <w:rFonts w:hint="eastAsia"/>
                <w:sz w:val="24"/>
                <w:szCs w:val="24"/>
              </w:rPr>
              <w:t>彭州市第一污水处理厂处理，</w:t>
            </w:r>
            <w:r>
              <w:rPr>
                <w:rFonts w:hint="eastAsia"/>
                <w:sz w:val="24"/>
                <w:szCs w:val="24"/>
                <w:lang w:eastAsia="zh-CN"/>
              </w:rPr>
              <w:t>清运</w:t>
            </w:r>
            <w:r>
              <w:rPr>
                <w:rFonts w:hint="eastAsia"/>
                <w:sz w:val="24"/>
                <w:szCs w:val="24"/>
              </w:rPr>
              <w:t>服务合同见附件，</w:t>
            </w:r>
            <w:r>
              <w:rPr>
                <w:rFonts w:hint="eastAsia"/>
                <w:sz w:val="24"/>
                <w:szCs w:val="24"/>
                <w:lang w:eastAsia="zh-CN"/>
              </w:rPr>
              <w:t>市政污水管网</w:t>
            </w:r>
            <w:r>
              <w:rPr>
                <w:rFonts w:hint="eastAsia"/>
                <w:sz w:val="24"/>
                <w:szCs w:val="24"/>
              </w:rPr>
              <w:t>完善且运营后，接入</w:t>
            </w:r>
            <w:r>
              <w:rPr>
                <w:rFonts w:hint="eastAsia"/>
                <w:sz w:val="24"/>
                <w:szCs w:val="24"/>
                <w:lang w:eastAsia="zh-CN"/>
              </w:rPr>
              <w:t>市政污水</w:t>
            </w:r>
            <w:r>
              <w:rPr>
                <w:rFonts w:hint="eastAsia"/>
                <w:sz w:val="24"/>
                <w:szCs w:val="24"/>
              </w:rPr>
              <w:t>管网</w:t>
            </w:r>
            <w:r>
              <w:rPr>
                <w:rFonts w:hint="eastAsia"/>
                <w:sz w:val="24"/>
                <w:szCs w:val="24"/>
                <w:lang w:eastAsia="zh-CN"/>
              </w:rPr>
              <w:t>。</w:t>
            </w:r>
          </w:p>
          <w:p>
            <w:pPr>
              <w:pStyle w:val="10"/>
              <w:spacing w:after="0" w:line="360" w:lineRule="auto"/>
              <w:ind w:firstLine="480"/>
              <w:contextualSpacing/>
              <w:rPr>
                <w:rFonts w:hint="eastAsia" w:eastAsia="宋体"/>
                <w:color w:val="auto"/>
                <w:sz w:val="24"/>
                <w:szCs w:val="24"/>
                <w:lang w:eastAsia="zh-CN"/>
              </w:rPr>
            </w:pPr>
            <w:r>
              <w:rPr>
                <w:rFonts w:hint="eastAsia"/>
                <w:color w:val="auto"/>
                <w:sz w:val="24"/>
                <w:szCs w:val="24"/>
              </w:rPr>
              <w:t>生活污水</w:t>
            </w:r>
            <w:r>
              <w:rPr>
                <w:rFonts w:hint="eastAsia"/>
                <w:color w:val="auto"/>
                <w:sz w:val="24"/>
                <w:szCs w:val="24"/>
                <w:lang w:eastAsia="zh-CN"/>
              </w:rPr>
              <w:t>：经</w:t>
            </w:r>
            <w:r>
              <w:rPr>
                <w:rFonts w:hint="eastAsia" w:cs="Times New Roman"/>
                <w:color w:val="auto"/>
                <w:lang w:eastAsia="zh-CN"/>
              </w:rPr>
              <w:t>预处理池</w:t>
            </w:r>
            <w:r>
              <w:rPr>
                <w:rFonts w:hint="eastAsia" w:ascii="Times New Roman" w:hAnsi="Times New Roman" w:cs="Times New Roman"/>
                <w:color w:val="auto"/>
              </w:rPr>
              <w:t>处理后</w:t>
            </w:r>
            <w:r>
              <w:rPr>
                <w:rFonts w:hint="eastAsia" w:cs="Times New Roman"/>
                <w:color w:val="auto"/>
                <w:lang w:eastAsia="zh-CN"/>
              </w:rPr>
              <w:t>的污水，</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sz w:val="24"/>
                <w:szCs w:val="24"/>
                <w:lang w:eastAsia="zh-CN"/>
              </w:rPr>
              <w:t>。</w:t>
            </w:r>
            <w:r>
              <w:rPr>
                <w:rFonts w:hint="eastAsia"/>
                <w:color w:val="auto"/>
                <w:sz w:val="24"/>
                <w:szCs w:val="24"/>
              </w:rPr>
              <w:t>加油站</w:t>
            </w:r>
            <w:r>
              <w:rPr>
                <w:rFonts w:hint="eastAsia"/>
                <w:color w:val="auto"/>
                <w:sz w:val="24"/>
                <w:szCs w:val="24"/>
                <w:lang w:eastAsia="zh-CN"/>
              </w:rPr>
              <w:t>岗位人数</w:t>
            </w:r>
            <w:r>
              <w:rPr>
                <w:rFonts w:hint="eastAsia"/>
                <w:color w:val="auto"/>
                <w:sz w:val="24"/>
                <w:szCs w:val="24"/>
              </w:rPr>
              <w:t>为10人 ，用水量为 1m</w:t>
            </w:r>
            <w:r>
              <w:rPr>
                <w:rFonts w:hint="eastAsia"/>
                <w:color w:val="auto"/>
                <w:sz w:val="24"/>
                <w:szCs w:val="24"/>
                <w:vertAlign w:val="superscript"/>
              </w:rPr>
              <w:t>3</w:t>
            </w:r>
            <w:r>
              <w:rPr>
                <w:rFonts w:hint="eastAsia"/>
                <w:color w:val="auto"/>
                <w:sz w:val="24"/>
                <w:szCs w:val="24"/>
              </w:rPr>
              <w:t>/d；日均进出场站人员</w:t>
            </w:r>
            <w:r>
              <w:rPr>
                <w:rFonts w:hint="eastAsia"/>
                <w:color w:val="auto"/>
                <w:sz w:val="24"/>
                <w:szCs w:val="24"/>
                <w:lang w:eastAsia="zh-CN"/>
              </w:rPr>
              <w:t>约</w:t>
            </w:r>
            <w:r>
              <w:rPr>
                <w:rFonts w:hint="eastAsia"/>
                <w:color w:val="auto"/>
                <w:sz w:val="24"/>
                <w:szCs w:val="24"/>
              </w:rPr>
              <w:t xml:space="preserve"> 200 人，用水量为1m</w:t>
            </w:r>
            <w:r>
              <w:rPr>
                <w:rFonts w:hint="eastAsia"/>
                <w:color w:val="auto"/>
                <w:sz w:val="24"/>
                <w:szCs w:val="24"/>
                <w:vertAlign w:val="superscript"/>
              </w:rPr>
              <w:t>3</w:t>
            </w:r>
            <w:r>
              <w:rPr>
                <w:rFonts w:hint="eastAsia"/>
                <w:color w:val="auto"/>
                <w:sz w:val="24"/>
                <w:szCs w:val="24"/>
              </w:rPr>
              <w:t>/d</w:t>
            </w:r>
            <w:r>
              <w:rPr>
                <w:rFonts w:hint="eastAsia"/>
                <w:color w:val="auto"/>
                <w:sz w:val="24"/>
                <w:szCs w:val="24"/>
                <w:lang w:eastAsia="zh-CN"/>
              </w:rPr>
              <w:t>。</w:t>
            </w:r>
          </w:p>
          <w:p>
            <w:pPr>
              <w:pStyle w:val="10"/>
              <w:spacing w:after="0" w:line="360" w:lineRule="auto"/>
              <w:ind w:firstLine="480"/>
              <w:contextualSpacing/>
              <w:rPr>
                <w:rFonts w:hint="eastAsia"/>
                <w:color w:val="auto"/>
                <w:sz w:val="24"/>
                <w:szCs w:val="24"/>
              </w:rPr>
            </w:pPr>
            <w:r>
              <w:rPr>
                <w:rFonts w:hint="eastAsia"/>
                <w:color w:val="auto"/>
                <w:sz w:val="24"/>
                <w:szCs w:val="24"/>
              </w:rPr>
              <w:t>初期雨水</w:t>
            </w:r>
            <w:r>
              <w:rPr>
                <w:rFonts w:hint="eastAsia"/>
                <w:color w:val="auto"/>
                <w:sz w:val="24"/>
                <w:szCs w:val="24"/>
                <w:lang w:eastAsia="zh-CN"/>
              </w:rPr>
              <w:t>：</w:t>
            </w:r>
            <w:r>
              <w:rPr>
                <w:rFonts w:hint="eastAsia"/>
                <w:color w:val="auto"/>
                <w:sz w:val="24"/>
                <w:szCs w:val="24"/>
              </w:rPr>
              <w:t>经环保沟收集至经初期雨水隔油池去除浮油后</w:t>
            </w:r>
            <w:r>
              <w:rPr>
                <w:rFonts w:hint="eastAsia"/>
                <w:color w:val="auto"/>
                <w:sz w:val="24"/>
                <w:szCs w:val="24"/>
                <w:lang w:eastAsia="zh-CN"/>
              </w:rPr>
              <w:t>，</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sz w:val="24"/>
                <w:szCs w:val="24"/>
                <w:lang w:eastAsia="zh-CN"/>
              </w:rPr>
              <w:t>。</w:t>
            </w:r>
          </w:p>
          <w:p>
            <w:pPr>
              <w:pStyle w:val="10"/>
              <w:spacing w:after="0" w:line="360" w:lineRule="auto"/>
              <w:ind w:firstLine="480"/>
              <w:contextualSpacing/>
              <w:rPr>
                <w:color w:val="auto"/>
                <w:sz w:val="24"/>
                <w:szCs w:val="24"/>
              </w:rPr>
            </w:pPr>
            <w:r>
              <w:rPr>
                <w:rFonts w:hint="eastAsia"/>
                <w:color w:val="auto"/>
                <w:sz w:val="24"/>
                <w:szCs w:val="24"/>
              </w:rPr>
              <w:t>洗车废水</w:t>
            </w:r>
            <w:r>
              <w:rPr>
                <w:rFonts w:hint="eastAsia"/>
                <w:color w:val="auto"/>
                <w:sz w:val="24"/>
                <w:szCs w:val="24"/>
                <w:lang w:eastAsia="zh-CN"/>
              </w:rPr>
              <w:t>：</w:t>
            </w:r>
            <w:r>
              <w:rPr>
                <w:rFonts w:hint="eastAsia"/>
                <w:color w:val="auto"/>
                <w:sz w:val="24"/>
                <w:szCs w:val="24"/>
              </w:rPr>
              <w:t>经隔油沉淀+洗车废水回用设备处理后，</w:t>
            </w:r>
            <w:r>
              <w:rPr>
                <w:rFonts w:hint="eastAsia"/>
                <w:color w:val="auto"/>
                <w:sz w:val="24"/>
                <w:szCs w:val="24"/>
                <w:lang w:eastAsia="zh-CN"/>
              </w:rPr>
              <w:t>大</w:t>
            </w:r>
            <w:r>
              <w:rPr>
                <w:rFonts w:hint="eastAsia"/>
                <w:color w:val="auto"/>
                <w:sz w:val="24"/>
                <w:szCs w:val="24"/>
              </w:rPr>
              <w:t>部分（</w:t>
            </w:r>
            <w:r>
              <w:rPr>
                <w:rFonts w:hint="eastAsia"/>
                <w:color w:val="auto"/>
                <w:sz w:val="24"/>
                <w:szCs w:val="24"/>
                <w:lang w:val="en-US" w:eastAsia="zh-CN"/>
              </w:rPr>
              <w:t>9</w:t>
            </w:r>
            <w:r>
              <w:rPr>
                <w:rFonts w:hint="eastAsia"/>
                <w:color w:val="auto"/>
                <w:sz w:val="24"/>
                <w:szCs w:val="24"/>
              </w:rPr>
              <w:t>0%回用率）回用于洗车，不能回用的进入预处理池，</w:t>
            </w:r>
            <w:r>
              <w:rPr>
                <w:rFonts w:hint="eastAsia"/>
                <w:color w:val="auto"/>
                <w:sz w:val="24"/>
                <w:szCs w:val="24"/>
                <w:lang w:eastAsia="zh-CN"/>
              </w:rPr>
              <w:t>同生活污水一起</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sz w:val="24"/>
                <w:szCs w:val="24"/>
                <w:lang w:eastAsia="zh-CN"/>
              </w:rPr>
              <w:t>。</w:t>
            </w:r>
          </w:p>
          <w:p>
            <w:pPr>
              <w:numPr>
                <w:ilvl w:val="0"/>
                <w:numId w:val="0"/>
              </w:numPr>
              <w:rPr>
                <w:rFonts w:hint="eastAsia"/>
                <w:b/>
                <w:bCs/>
                <w:color w:val="auto"/>
                <w:highlight w:val="none"/>
                <w:lang w:val="en-US" w:eastAsia="zh-CN"/>
              </w:rPr>
            </w:pPr>
            <w:r>
              <w:rPr>
                <w:rFonts w:hint="eastAsia"/>
                <w:b/>
                <w:bCs/>
                <w:color w:val="auto"/>
                <w:highlight w:val="none"/>
                <w:lang w:val="en-US" w:eastAsia="zh-CN"/>
              </w:rPr>
              <w:t>项目水平衡图</w:t>
            </w:r>
          </w:p>
          <w:p>
            <w:pPr>
              <w:numPr>
                <w:ilvl w:val="0"/>
                <w:numId w:val="0"/>
              </w:numPr>
              <w:jc w:val="center"/>
              <w:rPr>
                <w:rFonts w:hint="eastAsia"/>
                <w:b/>
                <w:bCs/>
                <w:color w:val="auto"/>
                <w:highlight w:val="none"/>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4392295</wp:posOffset>
                      </wp:positionH>
                      <wp:positionV relativeFrom="paragraph">
                        <wp:posOffset>242570</wp:posOffset>
                      </wp:positionV>
                      <wp:extent cx="880745" cy="356870"/>
                      <wp:effectExtent l="0" t="0" r="0" b="0"/>
                      <wp:wrapNone/>
                      <wp:docPr id="4" name="矩形 4"/>
                      <wp:cNvGraphicFramePr/>
                      <a:graphic xmlns:a="http://schemas.openxmlformats.org/drawingml/2006/main">
                        <a:graphicData uri="http://schemas.microsoft.com/office/word/2010/wordprocessingShape">
                          <wps:wsp>
                            <wps:cNvSpPr/>
                            <wps:spPr>
                              <a:xfrm>
                                <a:off x="5728970" y="4068445"/>
                                <a:ext cx="880745" cy="3568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color w:val="000000" w:themeColor="text1"/>
                                      <w:sz w:val="24"/>
                                      <w:szCs w:val="2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清运公司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85pt;margin-top:19.1pt;height:28.1pt;width:69.35pt;z-index:251663360;v-text-anchor:middle;mso-width-relative:page;mso-height-relative:page;" filled="f" stroked="f" coordsize="21600,21600" o:gfxdata="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gtG5dkAAAAJAQAADwAAAAAAAAABACAAAAAiAAAAZHJzL2Rvd25yZXYueG1sUEsBAhQAFAAAAAgA&#10;h07iQP0TEcBdAgAAoQQAAA4AAAAAAAAAAQAgAAAAKAEAAGRycy9lMm9Eb2MueG1sUEsFBgAAAAAG&#10;AAYAWQEAAPcFAAAAAA==&#10;">
                      <v:fill on="f" focussize="0,0"/>
                      <v:stroke on="f" weight="2pt"/>
                      <v:imagedata o:title=""/>
                      <o:lock v:ext="edit" aspectratio="f"/>
                      <v:textbox>
                        <w:txbxContent>
                          <w:p>
                            <w:pPr>
                              <w:jc w:val="center"/>
                              <w:rPr>
                                <w:rFonts w:hint="eastAsia" w:eastAsia="宋体"/>
                                <w:color w:val="000000" w:themeColor="text1"/>
                                <w:sz w:val="24"/>
                                <w:szCs w:val="2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清运公司</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4384040</wp:posOffset>
                      </wp:positionH>
                      <wp:positionV relativeFrom="paragraph">
                        <wp:posOffset>250825</wp:posOffset>
                      </wp:positionV>
                      <wp:extent cx="968375" cy="246380"/>
                      <wp:effectExtent l="0" t="0" r="3175" b="1270"/>
                      <wp:wrapNone/>
                      <wp:docPr id="1" name="矩形 1"/>
                      <wp:cNvGraphicFramePr/>
                      <a:graphic xmlns:a="http://schemas.openxmlformats.org/drawingml/2006/main">
                        <a:graphicData uri="http://schemas.microsoft.com/office/word/2010/wordprocessingShape">
                          <wps:wsp>
                            <wps:cNvSpPr/>
                            <wps:spPr>
                              <a:xfrm>
                                <a:off x="5657215" y="4052570"/>
                                <a:ext cx="968375"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2pt;margin-top:19.75pt;height:19.4pt;width:76.25pt;z-index:251662336;v-text-anchor:middle;mso-width-relative:page;mso-height-relative:page;" fillcolor="#FFFFFF [3212]" filled="t" stroked="f" coordsize="21600,21600" o:gfxdata="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uXPPNYAAAAJAQAADwAAAAAAAAABACAAAAAiAAAAZHJzL2Rvd25yZXYu&#10;eG1sUEsBAhQAFAAAAAgAh07iQBvgCM9vAgAAygQAAA4AAAAAAAAAAQAgAAAAJQEAAGRycy9lMm9E&#10;b2MueG1sUEsFBgAAAAAGAAYAWQEAAAYGAAAAAA==&#10;">
                      <v:fill on="t" focussize="0,0"/>
                      <v:stroke on="f" weight="2pt"/>
                      <v:imagedata o:title=""/>
                      <o:lock v:ext="edit" aspectratio="f"/>
                      <v:textbox>
                        <w:txbxContent>
                          <w:p>
                            <w:pPr>
                              <w:jc w:val="center"/>
                            </w:pPr>
                          </w:p>
                        </w:txbxContent>
                      </v:textbox>
                    </v:rect>
                  </w:pict>
                </mc:Fallback>
              </mc:AlternateContent>
            </w:r>
            <w:r>
              <w:rPr>
                <w:rFonts w:hint="eastAsia"/>
                <w:b/>
                <w:bCs/>
                <w:color w:val="auto"/>
                <w:highlight w:val="none"/>
                <w:lang w:val="en-US" w:eastAsia="zh-CN"/>
              </w:rPr>
              <w:drawing>
                <wp:inline distT="0" distB="0" distL="114300" distR="114300">
                  <wp:extent cx="4716145" cy="2019300"/>
                  <wp:effectExtent l="0" t="0" r="8255" b="0"/>
                  <wp:docPr id="62" name="图片 62" descr="1603766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03766574(1)"/>
                          <pic:cNvPicPr>
                            <a:picLocks noChangeAspect="1"/>
                          </pic:cNvPicPr>
                        </pic:nvPicPr>
                        <pic:blipFill>
                          <a:blip r:embed="rId11"/>
                          <a:stretch>
                            <a:fillRect/>
                          </a:stretch>
                        </pic:blipFill>
                        <pic:spPr>
                          <a:xfrm>
                            <a:off x="0" y="0"/>
                            <a:ext cx="4716145" cy="2019300"/>
                          </a:xfrm>
                          <a:prstGeom prst="rect">
                            <a:avLst/>
                          </a:prstGeom>
                        </pic:spPr>
                      </pic:pic>
                    </a:graphicData>
                  </a:graphic>
                </wp:inline>
              </w:drawing>
            </w:r>
          </w:p>
          <w:p>
            <w:pPr>
              <w:ind w:firstLine="361" w:firstLineChars="150"/>
              <w:jc w:val="center"/>
              <w:rPr>
                <w:rFonts w:hint="default" w:eastAsia="宋体"/>
                <w:spacing w:val="-9"/>
                <w:lang w:val="en-US" w:eastAsia="zh-CN"/>
              </w:rPr>
            </w:pPr>
            <w:r>
              <w:rPr>
                <w:b/>
              </w:rPr>
              <w:t>图</w:t>
            </w:r>
            <w:r>
              <w:rPr>
                <w:rFonts w:hint="eastAsia"/>
                <w:b/>
                <w:lang w:val="en-US" w:eastAsia="zh-CN"/>
              </w:rPr>
              <w:t>2</w:t>
            </w:r>
            <w:r>
              <w:rPr>
                <w:b/>
              </w:rPr>
              <w:t>-</w:t>
            </w:r>
            <w:r>
              <w:rPr>
                <w:rFonts w:hint="eastAsia"/>
                <w:b/>
                <w:lang w:val="en-US" w:eastAsia="zh-CN"/>
              </w:rPr>
              <w:t>1</w:t>
            </w:r>
            <w:r>
              <w:rPr>
                <w:rFonts w:hint="eastAsia"/>
                <w:b/>
              </w:rPr>
              <w:t xml:space="preserve"> 本项目</w:t>
            </w:r>
            <w:r>
              <w:rPr>
                <w:b/>
              </w:rPr>
              <w:t>水平衡图（m</w:t>
            </w:r>
            <w:r>
              <w:rPr>
                <w:b/>
                <w:vertAlign w:val="superscript"/>
              </w:rPr>
              <w:t>3</w:t>
            </w:r>
            <w:r>
              <w:rPr>
                <w:b/>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06" w:hRule="atLeast"/>
          <w:jc w:val="center"/>
        </w:trPr>
        <w:tc>
          <w:tcPr>
            <w:tcW w:w="9167" w:type="dxa"/>
            <w:tcBorders>
              <w:left w:val="single" w:color="000000" w:sz="12" w:space="0"/>
              <w:bottom w:val="single" w:color="000000" w:sz="12" w:space="0"/>
            </w:tcBorders>
            <w:vAlign w:val="center"/>
          </w:tcPr>
          <w:p>
            <w:pPr>
              <w:pStyle w:val="31"/>
              <w:keepNext w:val="0"/>
              <w:keepLines w:val="0"/>
              <w:suppressLineNumbers w:val="0"/>
              <w:spacing w:before="1" w:beforeAutospacing="0" w:afterAutospacing="0"/>
              <w:ind w:left="107"/>
              <w:rPr>
                <w:rFonts w:hint="default"/>
                <w:b/>
                <w:sz w:val="28"/>
                <w:szCs w:val="28"/>
              </w:rPr>
            </w:pPr>
            <w:r>
              <w:rPr>
                <w:rFonts w:hint="eastAsia"/>
                <w:b/>
                <w:sz w:val="28"/>
                <w:szCs w:val="28"/>
                <w:lang w:eastAsia="zh-CN"/>
              </w:rPr>
              <w:t>运营期</w:t>
            </w:r>
            <w:r>
              <w:rPr>
                <w:rFonts w:hint="default"/>
                <w:b/>
                <w:sz w:val="28"/>
                <w:szCs w:val="28"/>
              </w:rPr>
              <w:t>主要生产工艺及污染物产出流程</w:t>
            </w:r>
          </w:p>
          <w:p>
            <w:pPr>
              <w:pStyle w:val="47"/>
              <w:adjustRightInd/>
              <w:snapToGrid/>
              <w:spacing w:after="0" w:line="360" w:lineRule="auto"/>
              <w:ind w:firstLine="480"/>
              <w:contextualSpacing/>
              <w:rPr>
                <w:rFonts w:hint="eastAsia"/>
                <w:color w:val="auto"/>
              </w:rPr>
            </w:pPr>
            <w:r>
              <w:rPr>
                <w:color w:val="auto"/>
              </w:rPr>
              <w:t>项目为加油站建设，油源由油罐车公路运输</w:t>
            </w:r>
            <w:r>
              <w:rPr>
                <w:rFonts w:hint="eastAsia"/>
                <w:color w:val="auto"/>
              </w:rPr>
              <w:t>，</w:t>
            </w:r>
            <w:r>
              <w:rPr>
                <w:color w:val="auto"/>
              </w:rPr>
              <w:t>不设专用输油管线</w:t>
            </w:r>
            <w:r>
              <w:rPr>
                <w:rFonts w:hint="eastAsia"/>
                <w:color w:val="auto"/>
              </w:rPr>
              <w:t>。</w:t>
            </w:r>
          </w:p>
          <w:p>
            <w:pPr>
              <w:pStyle w:val="47"/>
              <w:adjustRightInd/>
              <w:snapToGrid/>
              <w:spacing w:after="0" w:line="360" w:lineRule="auto"/>
              <w:ind w:firstLine="464"/>
              <w:contextualSpacing/>
              <w:rPr>
                <w:rFonts w:hint="eastAsia"/>
                <w:color w:val="auto"/>
              </w:rPr>
            </w:pPr>
            <w:r>
              <w:rPr>
                <w:bCs/>
                <w:color w:val="auto"/>
                <w:spacing w:val="-4"/>
              </w:rPr>
              <w:t>运营期主要工艺为加油工艺，其</w:t>
            </w:r>
            <w:r>
              <w:rPr>
                <w:color w:val="auto"/>
              </w:rPr>
              <w:t>工艺流程及产污位置图见图</w:t>
            </w:r>
            <w:r>
              <w:rPr>
                <w:rFonts w:hint="eastAsia"/>
                <w:color w:val="auto"/>
                <w:lang w:val="en-US" w:eastAsia="zh-CN"/>
              </w:rPr>
              <w:t>2-2</w:t>
            </w:r>
            <w:r>
              <w:rPr>
                <w:rFonts w:hint="eastAsia"/>
                <w:color w:val="auto"/>
              </w:rPr>
              <w:t>。</w:t>
            </w:r>
          </w:p>
          <w:p>
            <w:pPr>
              <w:pStyle w:val="47"/>
              <w:widowControl w:val="0"/>
              <w:adjustRightInd/>
              <w:snapToGrid/>
              <w:spacing w:after="0" w:line="360" w:lineRule="auto"/>
              <w:ind w:firstLine="482"/>
              <w:contextualSpacing/>
              <w:rPr>
                <w:b/>
                <w:color w:val="auto"/>
              </w:rPr>
            </w:pPr>
            <w:r>
              <w:rPr>
                <w:rFonts w:hint="eastAsia"/>
                <w:b/>
                <w:color w:val="auto"/>
              </w:rPr>
              <w:t>1、</w:t>
            </w:r>
            <w:r>
              <w:rPr>
                <w:b/>
                <w:color w:val="auto"/>
              </w:rPr>
              <w:t>加油工艺</w:t>
            </w:r>
          </w:p>
          <w:p>
            <w:pPr>
              <w:spacing w:line="360" w:lineRule="auto"/>
              <w:jc w:val="center"/>
            </w:pPr>
            <w:r>
              <w:object>
                <v:shape id="_x0000_i1025" o:spt="75" type="#_x0000_t75" style="height:106.45pt;width:327.4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b/>
                <w:szCs w:val="21"/>
              </w:rPr>
            </w:pPr>
            <w:r>
              <w:rPr>
                <w:b/>
                <w:szCs w:val="21"/>
              </w:rPr>
              <w:t>图</w:t>
            </w:r>
            <w:r>
              <w:rPr>
                <w:rFonts w:hint="eastAsia"/>
                <w:b/>
                <w:szCs w:val="21"/>
                <w:lang w:val="en-US" w:eastAsia="zh-CN"/>
              </w:rPr>
              <w:t>2</w:t>
            </w:r>
            <w:r>
              <w:rPr>
                <w:b/>
                <w:szCs w:val="21"/>
              </w:rPr>
              <w:t>-</w:t>
            </w:r>
            <w:r>
              <w:rPr>
                <w:rFonts w:hint="eastAsia"/>
                <w:b/>
                <w:szCs w:val="21"/>
                <w:lang w:val="en-US" w:eastAsia="zh-CN"/>
              </w:rPr>
              <w:t>2</w:t>
            </w:r>
            <w:r>
              <w:rPr>
                <w:rFonts w:hint="eastAsia"/>
                <w:b/>
                <w:szCs w:val="21"/>
              </w:rPr>
              <w:t xml:space="preserve">  </w:t>
            </w:r>
            <w:r>
              <w:rPr>
                <w:b/>
                <w:szCs w:val="21"/>
              </w:rPr>
              <w:t>加油工艺流程及产污位置图</w:t>
            </w:r>
          </w:p>
          <w:p>
            <w:pPr>
              <w:pStyle w:val="47"/>
              <w:adjustRightInd/>
              <w:snapToGrid/>
              <w:spacing w:after="0" w:line="360" w:lineRule="auto"/>
              <w:ind w:firstLine="482"/>
              <w:contextualSpacing/>
              <w:rPr>
                <w:rFonts w:hint="eastAsia"/>
                <w:b/>
                <w:color w:val="auto"/>
              </w:rPr>
            </w:pPr>
            <w:r>
              <w:rPr>
                <w:rFonts w:hint="eastAsia"/>
                <w:b/>
                <w:color w:val="auto"/>
              </w:rPr>
              <w:t>项目加油工艺简述如下：</w:t>
            </w:r>
          </w:p>
          <w:p>
            <w:pPr>
              <w:pStyle w:val="47"/>
              <w:adjustRightInd/>
              <w:snapToGrid/>
              <w:spacing w:after="0" w:line="360" w:lineRule="auto"/>
              <w:ind w:firstLine="480"/>
              <w:contextualSpacing/>
              <w:rPr>
                <w:color w:val="auto"/>
              </w:rPr>
            </w:pPr>
            <w:r>
              <w:rPr>
                <w:color w:val="auto"/>
              </w:rPr>
              <w:t>本项目</w:t>
            </w:r>
            <w:r>
              <w:rPr>
                <w:b/>
                <w:color w:val="auto"/>
              </w:rPr>
              <w:t>采用</w:t>
            </w:r>
            <w:r>
              <w:rPr>
                <w:color w:val="auto"/>
              </w:rPr>
              <w:t>的工艺流程是</w:t>
            </w:r>
            <w:r>
              <w:rPr>
                <w:rFonts w:hint="eastAsia"/>
                <w:b/>
                <w:color w:val="auto"/>
              </w:rPr>
              <w:t>潜油泵</w:t>
            </w:r>
            <w:r>
              <w:rPr>
                <w:b/>
                <w:color w:val="auto"/>
              </w:rPr>
              <w:t>型加油工艺</w:t>
            </w:r>
            <w:r>
              <w:rPr>
                <w:color w:val="auto"/>
              </w:rPr>
              <w:t>：成品油罐车将来油先卸到</w:t>
            </w:r>
            <w:r>
              <w:rPr>
                <w:rFonts w:hint="eastAsia"/>
                <w:color w:val="auto"/>
              </w:rPr>
              <w:t>埋地</w:t>
            </w:r>
            <w:r>
              <w:rPr>
                <w:color w:val="auto"/>
              </w:rPr>
              <w:t>储油罐中，</w:t>
            </w:r>
            <w:r>
              <w:rPr>
                <w:rFonts w:hint="eastAsia"/>
                <w:color w:val="auto"/>
              </w:rPr>
              <w:t>再由油罐上装设的潜油泵将油罐内的油品送至加油机给车辆加油。潜油泵具有更好的环保性能（可实现压力管道泄漏探测、防止管道泄漏，还可避免使用过程中发生溢油现象）。</w:t>
            </w:r>
          </w:p>
          <w:p>
            <w:pPr>
              <w:pStyle w:val="47"/>
              <w:adjustRightInd/>
              <w:snapToGrid/>
              <w:spacing w:after="0" w:line="360" w:lineRule="auto"/>
              <w:ind w:firstLine="482"/>
              <w:contextualSpacing/>
              <w:rPr>
                <w:color w:val="auto"/>
              </w:rPr>
            </w:pPr>
            <w:r>
              <w:rPr>
                <w:b/>
                <w:color w:val="auto"/>
              </w:rPr>
              <w:t>（1）卸油：</w:t>
            </w:r>
            <w:r>
              <w:rPr>
                <w:rFonts w:hint="eastAsia"/>
                <w:color w:val="auto"/>
              </w:rPr>
              <w:t>本项目采用</w:t>
            </w:r>
            <w:r>
              <w:rPr>
                <w:rFonts w:hint="eastAsia"/>
                <w:b/>
                <w:color w:val="auto"/>
              </w:rPr>
              <w:t>自流密闭卸油方式卸油。</w:t>
            </w:r>
            <w:r>
              <w:rPr>
                <w:rFonts w:hint="eastAsia"/>
                <w:color w:val="auto"/>
              </w:rPr>
              <w:t>油槽车与卸油接口、蒸汽回收管口与油槽车油气回收管口均通过快速接头软管相连接，油槽车与埋地油罐便形成了封闭卸油空间。员工打开卸油阀后油品因位差便自流进入相应的埋地储油罐，同体积的油气因正压被压回油罐车。回收至油罐车内的油气由槽车带回油库。</w:t>
            </w:r>
          </w:p>
          <w:p>
            <w:pPr>
              <w:pStyle w:val="47"/>
              <w:adjustRightInd/>
              <w:snapToGrid/>
              <w:spacing w:after="0" w:line="360" w:lineRule="auto"/>
              <w:ind w:firstLine="482"/>
              <w:contextualSpacing/>
              <w:rPr>
                <w:color w:val="auto"/>
              </w:rPr>
            </w:pPr>
            <w:r>
              <w:rPr>
                <w:b/>
                <w:color w:val="auto"/>
              </w:rPr>
              <w:t>（2）储油：</w:t>
            </w:r>
            <w:r>
              <w:rPr>
                <w:rFonts w:hint="eastAsia"/>
                <w:color w:val="auto"/>
              </w:rPr>
              <w:t>项目设置</w:t>
            </w:r>
            <w:r>
              <w:rPr>
                <w:rFonts w:hint="eastAsia"/>
                <w:b/>
                <w:color w:val="auto"/>
              </w:rPr>
              <w:t>3具卧式SF双层储</w:t>
            </w:r>
            <w:r>
              <w:rPr>
                <w:b/>
                <w:color w:val="auto"/>
              </w:rPr>
              <w:t>油罐</w:t>
            </w:r>
            <w:r>
              <w:rPr>
                <w:rFonts w:hint="eastAsia"/>
                <w:color w:val="auto"/>
              </w:rPr>
              <w:t>，包括1具30m</w:t>
            </w:r>
            <w:r>
              <w:rPr>
                <w:rFonts w:hint="eastAsia"/>
                <w:color w:val="auto"/>
                <w:vertAlign w:val="superscript"/>
              </w:rPr>
              <w:t>3</w:t>
            </w:r>
            <w:r>
              <w:rPr>
                <w:rFonts w:hint="eastAsia"/>
                <w:color w:val="auto"/>
              </w:rPr>
              <w:t>的</w:t>
            </w:r>
            <w:r>
              <w:rPr>
                <w:color w:val="auto"/>
              </w:rPr>
              <w:t>9</w:t>
            </w:r>
            <w:r>
              <w:rPr>
                <w:rFonts w:hint="eastAsia"/>
                <w:color w:val="auto"/>
              </w:rPr>
              <w:t>5</w:t>
            </w:r>
            <w:r>
              <w:rPr>
                <w:color w:val="auto"/>
              </w:rPr>
              <w:t>#汽油罐</w:t>
            </w:r>
            <w:r>
              <w:rPr>
                <w:rFonts w:hint="eastAsia"/>
                <w:color w:val="auto"/>
              </w:rPr>
              <w:t>、1具30m</w:t>
            </w:r>
            <w:r>
              <w:rPr>
                <w:rFonts w:hint="eastAsia"/>
                <w:color w:val="auto"/>
                <w:vertAlign w:val="superscript"/>
              </w:rPr>
              <w:t>3</w:t>
            </w:r>
            <w:r>
              <w:rPr>
                <w:rFonts w:hint="eastAsia"/>
                <w:color w:val="auto"/>
              </w:rPr>
              <w:t>的</w:t>
            </w:r>
            <w:r>
              <w:rPr>
                <w:color w:val="auto"/>
              </w:rPr>
              <w:t>9</w:t>
            </w:r>
            <w:r>
              <w:rPr>
                <w:rFonts w:hint="eastAsia"/>
                <w:color w:val="auto"/>
              </w:rPr>
              <w:t>2</w:t>
            </w:r>
            <w:r>
              <w:rPr>
                <w:color w:val="auto"/>
              </w:rPr>
              <w:t>#汽油罐</w:t>
            </w:r>
            <w:r>
              <w:rPr>
                <w:rFonts w:hint="eastAsia"/>
                <w:color w:val="auto"/>
              </w:rPr>
              <w:t>，1具30m</w:t>
            </w:r>
            <w:r>
              <w:rPr>
                <w:rFonts w:hint="eastAsia"/>
                <w:color w:val="auto"/>
                <w:vertAlign w:val="superscript"/>
              </w:rPr>
              <w:t>3</w:t>
            </w:r>
            <w:r>
              <w:rPr>
                <w:rFonts w:hint="eastAsia"/>
                <w:color w:val="auto"/>
              </w:rPr>
              <w:t>0</w:t>
            </w:r>
            <w:r>
              <w:rPr>
                <w:color w:val="auto"/>
              </w:rPr>
              <w:t>#柴油罐</w:t>
            </w:r>
            <w:r>
              <w:rPr>
                <w:rFonts w:hint="eastAsia"/>
                <w:color w:val="auto"/>
              </w:rPr>
              <w:t>。每座油罐均有HAN（阻隔防爆技术）、液位计，用于预防油罐爆炸事故和溢油事故，安装一次、二次油气回收装置，储油罐安装通气管（高出地面4m以上），管口设置带阻火器的呼吸阀。</w:t>
            </w:r>
          </w:p>
          <w:p>
            <w:pPr>
              <w:pStyle w:val="47"/>
              <w:adjustRightInd/>
              <w:snapToGrid/>
              <w:spacing w:after="0" w:line="360" w:lineRule="auto"/>
              <w:ind w:firstLine="482"/>
              <w:contextualSpacing/>
              <w:rPr>
                <w:color w:val="auto"/>
              </w:rPr>
            </w:pPr>
            <w:r>
              <w:rPr>
                <w:b/>
                <w:color w:val="auto"/>
              </w:rPr>
              <w:t>（3）加油：</w:t>
            </w:r>
            <w:r>
              <w:rPr>
                <w:color w:val="auto"/>
              </w:rPr>
              <w:t>将储罐内油品加入车辆</w:t>
            </w:r>
            <w:r>
              <w:rPr>
                <w:rFonts w:hint="eastAsia"/>
                <w:color w:val="auto"/>
              </w:rPr>
              <w:t>，</w:t>
            </w:r>
            <w:r>
              <w:rPr>
                <w:color w:val="auto"/>
              </w:rPr>
              <w:t>加油机为油气回收型加油</w:t>
            </w:r>
            <w:r>
              <w:rPr>
                <w:rFonts w:hint="eastAsia"/>
                <w:color w:val="auto"/>
              </w:rPr>
              <w:t>机。</w:t>
            </w:r>
            <w:r>
              <w:rPr>
                <w:color w:val="auto"/>
              </w:rPr>
              <w:t>加油过程中产生的油气采用真空辅助方式密闭收集；加油软管配备拉断截止阀防止溢油滴油。</w:t>
            </w:r>
          </w:p>
          <w:p>
            <w:pPr>
              <w:pStyle w:val="47"/>
              <w:adjustRightInd/>
              <w:snapToGrid/>
              <w:spacing w:after="0" w:line="360" w:lineRule="auto"/>
              <w:ind w:firstLine="482"/>
              <w:contextualSpacing/>
              <w:rPr>
                <w:b/>
                <w:color w:val="auto"/>
              </w:rPr>
            </w:pPr>
            <w:r>
              <w:rPr>
                <w:b/>
                <w:color w:val="auto"/>
              </w:rPr>
              <w:t>（4）油气回收装置</w:t>
            </w:r>
          </w:p>
          <w:p>
            <w:pPr>
              <w:pStyle w:val="47"/>
              <w:adjustRightInd/>
              <w:snapToGrid/>
              <w:spacing w:after="0" w:line="360" w:lineRule="auto"/>
              <w:ind w:firstLine="480"/>
              <w:contextualSpacing/>
              <w:rPr>
                <w:color w:val="auto"/>
              </w:rPr>
            </w:pPr>
            <w:r>
              <w:rPr>
                <w:rFonts w:hint="eastAsia"/>
                <w:color w:val="auto"/>
              </w:rPr>
              <w:t>加油站油气回收系统分为两个阶段：卸油油气回收及分散式加油油气回收。</w:t>
            </w:r>
          </w:p>
          <w:p>
            <w:pPr>
              <w:pStyle w:val="47"/>
              <w:adjustRightInd/>
              <w:snapToGrid/>
              <w:spacing w:after="0" w:line="360" w:lineRule="auto"/>
              <w:ind w:firstLine="480"/>
              <w:contextualSpacing/>
              <w:rPr>
                <w:rFonts w:hint="eastAsia"/>
                <w:color w:val="auto"/>
              </w:rPr>
            </w:pPr>
            <w:r>
              <w:rPr>
                <w:rFonts w:hint="eastAsia" w:ascii="宋体" w:hAnsi="宋体" w:cs="宋体"/>
                <w:color w:val="auto"/>
              </w:rPr>
              <w:t>①</w:t>
            </w:r>
            <w:r>
              <w:rPr>
                <w:color w:val="auto"/>
              </w:rPr>
              <w:t>一次油气回收：在油罐车卸油过程中，随着储油车内液位线下降，地下储油罐内液位线上升，储油车内压力减小，地下储油罐内压力增加，地下储罐与油罐车内的压力差，利用压力差使卸油过程中挥发的油气通过管线回到油罐车内，达到油气收集的目的。待卸油结束，地下储罐与油罐车内压力达到平衡状态，一次油气回收阶段结束</w:t>
            </w:r>
            <w:r>
              <w:rPr>
                <w:rFonts w:hint="eastAsia"/>
                <w:color w:val="auto"/>
              </w:rPr>
              <w:t>，回收效率大于95%</w:t>
            </w:r>
            <w:r>
              <w:rPr>
                <w:color w:val="auto"/>
              </w:rPr>
              <w:t>。</w:t>
            </w:r>
          </w:p>
          <w:p>
            <w:pPr>
              <w:pStyle w:val="47"/>
              <w:adjustRightInd/>
              <w:snapToGrid/>
              <w:spacing w:after="0" w:line="360" w:lineRule="auto"/>
              <w:ind w:firstLine="480"/>
              <w:contextualSpacing/>
              <w:rPr>
                <w:rFonts w:hint="eastAsia"/>
                <w:color w:val="auto"/>
                <w:sz w:val="11"/>
                <w:szCs w:val="11"/>
              </w:rPr>
            </w:pPr>
            <w:r>
              <w:rPr>
                <w:color w:val="auto"/>
              </w:rPr>
              <w:drawing>
                <wp:anchor distT="0" distB="0" distL="114300" distR="114300" simplePos="0" relativeHeight="251661312" behindDoc="0" locked="0" layoutInCell="1" allowOverlap="1">
                  <wp:simplePos x="0" y="0"/>
                  <wp:positionH relativeFrom="column">
                    <wp:posOffset>887095</wp:posOffset>
                  </wp:positionH>
                  <wp:positionV relativeFrom="paragraph">
                    <wp:posOffset>247650</wp:posOffset>
                  </wp:positionV>
                  <wp:extent cx="3732530" cy="1466850"/>
                  <wp:effectExtent l="0" t="0" r="1270" b="0"/>
                  <wp:wrapNone/>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14"/>
                          <a:stretch>
                            <a:fillRect/>
                          </a:stretch>
                        </pic:blipFill>
                        <pic:spPr>
                          <a:xfrm>
                            <a:off x="0" y="0"/>
                            <a:ext cx="3732530" cy="1466850"/>
                          </a:xfrm>
                          <a:prstGeom prst="rect">
                            <a:avLst/>
                          </a:prstGeom>
                          <a:noFill/>
                          <a:ln>
                            <a:noFill/>
                          </a:ln>
                        </pic:spPr>
                      </pic:pic>
                    </a:graphicData>
                  </a:graphic>
                </wp:anchor>
              </w:drawing>
            </w:r>
            <w:r>
              <w:rPr>
                <w:rFonts w:hint="eastAsia"/>
                <w:color w:val="auto"/>
              </w:rPr>
              <w:t>一次油气回收系统原理图详见图</w:t>
            </w:r>
            <w:r>
              <w:rPr>
                <w:rFonts w:hint="eastAsia"/>
                <w:color w:val="auto"/>
                <w:lang w:val="en-US" w:eastAsia="zh-CN"/>
              </w:rPr>
              <w:t>2</w:t>
            </w:r>
            <w:r>
              <w:rPr>
                <w:rFonts w:hint="eastAsia"/>
                <w:color w:val="auto"/>
              </w:rPr>
              <w:t>-</w:t>
            </w:r>
            <w:r>
              <w:rPr>
                <w:rFonts w:hint="eastAsia"/>
                <w:color w:val="auto"/>
                <w:lang w:val="en-US" w:eastAsia="zh-CN"/>
              </w:rPr>
              <w:t>3</w:t>
            </w:r>
            <w:r>
              <w:rPr>
                <w:rFonts w:hint="eastAsia"/>
                <w:color w:val="auto"/>
              </w:rPr>
              <w:t>。</w:t>
            </w:r>
          </w:p>
          <w:p>
            <w:pPr>
              <w:pStyle w:val="47"/>
              <w:spacing w:after="0" w:line="360" w:lineRule="auto"/>
              <w:ind w:firstLine="0" w:firstLineChars="0"/>
              <w:jc w:val="center"/>
              <w:rPr>
                <w:color w:val="auto"/>
              </w:rPr>
            </w:pPr>
          </w:p>
          <w:p>
            <w:pPr>
              <w:adjustRightInd w:val="0"/>
              <w:snapToGrid w:val="0"/>
              <w:jc w:val="center"/>
              <w:rPr>
                <w:rFonts w:hint="eastAsia"/>
                <w:b/>
                <w:szCs w:val="21"/>
              </w:rPr>
            </w:pPr>
          </w:p>
          <w:p>
            <w:pPr>
              <w:adjustRightInd w:val="0"/>
              <w:snapToGrid w:val="0"/>
              <w:jc w:val="center"/>
              <w:rPr>
                <w:rFonts w:hint="eastAsia"/>
                <w:b/>
                <w:szCs w:val="21"/>
              </w:rPr>
            </w:pPr>
          </w:p>
          <w:p>
            <w:pPr>
              <w:adjustRightInd w:val="0"/>
              <w:snapToGrid w:val="0"/>
              <w:jc w:val="center"/>
              <w:rPr>
                <w:rFonts w:hint="eastAsia"/>
                <w:b/>
                <w:szCs w:val="21"/>
              </w:rPr>
            </w:pPr>
          </w:p>
          <w:p>
            <w:pPr>
              <w:adjustRightInd w:val="0"/>
              <w:snapToGrid w:val="0"/>
              <w:jc w:val="center"/>
              <w:rPr>
                <w:rFonts w:hint="eastAsia"/>
                <w:b/>
                <w:szCs w:val="21"/>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szCs w:val="21"/>
              </w:rPr>
            </w:pPr>
            <w:r>
              <w:rPr>
                <w:rFonts w:hint="eastAsia"/>
                <w:b/>
                <w:szCs w:val="21"/>
              </w:rPr>
              <w:t>图</w:t>
            </w:r>
            <w:r>
              <w:rPr>
                <w:rFonts w:hint="eastAsia"/>
                <w:b/>
                <w:szCs w:val="21"/>
                <w:lang w:val="en-US" w:eastAsia="zh-CN"/>
              </w:rPr>
              <w:t>2-3</w:t>
            </w:r>
            <w:r>
              <w:rPr>
                <w:rFonts w:hint="eastAsia"/>
                <w:b/>
                <w:szCs w:val="21"/>
              </w:rPr>
              <w:t xml:space="preserve">  一次油气回收系统示意图</w:t>
            </w:r>
          </w:p>
          <w:p>
            <w:pPr>
              <w:pStyle w:val="47"/>
              <w:spacing w:after="0" w:line="360" w:lineRule="auto"/>
              <w:ind w:firstLine="0" w:firstLineChars="0"/>
              <w:jc w:val="center"/>
              <w:rPr>
                <w:rFonts w:ascii="宋体" w:hAnsi="宋体" w:cs="宋体"/>
                <w:color w:val="auto"/>
              </w:rPr>
            </w:pPr>
            <w:r>
              <w:rPr>
                <w:color w:val="auto"/>
              </w:rPr>
              <w:drawing>
                <wp:inline distT="0" distB="0" distL="114300" distR="114300">
                  <wp:extent cx="4010660" cy="2583180"/>
                  <wp:effectExtent l="0" t="0" r="8890" b="762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5"/>
                          <a:srcRect l="1128"/>
                          <a:stretch>
                            <a:fillRect/>
                          </a:stretch>
                        </pic:blipFill>
                        <pic:spPr>
                          <a:xfrm>
                            <a:off x="0" y="0"/>
                            <a:ext cx="4010660" cy="25831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b/>
                <w:szCs w:val="21"/>
              </w:rPr>
            </w:pPr>
            <w:r>
              <w:rPr>
                <w:rFonts w:hint="eastAsia"/>
                <w:b/>
                <w:szCs w:val="21"/>
              </w:rPr>
              <w:t>图</w:t>
            </w:r>
            <w:r>
              <w:rPr>
                <w:rFonts w:hint="eastAsia"/>
                <w:b/>
                <w:szCs w:val="21"/>
                <w:lang w:val="en-US" w:eastAsia="zh-CN"/>
              </w:rPr>
              <w:t>2-4</w:t>
            </w:r>
            <w:r>
              <w:rPr>
                <w:rFonts w:hint="eastAsia"/>
                <w:b/>
                <w:szCs w:val="21"/>
              </w:rPr>
              <w:t xml:space="preserve"> 一次油气回收实例图</w:t>
            </w:r>
          </w:p>
          <w:p>
            <w:pPr>
              <w:pStyle w:val="47"/>
              <w:spacing w:after="0"/>
              <w:ind w:firstLine="480"/>
              <w:rPr>
                <w:rFonts w:hint="eastAsia"/>
                <w:color w:val="auto"/>
              </w:rPr>
            </w:pPr>
            <w:r>
              <w:rPr>
                <w:rFonts w:hint="eastAsia" w:ascii="宋体" w:hAnsi="宋体" w:cs="宋体"/>
                <w:color w:val="auto"/>
              </w:rPr>
              <w:t>②</w:t>
            </w:r>
            <w:r>
              <w:rPr>
                <w:color w:val="auto"/>
              </w:rPr>
              <w:t>二次油气回收：</w:t>
            </w:r>
            <w:r>
              <w:rPr>
                <w:rFonts w:hint="eastAsia"/>
                <w:color w:val="auto"/>
              </w:rPr>
              <w:t>在加油站为汽车加油过程中，通过真空泵产生一定真空度，经过加油枪、油气回收管、真空泵等油气回收设备，按照气液比控制在</w:t>
            </w:r>
            <w:r>
              <w:rPr>
                <w:color w:val="auto"/>
              </w:rPr>
              <w:t>1.0</w:t>
            </w:r>
            <w:r>
              <w:rPr>
                <w:rFonts w:hint="eastAsia"/>
                <w:color w:val="auto"/>
              </w:rPr>
              <w:t>至</w:t>
            </w:r>
            <w:r>
              <w:rPr>
                <w:color w:val="auto"/>
              </w:rPr>
              <w:t>1.2</w:t>
            </w:r>
            <w:r>
              <w:rPr>
                <w:rFonts w:hint="eastAsia"/>
                <w:color w:val="auto"/>
              </w:rPr>
              <w:t>之间的要求，将加油过程中挥发的油气回收到油罐内，此过程油气回收效率大于95%。二次油气回收系统原理图详见图</w:t>
            </w:r>
            <w:r>
              <w:rPr>
                <w:rFonts w:hint="eastAsia"/>
                <w:color w:val="auto"/>
                <w:lang w:val="en-US" w:eastAsia="zh-CN"/>
              </w:rPr>
              <w:t>2</w:t>
            </w:r>
            <w:r>
              <w:rPr>
                <w:rFonts w:hint="eastAsia"/>
                <w:color w:val="auto"/>
              </w:rPr>
              <w:t>-</w:t>
            </w:r>
            <w:r>
              <w:rPr>
                <w:rFonts w:hint="eastAsia"/>
                <w:color w:val="auto"/>
                <w:lang w:val="en-US" w:eastAsia="zh-CN"/>
              </w:rPr>
              <w:t>5</w:t>
            </w:r>
            <w:r>
              <w:rPr>
                <w:rFonts w:hint="eastAsia"/>
                <w:color w:val="auto"/>
              </w:rPr>
              <w:t>。</w:t>
            </w:r>
          </w:p>
          <w:p>
            <w:pPr>
              <w:pStyle w:val="47"/>
              <w:spacing w:after="0" w:line="240" w:lineRule="auto"/>
              <w:ind w:firstLine="480"/>
              <w:rPr>
                <w:color w:val="auto"/>
              </w:rPr>
            </w:pPr>
          </w:p>
          <w:p>
            <w:pPr>
              <w:pStyle w:val="47"/>
              <w:spacing w:after="0" w:line="360" w:lineRule="auto"/>
              <w:ind w:firstLine="0" w:firstLineChars="0"/>
              <w:jc w:val="center"/>
              <w:rPr>
                <w:rFonts w:hint="eastAsia"/>
                <w:b/>
                <w:sz w:val="10"/>
                <w:szCs w:val="10"/>
              </w:rPr>
            </w:pPr>
            <w:r>
              <w:rPr>
                <w:color w:val="auto"/>
              </w:rPr>
              <w:drawing>
                <wp:inline distT="0" distB="0" distL="114300" distR="114300">
                  <wp:extent cx="4350385" cy="2126615"/>
                  <wp:effectExtent l="0" t="0" r="12065" b="698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tretch>
                            <a:fillRect/>
                          </a:stretch>
                        </pic:blipFill>
                        <pic:spPr>
                          <a:xfrm>
                            <a:off x="0" y="0"/>
                            <a:ext cx="4350385" cy="21266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b/>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b/>
                <w:szCs w:val="21"/>
              </w:rPr>
            </w:pPr>
            <w:r>
              <w:rPr>
                <w:b/>
                <w:szCs w:val="21"/>
              </w:rPr>
              <w:t>图</w:t>
            </w:r>
            <w:r>
              <w:rPr>
                <w:rFonts w:hint="eastAsia"/>
                <w:b/>
                <w:szCs w:val="21"/>
                <w:lang w:val="en-US" w:eastAsia="zh-CN"/>
              </w:rPr>
              <w:t>2-5</w:t>
            </w:r>
            <w:r>
              <w:rPr>
                <w:b/>
                <w:szCs w:val="21"/>
              </w:rPr>
              <w:t>二次油气回收系统示意图</w:t>
            </w:r>
          </w:p>
          <w:p>
            <w:pPr>
              <w:pStyle w:val="47"/>
              <w:adjustRightInd/>
              <w:snapToGrid/>
              <w:spacing w:after="0" w:line="360" w:lineRule="auto"/>
              <w:ind w:firstLine="480"/>
              <w:contextualSpacing/>
              <w:rPr>
                <w:rFonts w:hint="eastAsia"/>
                <w:color w:val="auto"/>
              </w:rPr>
            </w:pPr>
            <w:r>
              <w:rPr>
                <w:rFonts w:hint="eastAsia"/>
                <w:color w:val="auto"/>
              </w:rPr>
              <w:t>当采用加油油气回收时使用油气回收型加油枪，并在加油机内安装真空泵。真空泵控制板与加油机脉冲发生器连接，当加油枪加油时，获得脉冲信号，真空泵启动，通过加油枪回收油气。所有加油机的油气回收管线进口并联，汇集到加油油气回收总管，加油油气回收总管直接进入最低标号油罐，起到回收加油油气的作用。加油机与油罐之间应设油气回收管道，多台加油机可共用1根油气回收总管。</w:t>
            </w:r>
          </w:p>
          <w:p>
            <w:pPr>
              <w:pStyle w:val="47"/>
              <w:adjustRightInd/>
              <w:snapToGrid/>
              <w:spacing w:after="0" w:line="360" w:lineRule="auto"/>
              <w:ind w:firstLine="482"/>
              <w:contextualSpacing/>
              <w:rPr>
                <w:rFonts w:hint="eastAsia"/>
                <w:b/>
                <w:color w:val="auto"/>
              </w:rPr>
            </w:pPr>
            <w:r>
              <w:rPr>
                <w:rFonts w:hint="eastAsia"/>
                <w:b/>
                <w:color w:val="auto"/>
              </w:rPr>
              <w:t>2、洗车工艺</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rPr>
                <w:rFonts w:hint="eastAsia"/>
                <w:bCs/>
                <w:sz w:val="24"/>
              </w:rPr>
            </w:pPr>
            <w:r>
              <w:rPr>
                <w:rFonts w:hint="eastAsia"/>
                <w:color w:val="auto"/>
              </w:rPr>
              <w:t>本项目采用人工清洗废方式</w:t>
            </w:r>
            <w:r>
              <w:rPr>
                <w:rFonts w:hint="eastAsia"/>
                <w:b/>
                <w:bCs/>
                <w:color w:val="auto"/>
                <w:u w:val="single"/>
              </w:rPr>
              <w:t>对外来加油的小型车辆进行清洗，项目不对外进行洗车业务</w:t>
            </w:r>
            <w:r>
              <w:rPr>
                <w:rFonts w:hint="eastAsia"/>
                <w:color w:val="auto"/>
              </w:rPr>
              <w:t>，每天洗车量约80辆。洗车时，汽车停在固定洗车区内不动，人工使用抹布及拖把刷对车辆车身进行清洗。洗车采用清水洗车，仅对车辆表面进行冲洗，不对车辆底部、内部等部位进行深度清洗，洗车时不添加洗涤剂。同时，项目内不涉及汽车抛光、打蜡、封釉、镀膜等汽车美容服务，也不涉及汽车维修保养服务</w:t>
            </w:r>
            <w:r>
              <w:rPr>
                <w:rFonts w:hint="eastAsia" w:ascii="宋体" w:hAnsi="宋体"/>
                <w:sz w:val="24"/>
              </w:rPr>
              <w:t>。</w:t>
            </w:r>
          </w:p>
          <w:p>
            <w:pPr>
              <w:pStyle w:val="31"/>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firstLine="482" w:firstLineChars="200"/>
              <w:jc w:val="left"/>
              <w:textAlignment w:val="auto"/>
              <w:rPr>
                <w:rFonts w:hint="eastAsia"/>
                <w:b/>
                <w:sz w:val="24"/>
                <w:lang w:val="en-US" w:eastAsia="zh-CN"/>
              </w:rPr>
            </w:pPr>
            <w:r>
              <w:rPr>
                <w:rFonts w:hint="eastAsia"/>
                <w:b/>
                <w:sz w:val="24"/>
                <w:lang w:val="en-US" w:eastAsia="zh-CN"/>
              </w:rPr>
              <w:t>项目变更情况</w:t>
            </w:r>
          </w:p>
          <w:p>
            <w:pPr>
              <w:pStyle w:val="31"/>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52" w:firstLineChars="200"/>
              <w:jc w:val="both"/>
              <w:textAlignment w:val="auto"/>
              <w:rPr>
                <w:rFonts w:hint="default"/>
                <w:color w:val="auto"/>
                <w:spacing w:val="-7"/>
                <w:sz w:val="24"/>
              </w:rPr>
            </w:pPr>
            <w:r>
              <w:rPr>
                <w:rFonts w:hint="default"/>
                <w:color w:val="auto"/>
                <w:spacing w:val="-7"/>
                <w:sz w:val="24"/>
              </w:rPr>
              <w:t>项目产品品种未发生变化、生产规模不增加、建设地点未变动、生产工艺未变动、环保措施未发生变化。</w:t>
            </w:r>
          </w:p>
          <w:p>
            <w:pPr>
              <w:pStyle w:val="31"/>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54" w:firstLineChars="200"/>
              <w:jc w:val="both"/>
              <w:textAlignment w:val="auto"/>
              <w:rPr>
                <w:rFonts w:hint="default" w:eastAsia="宋体"/>
                <w:spacing w:val="-9"/>
                <w:lang w:val="en-US" w:eastAsia="zh-CN"/>
              </w:rPr>
            </w:pPr>
            <w:r>
              <w:rPr>
                <w:rFonts w:hint="default"/>
                <w:b/>
                <w:bCs/>
                <w:color w:val="auto"/>
                <w:spacing w:val="-7"/>
                <w:sz w:val="24"/>
              </w:rPr>
              <w:t>参考环境保护部办公厅《关于印发环评管理中部分行业建设项目重大变动清单的通知》（环办〔2015〕52 号）的内容：新建项目建设内容调整不涉及以下方面的变化：（1）项目的性质，产品品 种未发生变化；（2）项目的规模，生产规模不增加；（3）项目的建设地点未变动；（4）项目的生产工艺未变动；（5）项目的环保措施变更未导致新增污染物或污染物排放量增加。本项目上述变化不属于重大变动。</w:t>
            </w:r>
          </w:p>
        </w:tc>
      </w:tr>
    </w:tbl>
    <w:p>
      <w:pPr>
        <w:spacing w:line="220" w:lineRule="atLeast"/>
        <w:jc w:val="center"/>
        <w:rPr>
          <w:rFonts w:hint="eastAsia"/>
          <w:b/>
          <w:color w:val="auto"/>
          <w:sz w:val="21"/>
          <w:szCs w:val="21"/>
        </w:rPr>
        <w:sectPr>
          <w:pgSz w:w="11906" w:h="16838"/>
          <w:pgMar w:top="1554"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b/>
          <w:color w:val="auto"/>
          <w:sz w:val="28"/>
          <w:szCs w:val="28"/>
          <w:lang w:val="en-US" w:eastAsia="zh-CN"/>
        </w:rPr>
      </w:pPr>
      <w:r>
        <w:rPr>
          <w:rFonts w:hint="eastAsia"/>
          <w:b/>
          <w:color w:val="auto"/>
          <w:sz w:val="28"/>
          <w:szCs w:val="28"/>
        </w:rPr>
        <w:t>表</w:t>
      </w:r>
      <w:r>
        <w:rPr>
          <w:rFonts w:hint="eastAsia"/>
          <w:b/>
          <w:color w:val="auto"/>
          <w:sz w:val="28"/>
          <w:szCs w:val="28"/>
          <w:lang w:val="en-US" w:eastAsia="zh-CN"/>
        </w:rPr>
        <w:t>三 运营期主要污染情况及处理措施</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794" w:hRule="atLeast"/>
          <w:jc w:val="center"/>
        </w:trPr>
        <w:tc>
          <w:tcPr>
            <w:tcW w:w="8820"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both"/>
              <w:textAlignment w:val="auto"/>
              <w:rPr>
                <w:b/>
                <w:bCs/>
                <w:color w:val="auto"/>
              </w:rPr>
            </w:pPr>
            <w:r>
              <w:rPr>
                <w:b/>
                <w:bCs/>
                <w:color w:val="auto"/>
              </w:rPr>
              <w:t>1</w:t>
            </w:r>
            <w:r>
              <w:rPr>
                <w:rFonts w:hint="eastAsia"/>
                <w:b/>
                <w:bCs/>
                <w:color w:val="auto"/>
                <w:lang w:eastAsia="zh-CN"/>
              </w:rPr>
              <w:t>、</w:t>
            </w:r>
            <w:r>
              <w:rPr>
                <w:b/>
                <w:bCs/>
                <w:color w:val="auto"/>
              </w:rPr>
              <w:t xml:space="preserve"> 废水</w:t>
            </w:r>
            <w:r>
              <w:rPr>
                <w:rFonts w:hint="eastAsia"/>
                <w:b/>
                <w:bCs/>
                <w:color w:val="auto"/>
                <w:lang w:val="en-US" w:eastAsia="zh-CN"/>
              </w:rPr>
              <w:t>污染情况及处理措施</w:t>
            </w:r>
          </w:p>
          <w:p>
            <w:pPr>
              <w:pStyle w:val="10"/>
              <w:spacing w:after="0" w:line="360" w:lineRule="auto"/>
              <w:ind w:firstLine="480"/>
              <w:contextualSpacing/>
              <w:rPr>
                <w:rFonts w:hint="eastAsia"/>
                <w:sz w:val="24"/>
                <w:szCs w:val="24"/>
              </w:rPr>
            </w:pPr>
            <w:r>
              <w:rPr>
                <w:rFonts w:hint="eastAsia"/>
                <w:color w:val="auto"/>
                <w:lang w:val="en-US" w:eastAsia="zh-CN"/>
              </w:rPr>
              <w:t>项目运营期废水主要为员工及司乘人员产生的生活废水、洗车废水以及场地初期含油雨水。</w:t>
            </w:r>
          </w:p>
          <w:p>
            <w:pPr>
              <w:pStyle w:val="10"/>
              <w:spacing w:after="0" w:line="360" w:lineRule="auto"/>
              <w:ind w:firstLine="480"/>
              <w:contextualSpacing/>
              <w:rPr>
                <w:rFonts w:hint="eastAsia"/>
                <w:sz w:val="24"/>
                <w:szCs w:val="24"/>
                <w:lang w:eastAsia="zh-CN"/>
              </w:rPr>
            </w:pPr>
            <w:r>
              <w:rPr>
                <w:rFonts w:hint="eastAsia"/>
                <w:sz w:val="24"/>
                <w:szCs w:val="24"/>
              </w:rPr>
              <w:t>经现场踏勘，</w:t>
            </w:r>
            <w:r>
              <w:rPr>
                <w:rFonts w:hint="eastAsia"/>
                <w:sz w:val="24"/>
                <w:szCs w:val="24"/>
                <w:lang w:eastAsia="zh-CN"/>
              </w:rPr>
              <w:t>项目所在地市政污水管网正在建设</w:t>
            </w:r>
            <w:r>
              <w:rPr>
                <w:rFonts w:hint="eastAsia"/>
                <w:sz w:val="24"/>
                <w:szCs w:val="24"/>
              </w:rPr>
              <w:t>，在建成运营前，本项目污水委托</w:t>
            </w:r>
            <w:r>
              <w:rPr>
                <w:rFonts w:hint="eastAsia"/>
                <w:sz w:val="24"/>
                <w:szCs w:val="24"/>
                <w:lang w:eastAsia="zh-CN"/>
              </w:rPr>
              <w:t>专业清运公司清运至</w:t>
            </w:r>
            <w:r>
              <w:rPr>
                <w:rFonts w:hint="eastAsia"/>
                <w:sz w:val="24"/>
                <w:szCs w:val="24"/>
              </w:rPr>
              <w:t>彭州市第一污水处理厂处理，</w:t>
            </w:r>
            <w:r>
              <w:rPr>
                <w:rFonts w:hint="eastAsia"/>
                <w:sz w:val="24"/>
                <w:szCs w:val="24"/>
                <w:lang w:eastAsia="zh-CN"/>
              </w:rPr>
              <w:t>清运</w:t>
            </w:r>
            <w:r>
              <w:rPr>
                <w:rFonts w:hint="eastAsia"/>
                <w:sz w:val="24"/>
                <w:szCs w:val="24"/>
              </w:rPr>
              <w:t>服务合同见附件，</w:t>
            </w:r>
            <w:r>
              <w:rPr>
                <w:rFonts w:hint="eastAsia"/>
                <w:sz w:val="24"/>
                <w:szCs w:val="24"/>
                <w:lang w:eastAsia="zh-CN"/>
              </w:rPr>
              <w:t>市政污水管网</w:t>
            </w:r>
            <w:r>
              <w:rPr>
                <w:rFonts w:hint="eastAsia"/>
                <w:sz w:val="24"/>
                <w:szCs w:val="24"/>
              </w:rPr>
              <w:t>完善且运营后，接入</w:t>
            </w:r>
            <w:r>
              <w:rPr>
                <w:rFonts w:hint="eastAsia"/>
                <w:sz w:val="24"/>
                <w:szCs w:val="24"/>
                <w:lang w:eastAsia="zh-CN"/>
              </w:rPr>
              <w:t>市政污水</w:t>
            </w:r>
            <w:r>
              <w:rPr>
                <w:rFonts w:hint="eastAsia"/>
                <w:sz w:val="24"/>
                <w:szCs w:val="24"/>
              </w:rPr>
              <w:t>管网</w:t>
            </w:r>
            <w:r>
              <w:rPr>
                <w:rFonts w:hint="eastAsia"/>
                <w:sz w:val="24"/>
                <w:szCs w:val="24"/>
                <w:lang w:eastAsia="zh-CN"/>
              </w:rPr>
              <w:t>。</w:t>
            </w:r>
          </w:p>
          <w:p>
            <w:pPr>
              <w:pStyle w:val="10"/>
              <w:spacing w:after="0" w:line="360" w:lineRule="auto"/>
              <w:ind w:firstLine="480"/>
              <w:contextualSpacing/>
              <w:rPr>
                <w:rFonts w:hint="eastAsia" w:eastAsia="宋体"/>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生活污水</w:t>
            </w:r>
            <w:r>
              <w:rPr>
                <w:rFonts w:hint="eastAsia"/>
                <w:color w:val="auto"/>
                <w:sz w:val="24"/>
                <w:szCs w:val="24"/>
                <w:lang w:eastAsia="zh-CN"/>
              </w:rPr>
              <w:t>：经</w:t>
            </w:r>
            <w:r>
              <w:rPr>
                <w:rFonts w:hint="eastAsia" w:cs="Times New Roman"/>
                <w:color w:val="auto"/>
                <w:lang w:eastAsia="zh-CN"/>
              </w:rPr>
              <w:t>预处理池</w:t>
            </w:r>
            <w:r>
              <w:rPr>
                <w:rFonts w:hint="eastAsia" w:ascii="Times New Roman" w:hAnsi="Times New Roman" w:cs="Times New Roman"/>
                <w:color w:val="auto"/>
              </w:rPr>
              <w:t>处理后</w:t>
            </w:r>
            <w:r>
              <w:rPr>
                <w:rFonts w:hint="eastAsia" w:cs="Times New Roman"/>
                <w:color w:val="auto"/>
                <w:lang w:eastAsia="zh-CN"/>
              </w:rPr>
              <w:t>的污水，</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sz w:val="24"/>
                <w:szCs w:val="24"/>
                <w:lang w:eastAsia="zh-CN"/>
              </w:rPr>
              <w:t>。</w:t>
            </w:r>
            <w:r>
              <w:rPr>
                <w:rFonts w:hint="eastAsia"/>
                <w:color w:val="auto"/>
                <w:sz w:val="24"/>
                <w:szCs w:val="24"/>
              </w:rPr>
              <w:t>加油站</w:t>
            </w:r>
            <w:r>
              <w:rPr>
                <w:rFonts w:hint="eastAsia"/>
                <w:color w:val="auto"/>
                <w:sz w:val="24"/>
                <w:szCs w:val="24"/>
                <w:lang w:eastAsia="zh-CN"/>
              </w:rPr>
              <w:t>岗位人数</w:t>
            </w:r>
            <w:r>
              <w:rPr>
                <w:rFonts w:hint="eastAsia"/>
                <w:color w:val="auto"/>
                <w:sz w:val="24"/>
                <w:szCs w:val="24"/>
              </w:rPr>
              <w:t>10人 ，用水量</w:t>
            </w:r>
            <w:r>
              <w:rPr>
                <w:rFonts w:hint="eastAsia"/>
                <w:color w:val="auto"/>
                <w:sz w:val="24"/>
                <w:szCs w:val="24"/>
                <w:lang w:eastAsia="zh-CN"/>
              </w:rPr>
              <w:t>为</w:t>
            </w:r>
            <w:r>
              <w:rPr>
                <w:rFonts w:hint="eastAsia"/>
                <w:color w:val="auto"/>
                <w:sz w:val="24"/>
                <w:szCs w:val="24"/>
              </w:rPr>
              <w:t>1m</w:t>
            </w:r>
            <w:r>
              <w:rPr>
                <w:rFonts w:hint="eastAsia"/>
                <w:color w:val="auto"/>
                <w:sz w:val="24"/>
                <w:szCs w:val="24"/>
                <w:vertAlign w:val="superscript"/>
              </w:rPr>
              <w:t>3</w:t>
            </w:r>
            <w:r>
              <w:rPr>
                <w:rFonts w:hint="eastAsia"/>
                <w:color w:val="auto"/>
                <w:sz w:val="24"/>
                <w:szCs w:val="24"/>
              </w:rPr>
              <w:t>/d；日均进出场站人员</w:t>
            </w:r>
            <w:r>
              <w:rPr>
                <w:rFonts w:hint="eastAsia"/>
                <w:color w:val="auto"/>
                <w:sz w:val="24"/>
                <w:szCs w:val="24"/>
                <w:lang w:eastAsia="zh-CN"/>
              </w:rPr>
              <w:t>约</w:t>
            </w:r>
            <w:r>
              <w:rPr>
                <w:rFonts w:hint="eastAsia"/>
                <w:color w:val="auto"/>
                <w:sz w:val="24"/>
                <w:szCs w:val="24"/>
              </w:rPr>
              <w:t xml:space="preserve"> 200 人，用水量为 1m</w:t>
            </w:r>
            <w:r>
              <w:rPr>
                <w:rFonts w:hint="eastAsia"/>
                <w:color w:val="auto"/>
                <w:sz w:val="24"/>
                <w:szCs w:val="24"/>
                <w:vertAlign w:val="superscript"/>
              </w:rPr>
              <w:t>3</w:t>
            </w:r>
            <w:r>
              <w:rPr>
                <w:rFonts w:hint="eastAsia"/>
                <w:color w:val="auto"/>
                <w:sz w:val="24"/>
                <w:szCs w:val="24"/>
              </w:rPr>
              <w:t>/d</w:t>
            </w:r>
            <w:r>
              <w:rPr>
                <w:rFonts w:hint="eastAsia"/>
                <w:color w:val="auto"/>
                <w:sz w:val="24"/>
                <w:szCs w:val="24"/>
                <w:lang w:eastAsia="zh-CN"/>
              </w:rPr>
              <w:t>。</w:t>
            </w:r>
          </w:p>
          <w:p>
            <w:pPr>
              <w:pStyle w:val="10"/>
              <w:spacing w:after="0" w:line="360" w:lineRule="auto"/>
              <w:ind w:firstLine="480"/>
              <w:contextualSpacing/>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初期雨水</w:t>
            </w:r>
            <w:r>
              <w:rPr>
                <w:rFonts w:hint="eastAsia"/>
                <w:color w:val="auto"/>
                <w:sz w:val="24"/>
                <w:szCs w:val="24"/>
                <w:lang w:eastAsia="zh-CN"/>
              </w:rPr>
              <w:t>：</w:t>
            </w:r>
            <w:r>
              <w:rPr>
                <w:rFonts w:hint="eastAsia"/>
                <w:color w:val="auto"/>
                <w:sz w:val="24"/>
                <w:szCs w:val="24"/>
              </w:rPr>
              <w:t>经环保沟收集至经初期雨水隔油池去除浮油后</w:t>
            </w:r>
            <w:r>
              <w:rPr>
                <w:rFonts w:hint="eastAsia"/>
                <w:color w:val="auto"/>
                <w:sz w:val="24"/>
                <w:szCs w:val="24"/>
                <w:lang w:eastAsia="zh-CN"/>
              </w:rPr>
              <w:t>，</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sz w:val="24"/>
                <w:szCs w:val="24"/>
                <w:lang w:eastAsia="zh-CN"/>
              </w:rPr>
              <w:t>。</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firstLine="480" w:firstLineChars="200"/>
              <w:jc w:val="both"/>
              <w:textAlignment w:val="auto"/>
              <w:rPr>
                <w:rFonts w:hint="eastAsia"/>
                <w:color w:val="auto"/>
                <w:lang w:val="en-US"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rPr>
              <w:t>洗车废水</w:t>
            </w:r>
            <w:r>
              <w:rPr>
                <w:rFonts w:hint="eastAsia"/>
                <w:color w:val="auto"/>
                <w:sz w:val="24"/>
                <w:szCs w:val="24"/>
                <w:lang w:eastAsia="zh-CN"/>
              </w:rPr>
              <w:t>：</w:t>
            </w:r>
            <w:r>
              <w:rPr>
                <w:rFonts w:hint="eastAsia"/>
                <w:color w:val="auto"/>
                <w:sz w:val="24"/>
                <w:szCs w:val="24"/>
              </w:rPr>
              <w:t>经隔油沉淀+洗车废水回用设备处理后，</w:t>
            </w:r>
            <w:r>
              <w:rPr>
                <w:rFonts w:hint="eastAsia"/>
                <w:color w:val="auto"/>
                <w:sz w:val="24"/>
                <w:szCs w:val="24"/>
                <w:lang w:eastAsia="zh-CN"/>
              </w:rPr>
              <w:t>大</w:t>
            </w:r>
            <w:r>
              <w:rPr>
                <w:rFonts w:hint="eastAsia"/>
                <w:color w:val="auto"/>
                <w:sz w:val="24"/>
                <w:szCs w:val="24"/>
              </w:rPr>
              <w:t>部分（</w:t>
            </w:r>
            <w:r>
              <w:rPr>
                <w:rFonts w:hint="eastAsia"/>
                <w:color w:val="auto"/>
                <w:sz w:val="24"/>
                <w:szCs w:val="24"/>
                <w:lang w:val="en-US" w:eastAsia="zh-CN"/>
              </w:rPr>
              <w:t>7</w:t>
            </w:r>
            <w:r>
              <w:rPr>
                <w:rFonts w:hint="eastAsia"/>
                <w:color w:val="auto"/>
                <w:sz w:val="24"/>
                <w:szCs w:val="24"/>
              </w:rPr>
              <w:t>0%回用率）回用于洗车，不能回用的进入预处理池，</w:t>
            </w:r>
            <w:r>
              <w:rPr>
                <w:rFonts w:hint="eastAsia"/>
                <w:color w:val="auto"/>
                <w:sz w:val="24"/>
                <w:szCs w:val="24"/>
                <w:lang w:eastAsia="zh-CN"/>
              </w:rPr>
              <w:t>同生活污水一起</w:t>
            </w:r>
            <w:r>
              <w:rPr>
                <w:rFonts w:hint="eastAsia" w:ascii="Times New Roman" w:hAnsi="Times New Roman" w:cs="Times New Roman"/>
                <w:color w:val="auto"/>
              </w:rPr>
              <w:t>委托</w:t>
            </w:r>
            <w:r>
              <w:rPr>
                <w:rFonts w:hint="eastAsia" w:cs="Times New Roman"/>
                <w:color w:val="auto"/>
                <w:lang w:eastAsia="zh-CN"/>
              </w:rPr>
              <w:t>清运公司清运至</w:t>
            </w:r>
            <w:r>
              <w:rPr>
                <w:rFonts w:hint="eastAsia"/>
                <w:color w:val="auto"/>
                <w:sz w:val="24"/>
                <w:szCs w:val="24"/>
              </w:rPr>
              <w:t>彭州市第一污水处理厂</w:t>
            </w:r>
            <w:r>
              <w:rPr>
                <w:rFonts w:hint="eastAsia"/>
                <w:color w:val="auto"/>
                <w:sz w:val="24"/>
                <w:szCs w:val="24"/>
                <w:lang w:eastAsia="zh-CN"/>
              </w:rPr>
              <w:t>统一</w:t>
            </w:r>
            <w:r>
              <w:rPr>
                <w:rFonts w:hint="eastAsia"/>
                <w:color w:val="auto"/>
                <w:sz w:val="24"/>
                <w:szCs w:val="24"/>
              </w:rPr>
              <w:t>处理</w:t>
            </w:r>
            <w:r>
              <w:rPr>
                <w:rFonts w:hint="eastAsia" w:ascii="Times New Roman" w:hAnsi="Times New Roman" w:cs="Times New Roman"/>
                <w:color w:val="auto"/>
              </w:rPr>
              <w:t>，</w:t>
            </w:r>
            <w:r>
              <w:rPr>
                <w:rFonts w:hint="eastAsia"/>
                <w:color w:val="auto"/>
                <w:sz w:val="24"/>
                <w:szCs w:val="24"/>
              </w:rPr>
              <w:t>处理后外排六支渠</w:t>
            </w:r>
            <w:r>
              <w:rPr>
                <w:rFonts w:hint="eastAsia"/>
                <w:color w:val="auto"/>
                <w:lang w:val="en-US" w:eastAsia="zh-CN"/>
              </w:rPr>
              <w:t>。</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firstLine="482" w:firstLineChars="200"/>
              <w:jc w:val="both"/>
              <w:textAlignment w:val="auto"/>
              <w:rPr>
                <w:rFonts w:hint="eastAsia"/>
                <w:b/>
                <w:bCs/>
                <w:color w:val="auto"/>
                <w:lang w:val="en-US" w:eastAsia="zh-CN"/>
              </w:rPr>
            </w:pPr>
            <w:r>
              <w:rPr>
                <w:rFonts w:hint="eastAsia"/>
                <w:b/>
                <w:bCs/>
                <w:color w:val="auto"/>
                <w:lang w:val="en-US" w:eastAsia="zh-CN"/>
              </w:rPr>
              <w:t>2、废气污染情况及处理措施</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本项目主要大气污染物包括卸油及加油机作业等排放的非甲烷总烃，外来车辆产生一定的汽车尾气，柴油发电机废气。</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（1）卸油及加油机作业等排放的挥发性有机物</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项目设置有密闭油气回收系统（一、二次油气回收系统）对加油站卸油、储油和加油时挥发的有机废气进行回收，其油气回收效率可达到95%以上。并配套设置有通气管3根，用于未被回收的油气以及储罐大小呼吸油气的排放。通气管均高出地平面4m，管口设置带阻火器的呼吸阀。</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u w:val="single"/>
                <w:lang w:val="en-US" w:eastAsia="zh-CN"/>
              </w:rPr>
              <w:t>一次油气回收阶段（即卸油油气回收系统）</w:t>
            </w:r>
            <w:r>
              <w:rPr>
                <w:rFonts w:hint="eastAsia"/>
                <w:color w:val="auto"/>
                <w:sz w:val="24"/>
                <w:lang w:val="en-US" w:eastAsia="zh-CN"/>
              </w:rPr>
              <w:t>：是通过压力平衡原理，将在卸油过程中挥发的油气收集到油罐车内，运回储油库进行油气回收处理的过程。卸油和油气回收接口安装有节流阀、密封式快速接头盒冒盖，以防止油气挥发泄露。</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u w:val="single"/>
                <w:lang w:val="en-US" w:eastAsia="zh-CN"/>
              </w:rPr>
              <w:t>二次油气回收阶段（即加油过程油气回收系统）</w:t>
            </w:r>
            <w:r>
              <w:rPr>
                <w:rFonts w:hint="eastAsia"/>
                <w:color w:val="auto"/>
                <w:sz w:val="24"/>
                <w:lang w:val="en-US" w:eastAsia="zh-CN"/>
              </w:rPr>
              <w:t>：在加油站为汽车加油过程中，通过真空泵产生一定真空度，经过加油枪、油气回收管、真空泵等油气回收设备，按照气液比控制在1.0至1.2之间的要求，将加油过程中挥发的油气回收到油罐内。</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另外根据项目油气回收系统检测报告，项目加油站油气回收系统密闭性、液阻、气液比均合格。</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u w:val="single"/>
                <w:lang w:val="en-US" w:eastAsia="zh-CN"/>
              </w:rPr>
            </w:pPr>
            <w:r>
              <w:rPr>
                <w:rFonts w:hint="eastAsia"/>
                <w:color w:val="auto"/>
                <w:sz w:val="24"/>
                <w:u w:val="single"/>
                <w:lang w:val="en-US" w:eastAsia="zh-CN"/>
              </w:rPr>
              <w:t>卸油油气排放控制：</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 xml:space="preserve">a.采用自流密闭卸油方式卸油方式； </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 xml:space="preserve">b.卸油和油气回收接口安装截流阀、密封式快速接头和冒盖，如接口尺寸不符的可采用变径连接； </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c.连接软管采用密封式快速接头与卸油车连接，卸油后连接软管内无存留残油；</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u w:val="single"/>
                <w:lang w:val="en-US" w:eastAsia="zh-CN"/>
              </w:rPr>
            </w:pPr>
            <w:r>
              <w:rPr>
                <w:rFonts w:hint="eastAsia"/>
                <w:color w:val="auto"/>
                <w:sz w:val="24"/>
                <w:u w:val="single"/>
                <w:lang w:val="en-US" w:eastAsia="zh-CN"/>
              </w:rPr>
              <w:t>储油油气排放控制：</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a.油气管线和所联接的法兰、阀门、快接头以及其他相关部件都保证在小于750Pa时不漏气；</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b.油罐内设置防溢阀、油料达到油罐容量的90%，触动高液位报警装置，油料达到油罐容量的95%时，自动切断进油阀；</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c.双层罐内外壳之间设置渗漏检测仪。</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u w:val="single"/>
                <w:lang w:val="en-US" w:eastAsia="zh-CN"/>
              </w:rPr>
            </w:pPr>
            <w:r>
              <w:rPr>
                <w:rFonts w:hint="eastAsia"/>
                <w:color w:val="auto"/>
                <w:sz w:val="24"/>
                <w:u w:val="single"/>
                <w:lang w:val="en-US" w:eastAsia="zh-CN"/>
              </w:rPr>
              <w:t>加油过程控制：</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加油时将加油枪插入油箱，经检查无误后，通过微机控制器启动潜油泵，将油料从油罐抽到加油机，经计量后加入汽车油箱。整个过程全部由微机自动控制，可提前输入加油量（或购油金额）后启动加油机，待加足预设油量后自动停机。</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本次对项目无组织废气非甲烷总烃进行了监测，监测结果显示厂界无组织废气能够满足</w:t>
            </w:r>
            <w:r>
              <w:rPr>
                <w:rFonts w:hint="eastAsia"/>
                <w:color w:val="auto"/>
              </w:rPr>
              <w:t>《大气污染物综合排放标准》</w:t>
            </w:r>
            <w:r>
              <w:rPr>
                <w:rFonts w:hint="eastAsia"/>
                <w:color w:val="auto"/>
                <w:lang w:eastAsia="zh-CN"/>
              </w:rPr>
              <w:t>（</w:t>
            </w:r>
            <w:r>
              <w:rPr>
                <w:rFonts w:hint="eastAsia"/>
                <w:color w:val="auto"/>
              </w:rPr>
              <w:t>GB16297-1996</w:t>
            </w:r>
            <w:r>
              <w:rPr>
                <w:rFonts w:hint="eastAsia"/>
                <w:color w:val="auto"/>
                <w:lang w:eastAsia="zh-CN"/>
              </w:rPr>
              <w:t>）</w:t>
            </w:r>
            <w:r>
              <w:rPr>
                <w:rFonts w:hint="eastAsia"/>
                <w:color w:val="auto"/>
                <w:sz w:val="24"/>
                <w:lang w:val="en-US" w:eastAsia="zh-CN"/>
              </w:rPr>
              <w:t>无组织排放监控浓度限值。</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（2）机动车尾气</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本项目进出的汽车均会排放尾气，由于进出车辆在加油站内的停留时间较短，且在站内的时间大部分处于熄火状态，因此，其尾气产生量很少，况且站内通风情况良好，不会造成尾气集结。</w:t>
            </w:r>
          </w:p>
          <w:p>
            <w:pPr>
              <w:keepNext w:val="0"/>
              <w:keepLines w:val="0"/>
              <w:pageBreakBefore w:val="0"/>
              <w:widowControl/>
              <w:numPr>
                <w:ilvl w:val="0"/>
                <w:numId w:val="3"/>
              </w:numPr>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柴油发电机燃烧废气</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本项目配备柴油发电机组1台（14.7kW），置于专用的发电机房内，仅临时使用，采用0#柴油作为燃料，主要污染物为烟尘、CO</w:t>
            </w:r>
            <w:r>
              <w:rPr>
                <w:rFonts w:hint="eastAsia"/>
                <w:color w:val="auto"/>
                <w:sz w:val="24"/>
                <w:vertAlign w:val="subscript"/>
                <w:lang w:val="en-US" w:eastAsia="zh-CN"/>
              </w:rPr>
              <w:t>2</w:t>
            </w:r>
            <w:r>
              <w:rPr>
                <w:rFonts w:hint="eastAsia"/>
                <w:color w:val="auto"/>
                <w:sz w:val="24"/>
                <w:lang w:val="en-US" w:eastAsia="zh-CN"/>
              </w:rPr>
              <w:t>、CO、HC、NO</w:t>
            </w:r>
            <w:r>
              <w:rPr>
                <w:rFonts w:hint="eastAsia"/>
                <w:color w:val="auto"/>
                <w:sz w:val="24"/>
                <w:vertAlign w:val="subscript"/>
                <w:lang w:val="en-US" w:eastAsia="zh-CN"/>
              </w:rPr>
              <w:t>x</w:t>
            </w:r>
            <w:r>
              <w:rPr>
                <w:rFonts w:hint="eastAsia"/>
                <w:color w:val="auto"/>
                <w:sz w:val="24"/>
                <w:lang w:val="en-US" w:eastAsia="zh-CN"/>
              </w:rPr>
              <w:t>、SO</w:t>
            </w:r>
            <w:r>
              <w:rPr>
                <w:rFonts w:hint="eastAsia"/>
                <w:color w:val="auto"/>
                <w:sz w:val="24"/>
                <w:vertAlign w:val="subscript"/>
                <w:lang w:val="en-US" w:eastAsia="zh-CN"/>
              </w:rPr>
              <w:t>2</w:t>
            </w:r>
            <w:r>
              <w:rPr>
                <w:rFonts w:hint="eastAsia"/>
                <w:color w:val="auto"/>
                <w:sz w:val="24"/>
                <w:lang w:val="en-US" w:eastAsia="zh-CN"/>
              </w:rPr>
              <w:t>等。0#柴油属清洁能源，其燃油产生的废气污染物量较少，且发电机使用频率较低，每年最多使用十余天。发电机废气经烟气处理装置处理后由排烟管口伸出屋顶排放。</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both"/>
              <w:textAlignment w:val="auto"/>
              <w:rPr>
                <w:rFonts w:hint="eastAsia"/>
                <w:b/>
                <w:bCs/>
                <w:color w:val="auto"/>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both"/>
              <w:textAlignment w:val="auto"/>
              <w:rPr>
                <w:rFonts w:hint="eastAsia" w:ascii="Times New Roman" w:hAnsi="Times New Roman" w:eastAsia="宋体"/>
                <w:b/>
                <w:bCs/>
                <w:color w:val="auto"/>
                <w:lang w:val="en-US" w:eastAsia="zh-CN"/>
              </w:rPr>
            </w:pPr>
            <w:r>
              <w:rPr>
                <w:rFonts w:hint="eastAsia"/>
                <w:b/>
                <w:bCs/>
                <w:color w:val="auto"/>
                <w:lang w:val="en-US" w:eastAsia="zh-CN"/>
              </w:rPr>
              <w:t>3</w:t>
            </w:r>
            <w:r>
              <w:rPr>
                <w:rFonts w:hint="eastAsia"/>
                <w:b/>
                <w:bCs/>
                <w:color w:val="auto"/>
                <w:lang w:eastAsia="zh-CN"/>
              </w:rPr>
              <w:t>、</w:t>
            </w:r>
            <w:r>
              <w:rPr>
                <w:b/>
                <w:bCs/>
                <w:color w:val="auto"/>
              </w:rPr>
              <w:t xml:space="preserve"> </w:t>
            </w:r>
            <w:r>
              <w:rPr>
                <w:rFonts w:hint="eastAsia" w:ascii="Times New Roman" w:hAnsi="Times New Roman" w:eastAsia="宋体"/>
                <w:b/>
                <w:bCs/>
                <w:color w:val="auto"/>
                <w:lang w:val="en-US" w:eastAsia="zh-CN"/>
              </w:rPr>
              <w:t>噪声</w:t>
            </w:r>
            <w:r>
              <w:rPr>
                <w:rFonts w:hint="eastAsia"/>
                <w:b/>
                <w:bCs/>
                <w:color w:val="auto"/>
                <w:lang w:val="en-US" w:eastAsia="zh-CN"/>
              </w:rPr>
              <w:t>污染情况及处理措施</w:t>
            </w:r>
          </w:p>
          <w:p>
            <w:pPr>
              <w:keepNext w:val="0"/>
              <w:keepLines w:val="0"/>
              <w:pageBreakBefore w:val="0"/>
              <w:widowControl/>
              <w:kinsoku/>
              <w:wordWrap/>
              <w:overflowPunct/>
              <w:topLinePunct w:val="0"/>
              <w:bidi w:val="0"/>
              <w:adjustRightInd w:val="0"/>
              <w:snapToGrid w:val="0"/>
              <w:spacing w:after="0" w:line="360" w:lineRule="auto"/>
              <w:ind w:left="0" w:leftChars="0" w:right="0" w:rightChars="0" w:firstLine="480" w:firstLineChars="200"/>
              <w:textAlignment w:val="auto"/>
              <w:rPr>
                <w:color w:val="FF0000"/>
              </w:rPr>
            </w:pPr>
            <w:r>
              <w:rPr>
                <w:color w:val="auto"/>
                <w:sz w:val="24"/>
              </w:rPr>
              <w:t>本项目噪声主要来源于</w:t>
            </w:r>
            <w:r>
              <w:rPr>
                <w:rFonts w:hint="eastAsia"/>
                <w:color w:val="auto"/>
                <w:sz w:val="24"/>
              </w:rPr>
              <w:t>设备噪声（备用发电机、潜油泵、加油机）、进出站车辆噪声</w:t>
            </w:r>
            <w:r>
              <w:rPr>
                <w:rFonts w:hint="eastAsia"/>
                <w:color w:val="auto"/>
                <w:sz w:val="24"/>
                <w:szCs w:val="24"/>
                <w:lang w:eastAsia="zh-CN"/>
              </w:rPr>
              <w:t>。</w:t>
            </w:r>
            <w:r>
              <w:rPr>
                <w:rFonts w:hint="eastAsia"/>
                <w:bCs/>
                <w:color w:val="auto"/>
                <w:sz w:val="24"/>
              </w:rPr>
              <w:t>经严禁鸣笛</w:t>
            </w:r>
            <w:r>
              <w:rPr>
                <w:rFonts w:hint="eastAsia"/>
                <w:bCs/>
                <w:color w:val="auto"/>
                <w:sz w:val="24"/>
                <w:lang w:eastAsia="zh-CN"/>
              </w:rPr>
              <w:t>、</w:t>
            </w:r>
            <w:r>
              <w:rPr>
                <w:rFonts w:hint="eastAsia"/>
                <w:bCs/>
                <w:color w:val="auto"/>
                <w:sz w:val="24"/>
              </w:rPr>
              <w:t>减速慢行</w:t>
            </w:r>
            <w:r>
              <w:rPr>
                <w:rFonts w:hint="eastAsia"/>
                <w:bCs/>
                <w:color w:val="auto"/>
                <w:sz w:val="24"/>
                <w:lang w:eastAsia="zh-CN"/>
              </w:rPr>
              <w:t>、</w:t>
            </w:r>
            <w:r>
              <w:rPr>
                <w:rFonts w:hint="eastAsia"/>
                <w:bCs/>
                <w:color w:val="auto"/>
                <w:sz w:val="24"/>
              </w:rPr>
              <w:t>隔声、减振、消声等治理措施后，</w:t>
            </w:r>
            <w:r>
              <w:rPr>
                <w:rFonts w:hint="eastAsia"/>
                <w:bCs/>
                <w:color w:val="auto"/>
                <w:sz w:val="24"/>
                <w:lang w:eastAsia="zh-CN"/>
              </w:rPr>
              <w:t>能</w:t>
            </w:r>
            <w:r>
              <w:rPr>
                <w:rFonts w:hint="eastAsia"/>
                <w:color w:val="auto"/>
                <w:sz w:val="24"/>
                <w:szCs w:val="24"/>
              </w:rPr>
              <w:t>达到《工业企业厂界环境噪声排放标准》（GB12348—2008）2类标准，主干道侧一定距离满足4</w:t>
            </w:r>
            <w:r>
              <w:rPr>
                <w:rFonts w:hint="eastAsia"/>
                <w:color w:val="auto"/>
                <w:sz w:val="24"/>
                <w:szCs w:val="24"/>
                <w:lang w:val="en-US" w:eastAsia="zh-CN"/>
              </w:rPr>
              <w:t>a</w:t>
            </w:r>
            <w:r>
              <w:rPr>
                <w:rFonts w:hint="eastAsia"/>
                <w:color w:val="auto"/>
                <w:sz w:val="24"/>
                <w:szCs w:val="24"/>
              </w:rPr>
              <w:t>类标准，不会对区域声环境质量造成明显的不利影响。</w:t>
            </w:r>
          </w:p>
          <w:p>
            <w:pPr>
              <w:pStyle w:val="3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jc w:val="center"/>
              <w:textAlignment w:val="auto"/>
              <w:rPr>
                <w:rFonts w:hint="default"/>
                <w:b/>
                <w:sz w:val="24"/>
              </w:rPr>
            </w:pPr>
            <w:r>
              <w:rPr>
                <w:rFonts w:hint="eastAsia"/>
                <w:b/>
                <w:sz w:val="24"/>
              </w:rPr>
              <w:t>表</w:t>
            </w:r>
            <w:r>
              <w:rPr>
                <w:rFonts w:hint="eastAsia"/>
                <w:b/>
                <w:sz w:val="24"/>
                <w:lang w:val="en-US" w:eastAsia="zh-CN"/>
              </w:rPr>
              <w:t xml:space="preserve"> 3-1 </w:t>
            </w:r>
            <w:r>
              <w:rPr>
                <w:rFonts w:hint="default"/>
                <w:b/>
                <w:sz w:val="24"/>
              </w:rPr>
              <w:t>主要设备</w:t>
            </w:r>
            <w:r>
              <w:rPr>
                <w:rFonts w:hint="eastAsia"/>
                <w:b/>
                <w:sz w:val="24"/>
              </w:rPr>
              <w:t>噪声</w:t>
            </w:r>
            <w:r>
              <w:rPr>
                <w:rFonts w:hint="default"/>
                <w:b/>
                <w:sz w:val="24"/>
              </w:rPr>
              <w:t>源强</w:t>
            </w:r>
            <w:r>
              <w:rPr>
                <w:rFonts w:hint="eastAsia"/>
                <w:b/>
                <w:sz w:val="24"/>
              </w:rPr>
              <w:t>及治理措施</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1"/>
              <w:gridCol w:w="1125"/>
              <w:gridCol w:w="1639"/>
              <w:gridCol w:w="3850"/>
              <w:gridCol w:w="1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eastAsia="zh-CN"/>
                    </w:rPr>
                  </w:pPr>
                  <w:r>
                    <w:rPr>
                      <w:rFonts w:hint="eastAsia"/>
                      <w:b/>
                      <w:bCs/>
                      <w:sz w:val="21"/>
                      <w:szCs w:val="21"/>
                      <w:lang w:eastAsia="zh-CN"/>
                    </w:rPr>
                    <w:t>序号</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eastAsia="zh-CN"/>
                    </w:rPr>
                  </w:pPr>
                  <w:r>
                    <w:rPr>
                      <w:rFonts w:hint="eastAsia"/>
                      <w:b/>
                      <w:bCs/>
                      <w:sz w:val="21"/>
                      <w:szCs w:val="21"/>
                      <w:lang w:eastAsia="zh-CN"/>
                    </w:rPr>
                    <w:t>声源</w:t>
                  </w:r>
                </w:p>
              </w:tc>
              <w:tc>
                <w:tcPr>
                  <w:tcW w:w="16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eastAsia="zh-CN"/>
                    </w:rPr>
                  </w:pPr>
                  <w:r>
                    <w:rPr>
                      <w:rFonts w:hint="eastAsia"/>
                      <w:b/>
                      <w:bCs/>
                      <w:sz w:val="21"/>
                      <w:szCs w:val="21"/>
                      <w:lang w:eastAsia="zh-CN"/>
                    </w:rPr>
                    <w:t>治理前噪声</w:t>
                  </w:r>
                </w:p>
              </w:tc>
              <w:tc>
                <w:tcPr>
                  <w:tcW w:w="3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eastAsia="zh-CN"/>
                    </w:rPr>
                  </w:pPr>
                  <w:r>
                    <w:rPr>
                      <w:rFonts w:hint="eastAsia"/>
                      <w:b/>
                      <w:bCs/>
                      <w:sz w:val="21"/>
                      <w:szCs w:val="21"/>
                      <w:lang w:eastAsia="zh-CN"/>
                    </w:rPr>
                    <w:t>治理措施</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b/>
                      <w:bCs/>
                      <w:sz w:val="21"/>
                      <w:szCs w:val="21"/>
                      <w:lang w:eastAsia="zh-CN"/>
                    </w:rPr>
                  </w:pPr>
                  <w:r>
                    <w:rPr>
                      <w:rFonts w:hint="eastAsia"/>
                      <w:b/>
                      <w:bCs/>
                      <w:sz w:val="21"/>
                      <w:szCs w:val="21"/>
                      <w:lang w:eastAsia="zh-CN"/>
                    </w:rPr>
                    <w:t>治理后声级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1</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备用发电机</w:t>
                  </w:r>
                </w:p>
              </w:tc>
              <w:tc>
                <w:tcPr>
                  <w:tcW w:w="16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80~85</w:t>
                  </w:r>
                </w:p>
              </w:tc>
              <w:tc>
                <w:tcPr>
                  <w:tcW w:w="38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设备选用通过国家有关机构认证的低噪声产品， 并设置减震垫；站内设置减速杆等减降车辆运行速度和禁鸣标志等，车辆进出时，减缓速度，禁止怠速和鸣笛；进一步加强夜间噪声管理，避免扰民。</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2</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潜油泵</w:t>
                  </w:r>
                </w:p>
              </w:tc>
              <w:tc>
                <w:tcPr>
                  <w:tcW w:w="16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60~70</w:t>
                  </w:r>
                </w:p>
              </w:tc>
              <w:tc>
                <w:tcPr>
                  <w:tcW w:w="38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3</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zh-CN" w:eastAsia="zh-CN"/>
                    </w:rPr>
                  </w:pPr>
                  <w:r>
                    <w:rPr>
                      <w:rFonts w:hint="eastAsia"/>
                      <w:sz w:val="21"/>
                      <w:szCs w:val="21"/>
                      <w:lang w:eastAsia="zh-CN"/>
                    </w:rPr>
                    <w:t>加油机</w:t>
                  </w:r>
                </w:p>
              </w:tc>
              <w:tc>
                <w:tcPr>
                  <w:tcW w:w="16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65~70</w:t>
                  </w:r>
                </w:p>
              </w:tc>
              <w:tc>
                <w:tcPr>
                  <w:tcW w:w="38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4</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zh-CN" w:eastAsia="zh-CN"/>
                    </w:rPr>
                  </w:pPr>
                  <w:r>
                    <w:rPr>
                      <w:rFonts w:hint="eastAsia"/>
                      <w:sz w:val="21"/>
                      <w:szCs w:val="21"/>
                      <w:lang w:eastAsia="zh-CN"/>
                    </w:rPr>
                    <w:t>汽车噪声</w:t>
                  </w:r>
                </w:p>
              </w:tc>
              <w:tc>
                <w:tcPr>
                  <w:tcW w:w="16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r>
                    <w:rPr>
                      <w:rFonts w:hint="eastAsia"/>
                      <w:sz w:val="21"/>
                      <w:szCs w:val="21"/>
                      <w:lang w:eastAsia="zh-CN"/>
                    </w:rPr>
                    <w:t>60~70</w:t>
                  </w:r>
                </w:p>
              </w:tc>
              <w:tc>
                <w:tcPr>
                  <w:tcW w:w="38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eastAsia="zh-CN"/>
                    </w:rPr>
                  </w:pP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lang w:val="en-US" w:eastAsia="zh-CN"/>
                    </w:rPr>
                  </w:pP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0" w:type="dxa"/>
                  <w:gridSpan w:val="5"/>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lang w:val="en-US" w:eastAsia="zh-CN"/>
                    </w:rPr>
                  </w:pPr>
                  <w:r>
                    <w:rPr>
                      <w:rFonts w:hint="eastAsia"/>
                      <w:sz w:val="21"/>
                      <w:szCs w:val="21"/>
                      <w:lang w:eastAsia="zh-CN"/>
                    </w:rPr>
                    <w:t>加强管理：油料卸车必须安排在昼间进行，禁止夜间进行</w:t>
                  </w:r>
                </w:p>
              </w:tc>
            </w:tr>
          </w:tbl>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jc w:val="both"/>
              <w:textAlignment w:val="auto"/>
              <w:outlineLvl w:val="9"/>
              <w:rPr>
                <w:rFonts w:hint="eastAsia"/>
                <w:b/>
                <w:bCs/>
                <w:lang w:val="en-US" w:eastAsia="zh-CN"/>
              </w:rPr>
            </w:pPr>
            <w:r>
              <w:rPr>
                <w:rFonts w:hint="eastAsia"/>
                <w:b/>
                <w:bCs/>
                <w:lang w:val="en-US" w:eastAsia="zh-CN"/>
              </w:rPr>
              <w:t>4、固体废物</w:t>
            </w:r>
            <w:r>
              <w:rPr>
                <w:rFonts w:hint="eastAsia"/>
                <w:b/>
                <w:bCs/>
                <w:color w:val="auto"/>
                <w:lang w:val="en-US" w:eastAsia="zh-CN"/>
              </w:rPr>
              <w:t>污染情况及处理措施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rPr>
              <w:t>本项目营运期间的</w:t>
            </w:r>
            <w:r>
              <w:rPr>
                <w:rFonts w:hint="eastAsia"/>
                <w:color w:val="auto"/>
              </w:rPr>
              <w:t>产生</w:t>
            </w:r>
            <w:r>
              <w:rPr>
                <w:color w:val="auto"/>
              </w:rPr>
              <w:t>固体废弃物</w:t>
            </w:r>
            <w:r>
              <w:rPr>
                <w:rFonts w:hint="eastAsia"/>
                <w:color w:val="auto"/>
              </w:rPr>
              <w:t>包括一般固废和危险固废，一般固废：</w:t>
            </w:r>
            <w:r>
              <w:rPr>
                <w:color w:val="auto"/>
              </w:rPr>
              <w:t>生活垃圾</w:t>
            </w:r>
            <w:r>
              <w:rPr>
                <w:rFonts w:hint="eastAsia"/>
                <w:color w:val="auto"/>
              </w:rPr>
              <w:t>、</w:t>
            </w:r>
            <w:r>
              <w:rPr>
                <w:color w:val="auto"/>
              </w:rPr>
              <w:t>预处理池污泥</w:t>
            </w:r>
            <w:r>
              <w:rPr>
                <w:rFonts w:hint="eastAsia"/>
                <w:color w:val="auto"/>
              </w:rPr>
              <w:t>；危险固废：油罐清洗油渣、废含油擦拭物及消防沙、隔油池浮油/污泥</w:t>
            </w:r>
            <w:r>
              <w:rPr>
                <w:color w:val="auto"/>
                <w:sz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b/>
                <w:bCs/>
                <w:color w:val="auto"/>
                <w:sz w:val="24"/>
                <w:szCs w:val="24"/>
              </w:rPr>
            </w:pPr>
            <w:r>
              <w:rPr>
                <w:rFonts w:hint="eastAsia"/>
                <w:b/>
                <w:bCs/>
                <w:color w:val="auto"/>
                <w:sz w:val="24"/>
                <w:szCs w:val="24"/>
              </w:rPr>
              <w:t>（</w:t>
            </w:r>
            <w:r>
              <w:rPr>
                <w:rFonts w:hint="eastAsia"/>
                <w:b/>
                <w:bCs/>
                <w:color w:val="auto"/>
                <w:sz w:val="24"/>
                <w:szCs w:val="24"/>
                <w:lang w:val="en-US" w:eastAsia="zh-CN"/>
              </w:rPr>
              <w:t>1</w:t>
            </w:r>
            <w:r>
              <w:rPr>
                <w:rFonts w:hint="eastAsia"/>
                <w:b/>
                <w:bCs/>
                <w:color w:val="auto"/>
                <w:sz w:val="24"/>
                <w:szCs w:val="24"/>
              </w:rPr>
              <w:t>）一般固废</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eastAsia="宋体"/>
                <w:color w:val="auto"/>
                <w:sz w:val="24"/>
                <w:lang w:eastAsia="zh-CN"/>
              </w:rPr>
            </w:pPr>
            <w:r>
              <w:rPr>
                <w:rFonts w:hint="eastAsia" w:eastAsia="宋体"/>
                <w:color w:val="auto"/>
                <w:sz w:val="24"/>
                <w:lang w:eastAsia="zh-CN"/>
              </w:rPr>
              <w:t>生活垃圾</w:t>
            </w:r>
            <w:r>
              <w:rPr>
                <w:rFonts w:hint="eastAsia"/>
                <w:color w:val="auto"/>
                <w:lang w:eastAsia="zh-CN"/>
              </w:rPr>
              <w:t>：</w:t>
            </w:r>
            <w:r>
              <w:rPr>
                <w:rFonts w:hint="eastAsia" w:eastAsia="宋体"/>
                <w:color w:val="auto"/>
                <w:sz w:val="24"/>
                <w:lang w:eastAsia="zh-CN"/>
              </w:rPr>
              <w:t>统一清运至垃圾环卫点，由环卫部门收集处理。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eastAsia="宋体"/>
                <w:color w:val="auto"/>
                <w:sz w:val="24"/>
                <w:lang w:eastAsia="zh-CN"/>
              </w:rPr>
            </w:pPr>
            <w:r>
              <w:rPr>
                <w:rFonts w:hint="eastAsia"/>
                <w:color w:val="auto"/>
              </w:rPr>
              <w:t>预处理池污泥</w:t>
            </w:r>
            <w:r>
              <w:rPr>
                <w:rFonts w:hint="eastAsia"/>
                <w:color w:val="auto"/>
                <w:lang w:eastAsia="zh-CN"/>
              </w:rPr>
              <w:t>：</w:t>
            </w:r>
            <w:r>
              <w:rPr>
                <w:rFonts w:hint="eastAsia"/>
                <w:color w:val="auto"/>
              </w:rPr>
              <w:t>产生量0.93t/a</w:t>
            </w:r>
            <w:r>
              <w:rPr>
                <w:rFonts w:hint="eastAsia"/>
                <w:color w:val="auto"/>
                <w:lang w:eastAsia="zh-CN"/>
              </w:rPr>
              <w:t>，预</w:t>
            </w:r>
            <w:r>
              <w:rPr>
                <w:rFonts w:hint="eastAsia"/>
                <w:color w:val="auto"/>
              </w:rPr>
              <w:t>处理池半年清掏一次，由环卫部门清运处理</w:t>
            </w:r>
            <w:r>
              <w:rPr>
                <w:rFonts w:hint="eastAsia" w:eastAsia="宋体"/>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eastAsia"/>
                <w:color w:val="auto"/>
                <w:sz w:val="24"/>
                <w:lang w:eastAsia="zh-CN"/>
              </w:rPr>
            </w:pPr>
            <w:r>
              <w:rPr>
                <w:rFonts w:hint="eastAsia"/>
                <w:b/>
                <w:bCs/>
                <w:color w:val="auto"/>
                <w:sz w:val="24"/>
              </w:rPr>
              <w:t>（</w:t>
            </w:r>
            <w:r>
              <w:rPr>
                <w:rFonts w:hint="eastAsia"/>
                <w:b/>
                <w:bCs/>
                <w:color w:val="auto"/>
                <w:sz w:val="24"/>
                <w:lang w:val="en-US" w:eastAsia="zh-CN"/>
              </w:rPr>
              <w:t>2</w:t>
            </w:r>
            <w:r>
              <w:rPr>
                <w:rFonts w:hint="eastAsia"/>
                <w:b/>
                <w:bCs/>
                <w:color w:val="auto"/>
                <w:sz w:val="24"/>
              </w:rPr>
              <w:t>）危险废物</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color w:val="auto"/>
                <w:sz w:val="24"/>
                <w:lang w:eastAsia="zh-CN"/>
              </w:rPr>
            </w:pPr>
            <w:r>
              <w:rPr>
                <w:rFonts w:hint="eastAsia"/>
                <w:color w:val="auto"/>
                <w:sz w:val="24"/>
                <w:lang w:eastAsia="zh-CN"/>
              </w:rPr>
              <w:t>油罐清洗油渣：油罐每1~2年清洗一次，产生量为0.18t/次，项目委托专业公司（成都博派清洁服务有限公司）进行干式清洁。油罐底部油泥废渣经取出后采用密封桶收集，然后由危废资质公司（什邡开源环保科技有限公司）带离处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color w:val="auto"/>
                <w:sz w:val="24"/>
                <w:lang w:eastAsia="zh-CN"/>
              </w:rPr>
            </w:pPr>
            <w:r>
              <w:rPr>
                <w:rFonts w:hint="eastAsia"/>
                <w:color w:val="auto"/>
                <w:sz w:val="24"/>
                <w:lang w:eastAsia="zh-CN"/>
              </w:rPr>
              <w:t>隔油池浮油、污泥：初期雨水隔油池及洗车废水隔油池产生的浮油、污泥，产生量为0.05t/a，定期清理后暂存危废暂存间，并交由危废资质公司（什邡开源环保科技有限公司）进行处理。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color w:val="auto"/>
                <w:sz w:val="24"/>
                <w:lang w:eastAsia="zh-CN"/>
              </w:rPr>
            </w:pPr>
            <w:r>
              <w:rPr>
                <w:rFonts w:hint="eastAsia"/>
                <w:color w:val="auto"/>
                <w:sz w:val="24"/>
                <w:lang w:eastAsia="zh-CN"/>
              </w:rPr>
              <w:t>废含油擦拭物（沾油抹布和手套）及消防沙：项目员工工作使用的含油手套以及设备检修维护产生的含油擦拭物，其产生量较小，约0.02t/a，沾油废消防沙产生量较小，约0.01t/a，收集暂存危废暂存间后交由危废单位处置（什邡开源环保科技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b/>
                <w:bCs/>
                <w:color w:val="auto"/>
                <w:sz w:val="24"/>
                <w:szCs w:val="24"/>
                <w:lang w:val="en-US" w:eastAsia="zh-CN"/>
              </w:rPr>
            </w:pPr>
            <w:r>
              <w:rPr>
                <w:rFonts w:hint="eastAsia"/>
                <w:color w:val="auto"/>
                <w:sz w:val="24"/>
                <w:lang w:eastAsia="zh-CN"/>
              </w:rPr>
              <w:t>石英砂：来自于过滤装置更换滤料时产生，石英砂产生量约为0.1t/a，暂存危废暂存间，并交由有资质单位进行处理。</w:t>
            </w:r>
          </w:p>
          <w:p>
            <w:pPr>
              <w:pStyle w:val="37"/>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4"/>
                <w:szCs w:val="24"/>
                <w:lang w:val="en-US" w:eastAsia="zh-CN"/>
              </w:rPr>
            </w:pPr>
            <w:r>
              <w:rPr>
                <w:rFonts w:hint="eastAsia"/>
                <w:b/>
                <w:bCs/>
                <w:color w:val="auto"/>
                <w:sz w:val="24"/>
                <w:szCs w:val="24"/>
                <w:lang w:val="en-US" w:eastAsia="zh-CN"/>
              </w:rPr>
              <w:t>表 3-2 项目固废治理措施</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455"/>
              <w:gridCol w:w="1860"/>
              <w:gridCol w:w="650"/>
              <w:gridCol w:w="1715"/>
              <w:gridCol w:w="1099"/>
              <w:gridCol w:w="3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tblHeader/>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名称</w:t>
                  </w:r>
                </w:p>
              </w:tc>
              <w:tc>
                <w:tcPr>
                  <w:tcW w:w="363"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性质</w:t>
                  </w: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废物代码</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实际产生量</w:t>
                  </w:r>
                </w:p>
              </w:tc>
              <w:tc>
                <w:tcPr>
                  <w:tcW w:w="1770"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验收时实际处理方式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油罐清洗油渣</w:t>
                  </w:r>
                </w:p>
              </w:tc>
              <w:tc>
                <w:tcPr>
                  <w:tcW w:w="363"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危险</w:t>
                  </w:r>
                </w:p>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废物</w:t>
                  </w: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color w:val="auto"/>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0.18t/次</w:t>
                  </w:r>
                </w:p>
              </w:tc>
              <w:tc>
                <w:tcPr>
                  <w:tcW w:w="1770"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暂存危废暂存间，最终交有相应危废资质的单位处置（目前交什邡开源环保科技有限公司处置）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废含油擦拭物及消防沙</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color w:val="auto"/>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0.0</w:t>
                  </w:r>
                  <w:r>
                    <w:rPr>
                      <w:rFonts w:hint="eastAsia" w:ascii="Times New Roman" w:hAnsi="Times New Roman" w:cs="Times New Roman"/>
                      <w:b w:val="0"/>
                      <w:bCs/>
                      <w:color w:val="auto"/>
                      <w:sz w:val="21"/>
                      <w:szCs w:val="21"/>
                    </w:rPr>
                    <w:t>2</w:t>
                  </w:r>
                  <w:r>
                    <w:rPr>
                      <w:rFonts w:hint="default" w:ascii="Times New Roman" w:hAnsi="Times New Roman" w:cs="Times New Roman"/>
                      <w:b w:val="0"/>
                      <w:bCs/>
                      <w:color w:val="auto"/>
                      <w:sz w:val="21"/>
                      <w:szCs w:val="21"/>
                    </w:rPr>
                    <w:t>t/a</w:t>
                  </w:r>
                </w:p>
              </w:tc>
              <w:tc>
                <w:tcPr>
                  <w:tcW w:w="1770"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隔油池浮油、污泥</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color w:val="auto"/>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0.05</w:t>
                  </w:r>
                  <w:r>
                    <w:rPr>
                      <w:rFonts w:hint="default" w:ascii="Times New Roman" w:hAnsi="Times New Roman" w:cs="Times New Roman"/>
                      <w:b w:val="0"/>
                      <w:bCs/>
                      <w:color w:val="auto"/>
                      <w:sz w:val="21"/>
                      <w:szCs w:val="21"/>
                    </w:rPr>
                    <w:t>t/a</w:t>
                  </w:r>
                </w:p>
              </w:tc>
              <w:tc>
                <w:tcPr>
                  <w:tcW w:w="1770"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石英砂</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HW49</w:t>
                  </w:r>
                  <w:r>
                    <w:rPr>
                      <w:rFonts w:hint="eastAsia" w:cs="Times New Roman"/>
                      <w:b w:val="0"/>
                      <w:bCs/>
                      <w:color w:val="auto"/>
                      <w:sz w:val="21"/>
                      <w:szCs w:val="21"/>
                      <w:lang w:val="en-US" w:eastAsia="zh-CN"/>
                    </w:rPr>
                    <w:t xml:space="preserve"> </w:t>
                  </w:r>
                  <w:r>
                    <w:rPr>
                      <w:rFonts w:ascii="Times New Roman"/>
                      <w:color w:val="auto"/>
                    </w:rPr>
                    <w:t>900-041-49</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0.1t/a</w:t>
                  </w:r>
                </w:p>
              </w:tc>
              <w:tc>
                <w:tcPr>
                  <w:tcW w:w="1770"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5</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办公生活垃圾</w:t>
                  </w:r>
                </w:p>
              </w:tc>
              <w:tc>
                <w:tcPr>
                  <w:tcW w:w="363"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一般</w:t>
                  </w:r>
                </w:p>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固废</w:t>
                  </w:r>
                </w:p>
              </w:tc>
              <w:tc>
                <w:tcPr>
                  <w:tcW w:w="958"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2.55t/a</w:t>
                  </w:r>
                </w:p>
              </w:tc>
              <w:tc>
                <w:tcPr>
                  <w:tcW w:w="1770"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254"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bookmarkStart w:id="0" w:name="_Toc16037"/>
                  <w:r>
                    <w:rPr>
                      <w:rFonts w:hint="eastAsia" w:cs="Times New Roman"/>
                      <w:b w:val="0"/>
                      <w:bCs/>
                      <w:color w:val="auto"/>
                      <w:sz w:val="21"/>
                      <w:szCs w:val="21"/>
                      <w:lang w:val="en-US" w:eastAsia="zh-CN"/>
                    </w:rPr>
                    <w:t>6</w:t>
                  </w:r>
                </w:p>
              </w:tc>
              <w:tc>
                <w:tcPr>
                  <w:tcW w:w="1039"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预处理池污泥</w:t>
                  </w:r>
                </w:p>
              </w:tc>
              <w:tc>
                <w:tcPr>
                  <w:tcW w:w="363" w:type="pct"/>
                  <w:vMerge w:val="continue"/>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p>
              </w:tc>
              <w:tc>
                <w:tcPr>
                  <w:tcW w:w="958" w:type="pct"/>
                  <w:vMerge w:val="continue"/>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p>
              </w:tc>
              <w:tc>
                <w:tcPr>
                  <w:tcW w:w="614"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0.93t/a</w:t>
                  </w:r>
                </w:p>
              </w:tc>
              <w:tc>
                <w:tcPr>
                  <w:tcW w:w="1770" w:type="pct"/>
                  <w:vMerge w:val="continue"/>
                  <w:vAlign w:val="center"/>
                </w:tcPr>
                <w:p>
                  <w:pPr>
                    <w:keepNext w:val="0"/>
                    <w:keepLines w:val="0"/>
                    <w:pageBreakBefore w:val="0"/>
                    <w:widowControl/>
                    <w:kinsoku/>
                    <w:wordWrap/>
                    <w:overflowPunct/>
                    <w:topLinePunct w:val="0"/>
                    <w:bidi w:val="0"/>
                    <w:adjustRightInd w:val="0"/>
                    <w:snapToGrid w:val="0"/>
                    <w:spacing w:after="0" w:line="240" w:lineRule="atLeast"/>
                    <w:ind w:left="0" w:leftChars="0" w:right="0" w:rightChars="0"/>
                    <w:jc w:val="center"/>
                    <w:textAlignment w:val="auto"/>
                    <w:rPr>
                      <w:rFonts w:hint="eastAsia"/>
                      <w:b w:val="0"/>
                      <w:bCs/>
                      <w:color w:val="auto"/>
                      <w:sz w:val="21"/>
                      <w:szCs w:val="21"/>
                      <w:lang w:val="en-US" w:eastAsia="zh-CN"/>
                    </w:rPr>
                  </w:pPr>
                </w:p>
              </w:tc>
            </w:tr>
            <w:bookmarkEnd w:id="0"/>
          </w:tbl>
          <w:p>
            <w:pPr>
              <w:keepNext w:val="0"/>
              <w:keepLines w:val="0"/>
              <w:pageBreakBefore w:val="0"/>
              <w:widowControl/>
              <w:kinsoku/>
              <w:wordWrap/>
              <w:overflowPunct/>
              <w:topLinePunct w:val="0"/>
              <w:bidi w:val="0"/>
              <w:adjustRightInd w:val="0"/>
              <w:snapToGrid w:val="0"/>
              <w:spacing w:after="0" w:line="360" w:lineRule="auto"/>
              <w:ind w:firstLine="482" w:firstLineChars="200"/>
              <w:textAlignment w:val="auto"/>
              <w:rPr>
                <w:b/>
                <w:bCs/>
              </w:rPr>
            </w:pPr>
            <w:r>
              <w:rPr>
                <w:rFonts w:hint="eastAsia"/>
                <w:b/>
                <w:bCs/>
                <w:lang w:val="en-US" w:eastAsia="zh-CN"/>
              </w:rPr>
              <w:t>5、</w:t>
            </w:r>
            <w:r>
              <w:rPr>
                <w:b/>
                <w:bCs/>
              </w:rPr>
              <w:t>地下水</w:t>
            </w:r>
            <w:r>
              <w:rPr>
                <w:rFonts w:hint="eastAsia"/>
                <w:b/>
                <w:bCs/>
              </w:rPr>
              <w:t>污染防治措施</w:t>
            </w:r>
          </w:p>
          <w:p>
            <w:pPr>
              <w:keepNext w:val="0"/>
              <w:keepLines w:val="0"/>
              <w:pageBreakBefore w:val="0"/>
              <w:widowControl/>
              <w:kinsoku/>
              <w:wordWrap/>
              <w:overflowPunct/>
              <w:topLinePunct w:val="0"/>
              <w:bidi w:val="0"/>
              <w:adjustRightInd w:val="0"/>
              <w:snapToGrid w:val="0"/>
              <w:spacing w:after="0" w:line="360" w:lineRule="auto"/>
              <w:ind w:firstLine="482" w:firstLineChars="200"/>
              <w:textAlignment w:val="auto"/>
              <w:rPr>
                <w:rFonts w:hint="eastAsia"/>
                <w:b/>
                <w:bCs/>
                <w:lang w:val="en-US" w:eastAsia="zh-CN"/>
              </w:rPr>
            </w:pPr>
            <w:r>
              <w:rPr>
                <w:rFonts w:hint="eastAsia"/>
                <w:b/>
                <w:bCs/>
                <w:lang w:val="en-US" w:eastAsia="zh-CN"/>
              </w:rPr>
              <w:t>（1）地下水污染途径</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1"/>
              <w:rPr>
                <w:rFonts w:hint="eastAsia" w:hAnsi="宋体"/>
                <w:sz w:val="24"/>
              </w:rPr>
            </w:pPr>
            <w:r>
              <w:rPr>
                <w:rFonts w:hint="eastAsia" w:hAnsi="宋体"/>
                <w:sz w:val="24"/>
              </w:rPr>
              <w:t>项目储油罐位于地下，可能存在储油罐泄漏，汽油或含油废水进入地下水污染环境，对地下水的水质造成一定影响。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1"/>
              <w:rPr>
                <w:rFonts w:hint="eastAsia" w:hAnsi="宋体"/>
                <w:sz w:val="24"/>
              </w:rPr>
            </w:pPr>
            <w:r>
              <w:rPr>
                <w:rFonts w:hint="eastAsia" w:hAnsi="宋体"/>
                <w:sz w:val="24"/>
              </w:rPr>
              <w:t>污染物进入地下水的途径主要是通过垂直渗透进入包气带，进入包气带的污染物在物理、化学和生物作用下经吸附、转化、迁移和分解后输入地下水。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1"/>
              <w:rPr>
                <w:rFonts w:hint="eastAsia" w:hAnsi="宋体"/>
                <w:sz w:val="24"/>
              </w:rPr>
            </w:pPr>
            <w:r>
              <w:rPr>
                <w:rFonts w:hint="eastAsia" w:hAnsi="宋体"/>
                <w:sz w:val="24"/>
              </w:rPr>
              <w:t>项目可能对地下水造成污染的途径主要有：储油罐区、危险废物暂存间、输油管线等油污下渗对地下水造成的污染。在运行过程中，在非正常运行状态，因腐蚀及老化等原因，地埋储油罐及防渗结构破损，油品进入地下水污染环境，因此，本项目加油站运营期（正常和事故状态下）可能造成地下水污染的因子主要为石油类。</w:t>
            </w:r>
          </w:p>
          <w:p>
            <w:pPr>
              <w:pStyle w:val="47"/>
              <w:adjustRightInd/>
              <w:snapToGrid/>
              <w:spacing w:after="0" w:line="360" w:lineRule="auto"/>
              <w:ind w:firstLine="482"/>
              <w:contextualSpacing/>
              <w:rPr>
                <w:rFonts w:hint="eastAsia"/>
                <w:color w:val="auto"/>
              </w:rPr>
            </w:pPr>
            <w:r>
              <w:rPr>
                <w:rFonts w:hint="eastAsia"/>
                <w:b/>
                <w:color w:val="auto"/>
                <w:lang w:eastAsia="zh-CN"/>
              </w:rPr>
              <w:t>（</w:t>
            </w:r>
            <w:r>
              <w:rPr>
                <w:rFonts w:hint="eastAsia"/>
                <w:b/>
                <w:color w:val="auto"/>
                <w:lang w:val="en-US" w:eastAsia="zh-CN"/>
              </w:rPr>
              <w:t>2</w:t>
            </w:r>
            <w:r>
              <w:rPr>
                <w:rFonts w:hint="eastAsia"/>
                <w:b/>
                <w:color w:val="auto"/>
                <w:lang w:eastAsia="zh-CN"/>
              </w:rPr>
              <w:t>）</w:t>
            </w:r>
            <w:r>
              <w:rPr>
                <w:rFonts w:hint="eastAsia"/>
                <w:b/>
                <w:color w:val="auto"/>
              </w:rPr>
              <w:t>结合《加油站地下水污染防治技术指南（试行）》防治措施</w:t>
            </w:r>
          </w:p>
          <w:p>
            <w:pPr>
              <w:pStyle w:val="47"/>
              <w:snapToGrid/>
              <w:spacing w:after="0" w:line="360" w:lineRule="auto"/>
              <w:ind w:firstLine="482"/>
              <w:contextualSpacing/>
              <w:rPr>
                <w:rFonts w:hint="eastAsia"/>
                <w:color w:val="auto"/>
              </w:rPr>
            </w:pPr>
            <w:r>
              <w:rPr>
                <w:rFonts w:hint="eastAsia"/>
                <w:color w:val="auto"/>
              </w:rPr>
              <w:t>项目油罐选用SF双层罐（内钢外玻璃钢），内层钢板厚度6mm；外层采用厚2.5mm的强化玻璃钢制造；夹层中间设置防漏检测报警装置。卸油管道和加油管道已采用双层复合材料管道。</w:t>
            </w:r>
          </w:p>
          <w:p>
            <w:pPr>
              <w:pStyle w:val="47"/>
              <w:snapToGrid/>
              <w:spacing w:after="0" w:line="360" w:lineRule="auto"/>
              <w:ind w:firstLine="482"/>
              <w:contextualSpacing/>
              <w:rPr>
                <w:rFonts w:hint="eastAsia"/>
                <w:b/>
                <w:color w:val="auto"/>
              </w:rPr>
            </w:pPr>
            <w:r>
              <w:rPr>
                <w:rFonts w:hint="eastAsia"/>
                <w:color w:val="auto"/>
              </w:rPr>
              <w:t>项目采用液体传感器对内罐与外罐之间的空间进行泄漏监测，传感器设置在二次保护空间的最低处，并设置具有相应功能的控制仪进行在线分析和报警，该措施可有效预防储油罐发生油品泄漏</w:t>
            </w:r>
            <w:r>
              <w:rPr>
                <w:color w:val="auto"/>
              </w:rPr>
              <w:t>。</w:t>
            </w:r>
          </w:p>
          <w:p>
            <w:pPr>
              <w:pStyle w:val="47"/>
              <w:adjustRightInd/>
              <w:snapToGrid/>
              <w:spacing w:after="0" w:line="360" w:lineRule="auto"/>
              <w:ind w:firstLine="482"/>
              <w:contextualSpacing/>
              <w:rPr>
                <w:rFonts w:hint="eastAsia"/>
                <w:b/>
                <w:color w:val="auto"/>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rPr>
              <w:t>为进一步预防加油站地下水污染，采取分区防渗措施</w:t>
            </w:r>
          </w:p>
          <w:p>
            <w:pPr>
              <w:pStyle w:val="47"/>
              <w:snapToGrid/>
              <w:spacing w:after="0" w:line="360" w:lineRule="auto"/>
              <w:ind w:firstLine="482"/>
              <w:contextualSpacing/>
              <w:rPr>
                <w:rFonts w:hint="eastAsia"/>
                <w:color w:val="auto"/>
              </w:rPr>
            </w:pPr>
            <w:r>
              <w:rPr>
                <w:rFonts w:hint="eastAsia"/>
                <w:color w:val="auto"/>
              </w:rPr>
              <w:t>本项目通过分区防渗避免对区域土壤和地下水环境产生污染，防渗分区包括：重点防渗区、一般防渗区和简单防渗区。</w:t>
            </w:r>
          </w:p>
          <w:p>
            <w:pPr>
              <w:pStyle w:val="47"/>
              <w:snapToGrid/>
              <w:spacing w:after="0" w:line="360" w:lineRule="auto"/>
              <w:ind w:firstLine="482"/>
              <w:contextualSpacing/>
              <w:rPr>
                <w:rFonts w:hint="eastAsia"/>
                <w:color w:val="auto"/>
              </w:rPr>
            </w:pPr>
            <w:r>
              <w:rPr>
                <w:rFonts w:hint="eastAsia"/>
                <w:color w:val="auto"/>
              </w:rPr>
              <w:t>重点污染防治区：包括油罐区、卸油区、输油管线、危废暂存间、初期雨水隔油池、洗车废水隔油沉淀池、发电机房、环保沟、加油区（加油岛）、洗车区。</w:t>
            </w:r>
          </w:p>
          <w:p>
            <w:pPr>
              <w:pStyle w:val="47"/>
              <w:snapToGrid/>
              <w:spacing w:after="0" w:line="360" w:lineRule="auto"/>
              <w:ind w:firstLine="482"/>
              <w:contextualSpacing/>
              <w:rPr>
                <w:rFonts w:hint="eastAsia"/>
                <w:color w:val="auto"/>
              </w:rPr>
            </w:pPr>
            <w:r>
              <w:rPr>
                <w:rFonts w:hint="eastAsia"/>
                <w:color w:val="auto"/>
              </w:rPr>
              <w:t>一般防渗区：预处理池、地下水监测井。</w:t>
            </w:r>
          </w:p>
          <w:p>
            <w:pPr>
              <w:pStyle w:val="47"/>
              <w:snapToGrid/>
              <w:spacing w:after="0" w:line="360" w:lineRule="auto"/>
              <w:ind w:firstLine="482"/>
              <w:contextualSpacing/>
              <w:rPr>
                <w:rFonts w:hint="eastAsia"/>
                <w:color w:val="auto"/>
              </w:rPr>
            </w:pPr>
            <w:r>
              <w:rPr>
                <w:rFonts w:hint="eastAsia"/>
                <w:color w:val="auto"/>
              </w:rPr>
              <w:t>简单防渗区：除重点防渗区及一般防渗区以外的区域。</w:t>
            </w:r>
          </w:p>
          <w:p>
            <w:pPr>
              <w:pStyle w:val="37"/>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b/>
                <w:bCs/>
                <w:sz w:val="24"/>
                <w:szCs w:val="24"/>
                <w:lang w:val="en-US" w:eastAsia="zh-CN"/>
              </w:rPr>
            </w:pPr>
            <w:r>
              <w:rPr>
                <w:rFonts w:hint="eastAsia"/>
                <w:b/>
                <w:bCs/>
                <w:sz w:val="24"/>
                <w:szCs w:val="24"/>
                <w:lang w:val="en-US" w:eastAsia="zh-CN"/>
              </w:rPr>
              <w:t>表 3-3 本项目分区防渗要求一览表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8"/>
              <w:gridCol w:w="2112"/>
              <w:gridCol w:w="1115"/>
              <w:gridCol w:w="1115"/>
              <w:gridCol w:w="1117"/>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99"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b/>
                      <w:bCs/>
                      <w:sz w:val="21"/>
                      <w:szCs w:val="21"/>
                    </w:rPr>
                  </w:pPr>
                  <w:r>
                    <w:rPr>
                      <w:rFonts w:hAnsi="宋体"/>
                      <w:b/>
                      <w:bCs/>
                      <w:sz w:val="21"/>
                      <w:szCs w:val="21"/>
                    </w:rPr>
                    <w:t>防渗分区</w:t>
                  </w:r>
                </w:p>
              </w:tc>
              <w:tc>
                <w:tcPr>
                  <w:tcW w:w="62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b/>
                      <w:bCs/>
                      <w:sz w:val="21"/>
                      <w:szCs w:val="21"/>
                    </w:rPr>
                  </w:pPr>
                  <w:r>
                    <w:rPr>
                      <w:rFonts w:hAnsi="宋体"/>
                      <w:b/>
                      <w:bCs/>
                      <w:sz w:val="21"/>
                      <w:szCs w:val="21"/>
                    </w:rPr>
                    <w:t>天然包气带防污性能</w:t>
                  </w:r>
                </w:p>
              </w:tc>
              <w:tc>
                <w:tcPr>
                  <w:tcW w:w="62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b/>
                      <w:bCs/>
                      <w:sz w:val="21"/>
                      <w:szCs w:val="21"/>
                    </w:rPr>
                  </w:pPr>
                  <w:r>
                    <w:rPr>
                      <w:rFonts w:hAnsi="宋体"/>
                      <w:b/>
                      <w:bCs/>
                      <w:sz w:val="21"/>
                      <w:szCs w:val="21"/>
                    </w:rPr>
                    <w:t>污染控制难易程度</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Ansi="宋体"/>
                      <w:b/>
                      <w:bCs/>
                      <w:sz w:val="21"/>
                      <w:szCs w:val="21"/>
                    </w:rPr>
                    <w:t>污染物</w:t>
                  </w:r>
                </w:p>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b/>
                      <w:bCs/>
                      <w:sz w:val="21"/>
                      <w:szCs w:val="21"/>
                    </w:rPr>
                  </w:pPr>
                  <w:r>
                    <w:rPr>
                      <w:rFonts w:hAnsi="宋体"/>
                      <w:b/>
                      <w:bCs/>
                      <w:sz w:val="21"/>
                      <w:szCs w:val="21"/>
                    </w:rPr>
                    <w:t>类型</w:t>
                  </w:r>
                </w:p>
              </w:tc>
              <w:tc>
                <w:tcPr>
                  <w:tcW w:w="131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b/>
                      <w:bCs/>
                      <w:sz w:val="21"/>
                      <w:szCs w:val="21"/>
                    </w:rPr>
                  </w:pPr>
                  <w:r>
                    <w:rPr>
                      <w:rFonts w:hAnsi="宋体"/>
                      <w:b/>
                      <w:bCs/>
                      <w:sz w:val="21"/>
                      <w:szCs w:val="21"/>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重点防渗区</w:t>
                  </w: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危废暂存间</w:t>
                  </w: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Ansi="宋体"/>
                      <w:sz w:val="21"/>
                      <w:szCs w:val="21"/>
                    </w:rPr>
                    <w:t>中</w:t>
                  </w: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Ansi="宋体"/>
                      <w:sz w:val="21"/>
                      <w:szCs w:val="21"/>
                    </w:rPr>
                    <w:t>易</w:t>
                  </w:r>
                </w:p>
              </w:tc>
              <w:tc>
                <w:tcPr>
                  <w:tcW w:w="63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Ansi="宋体"/>
                      <w:sz w:val="21"/>
                      <w:szCs w:val="21"/>
                    </w:rPr>
                    <w:t>其他类型</w:t>
                  </w:r>
                </w:p>
              </w:tc>
              <w:tc>
                <w:tcPr>
                  <w:tcW w:w="131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防渗系数K≤1×10</w:t>
                  </w:r>
                  <w:r>
                    <w:rPr>
                      <w:sz w:val="21"/>
                      <w:szCs w:val="21"/>
                      <w:vertAlign w:val="superscript"/>
                    </w:rPr>
                    <w:t>-</w:t>
                  </w:r>
                  <w:r>
                    <w:rPr>
                      <w:rFonts w:hint="eastAsia"/>
                      <w:sz w:val="21"/>
                      <w:szCs w:val="21"/>
                      <w:vertAlign w:val="superscript"/>
                    </w:rPr>
                    <w:t>10</w:t>
                  </w:r>
                  <w:r>
                    <w:rPr>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hAnsi="宋体"/>
                      <w:sz w:val="21"/>
                      <w:szCs w:val="21"/>
                    </w:rPr>
                  </w:pPr>
                  <w:r>
                    <w:rPr>
                      <w:rFonts w:hint="eastAsia"/>
                      <w:sz w:val="21"/>
                      <w:szCs w:val="21"/>
                    </w:rPr>
                    <w:t>油罐区</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r>
                    <w:rPr>
                      <w:rFonts w:hAnsi="宋体"/>
                      <w:sz w:val="21"/>
                      <w:szCs w:val="21"/>
                    </w:rPr>
                    <w:t>等效黏土防渗层</w:t>
                  </w:r>
                  <w:r>
                    <w:rPr>
                      <w:sz w:val="21"/>
                      <w:szCs w:val="21"/>
                    </w:rPr>
                    <w:t>Mb≥6.0m</w:t>
                  </w:r>
                  <w:r>
                    <w:rPr>
                      <w:rFonts w:hint="eastAsia"/>
                      <w:sz w:val="21"/>
                      <w:szCs w:val="21"/>
                    </w:rPr>
                    <w:t>，</w:t>
                  </w:r>
                  <w:r>
                    <w:rPr>
                      <w:sz w:val="21"/>
                      <w:szCs w:val="21"/>
                    </w:rPr>
                    <w:t>K≤1×10</w:t>
                  </w:r>
                  <w:r>
                    <w:rPr>
                      <w:sz w:val="21"/>
                      <w:szCs w:val="21"/>
                      <w:vertAlign w:val="superscript"/>
                    </w:rPr>
                    <w:t>-7</w:t>
                  </w:r>
                  <w:r>
                    <w:rPr>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hAnsi="宋体"/>
                      <w:sz w:val="21"/>
                      <w:szCs w:val="21"/>
                    </w:rPr>
                  </w:pPr>
                  <w:r>
                    <w:rPr>
                      <w:sz w:val="21"/>
                      <w:szCs w:val="21"/>
                    </w:rPr>
                    <w:t>卸</w:t>
                  </w:r>
                  <w:r>
                    <w:rPr>
                      <w:rFonts w:hint="eastAsia"/>
                      <w:sz w:val="21"/>
                      <w:szCs w:val="21"/>
                    </w:rPr>
                    <w:t>油</w:t>
                  </w:r>
                  <w:r>
                    <w:rPr>
                      <w:sz w:val="21"/>
                      <w:szCs w:val="21"/>
                    </w:rPr>
                    <w:t>区</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hAnsi="宋体"/>
                      <w:sz w:val="21"/>
                      <w:szCs w:val="21"/>
                    </w:rPr>
                  </w:pPr>
                  <w:r>
                    <w:rPr>
                      <w:sz w:val="21"/>
                      <w:szCs w:val="21"/>
                    </w:rPr>
                    <w:t>输油管线</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hAnsi="宋体"/>
                      <w:sz w:val="21"/>
                      <w:szCs w:val="21"/>
                    </w:rPr>
                  </w:pPr>
                  <w:r>
                    <w:rPr>
                      <w:rFonts w:hint="eastAsia"/>
                      <w:sz w:val="21"/>
                      <w:szCs w:val="21"/>
                    </w:rPr>
                    <w:t>初期雨水隔油池</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sz w:val="21"/>
                      <w:szCs w:val="21"/>
                    </w:rPr>
                    <w:t>洗车废水隔油沉淀池</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发电机房</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环保沟</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加油区（加油岛）</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洗车区</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一般防渗区</w:t>
                  </w: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预处理池</w:t>
                  </w: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中</w:t>
                  </w: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易</w:t>
                  </w:r>
                </w:p>
              </w:tc>
              <w:tc>
                <w:tcPr>
                  <w:tcW w:w="63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其他类型</w:t>
                  </w:r>
                </w:p>
              </w:tc>
              <w:tc>
                <w:tcPr>
                  <w:tcW w:w="131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等效黏土防渗层Mb≥1.5m，K≤1×10</w:t>
                  </w:r>
                  <w:r>
                    <w:rPr>
                      <w:sz w:val="21"/>
                      <w:szCs w:val="21"/>
                      <w:vertAlign w:val="superscript"/>
                    </w:rPr>
                    <w:t>-7</w:t>
                  </w:r>
                  <w:r>
                    <w:rPr>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hAnsi="宋体"/>
                      <w:sz w:val="21"/>
                      <w:szCs w:val="21"/>
                    </w:rPr>
                  </w:pPr>
                  <w:r>
                    <w:rPr>
                      <w:rFonts w:hint="eastAsia"/>
                      <w:sz w:val="21"/>
                      <w:szCs w:val="21"/>
                    </w:rPr>
                    <w:t>地下水监测井</w:t>
                  </w: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6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c>
                <w:tcPr>
                  <w:tcW w:w="13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jc w:val="center"/>
                    <w:textAlignment w:val="auto"/>
                    <w:rPr>
                      <w:sz w:val="21"/>
                      <w:szCs w:val="21"/>
                    </w:rPr>
                  </w:pPr>
                  <w:r>
                    <w:rPr>
                      <w:sz w:val="21"/>
                      <w:szCs w:val="21"/>
                    </w:rPr>
                    <w:t>简单防渗区</w:t>
                  </w:r>
                </w:p>
              </w:tc>
              <w:tc>
                <w:tcPr>
                  <w:tcW w:w="11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除重点防渗区及一般防渗区以外的区域</w:t>
                  </w:r>
                </w:p>
              </w:tc>
              <w:tc>
                <w:tcPr>
                  <w:tcW w:w="62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中</w:t>
                  </w:r>
                  <w:r>
                    <w:rPr>
                      <w:rFonts w:hint="eastAsia"/>
                      <w:sz w:val="21"/>
                      <w:szCs w:val="21"/>
                      <w:lang w:val="en-US" w:eastAsia="zh-CN"/>
                    </w:rPr>
                    <w:t>-</w:t>
                  </w:r>
                  <w:r>
                    <w:rPr>
                      <w:sz w:val="21"/>
                      <w:szCs w:val="21"/>
                    </w:rPr>
                    <w:t>强</w:t>
                  </w:r>
                </w:p>
              </w:tc>
              <w:tc>
                <w:tcPr>
                  <w:tcW w:w="62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易</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其他类型</w:t>
                  </w:r>
                </w:p>
              </w:tc>
              <w:tc>
                <w:tcPr>
                  <w:tcW w:w="131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一般地面</w:t>
                  </w:r>
                </w:p>
              </w:tc>
            </w:tr>
          </w:tbl>
          <w:p>
            <w:pPr>
              <w:pStyle w:val="47"/>
              <w:adjustRightInd/>
              <w:snapToGrid/>
              <w:spacing w:after="0" w:line="360" w:lineRule="auto"/>
              <w:ind w:left="482" w:firstLine="0" w:firstLineChars="0"/>
              <w:contextualSpacing/>
              <w:rPr>
                <w:rFonts w:hint="eastAsia"/>
                <w:color w:val="auto"/>
              </w:rPr>
            </w:pPr>
            <w:r>
              <w:rPr>
                <w:rFonts w:hint="eastAsia"/>
                <w:b/>
                <w:color w:val="auto"/>
              </w:rPr>
              <w:t>防渗措施：</w:t>
            </w:r>
            <w:r>
              <w:rPr>
                <w:rFonts w:hint="eastAsia"/>
                <w:color w:val="auto"/>
              </w:rPr>
              <w:t xml:space="preserve"> </w:t>
            </w:r>
          </w:p>
          <w:p>
            <w:pPr>
              <w:pStyle w:val="37"/>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b/>
                <w:bCs/>
                <w:sz w:val="24"/>
                <w:szCs w:val="24"/>
                <w:lang w:val="en-US" w:eastAsia="zh-CN"/>
              </w:rPr>
            </w:pPr>
            <w:r>
              <w:rPr>
                <w:rFonts w:hint="eastAsia"/>
                <w:b/>
                <w:bCs/>
                <w:sz w:val="24"/>
                <w:szCs w:val="24"/>
                <w:lang w:val="en-US" w:eastAsia="zh-CN"/>
              </w:rPr>
              <w:t>表 3-4 本项目分区防渗措施汇总一览表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2"/>
              <w:gridCol w:w="1963"/>
              <w:gridCol w:w="481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6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Ansi="宋体"/>
                      <w:b/>
                      <w:bCs/>
                      <w:sz w:val="21"/>
                      <w:szCs w:val="21"/>
                    </w:rPr>
                    <w:t>防渗分区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int="eastAsia" w:hAnsi="宋体"/>
                      <w:b/>
                      <w:bCs/>
                      <w:sz w:val="21"/>
                      <w:szCs w:val="21"/>
                    </w:rPr>
                    <w:t>环评</w:t>
                  </w:r>
                  <w:r>
                    <w:rPr>
                      <w:rFonts w:hAnsi="宋体"/>
                      <w:b/>
                      <w:bCs/>
                      <w:sz w:val="21"/>
                      <w:szCs w:val="21"/>
                    </w:rPr>
                    <w:t>防治措施</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int="eastAsia" w:hAnsi="宋体"/>
                      <w:b/>
                      <w:bCs/>
                      <w:sz w:val="21"/>
                      <w:szCs w:val="21"/>
                    </w:rPr>
                    <w:t>实际防治措施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重点防渗区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油罐区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油罐选用SF双层防渗罐。内层钢板厚度6mm；外层采用厚2.5mm的强化玻璃钢制造；油罐池体为钢筋砼、防水等级P6，池壁两侧及底板抹防水砂浆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eastAsia="宋体"/>
                      <w:sz w:val="21"/>
                      <w:szCs w:val="21"/>
                      <w:lang w:eastAsia="zh-CN"/>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sz w:val="21"/>
                      <w:szCs w:val="21"/>
                    </w:rPr>
                    <w:t>卸</w:t>
                  </w:r>
                  <w:r>
                    <w:rPr>
                      <w:rFonts w:hint="eastAsia"/>
                      <w:sz w:val="21"/>
                      <w:szCs w:val="21"/>
                    </w:rPr>
                    <w:t>油</w:t>
                  </w:r>
                  <w:r>
                    <w:rPr>
                      <w:sz w:val="21"/>
                      <w:szCs w:val="21"/>
                    </w:rPr>
                    <w:t>区</w:t>
                  </w:r>
                </w:p>
              </w:tc>
              <w:tc>
                <w:tcPr>
                  <w:tcW w:w="27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采用C30混凝土整体浇筑，厚200mm</w:t>
                  </w:r>
                  <w:r>
                    <w:rPr>
                      <w:rFonts w:hint="eastAsia"/>
                      <w:sz w:val="21"/>
                      <w:szCs w:val="21"/>
                    </w:rPr>
                    <w:t>。并采用</w:t>
                  </w:r>
                  <w:r>
                    <w:rPr>
                      <w:sz w:val="21"/>
                      <w:szCs w:val="21"/>
                    </w:rPr>
                    <w:t>抗渗（钢筋）混凝土层160mm+水泥基渗透结晶型防渗涂层</w:t>
                  </w:r>
                  <w:r>
                    <w:rPr>
                      <w:rFonts w:hint="eastAsia"/>
                      <w:sz w:val="21"/>
                      <w:szCs w:val="21"/>
                    </w:rPr>
                    <w:t>2</w:t>
                  </w:r>
                  <w:r>
                    <w:rPr>
                      <w:sz w:val="21"/>
                      <w:szCs w:val="21"/>
                    </w:rPr>
                    <w:t>mm</w:t>
                  </w:r>
                </w:p>
              </w:tc>
              <w:tc>
                <w:tcPr>
                  <w:tcW w:w="71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hint="eastAsia" w:ascii="Times New Roman" w:hAnsi="Times New Roman" w:eastAsia="宋体" w:cstheme="minorBidi"/>
                      <w:sz w:val="21"/>
                      <w:szCs w:val="21"/>
                      <w:lang w:val="en-US" w:eastAsia="zh-CN" w:bidi="ar-SA"/>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加油区（加油岛）</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sz w:val="21"/>
                      <w:szCs w:val="21"/>
                    </w:rPr>
                    <w:t>输油管线</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卸油管道和加油管道已采用双层防静电复合管，置于管沟了内，管沟内充沙填实、上部30cm采用</w:t>
                  </w:r>
                  <w:r>
                    <w:rPr>
                      <w:sz w:val="21"/>
                      <w:szCs w:val="21"/>
                    </w:rPr>
                    <w:t>C30混凝土做保护</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危废暂存间</w:t>
                  </w:r>
                </w:p>
              </w:tc>
              <w:tc>
                <w:tcPr>
                  <w:tcW w:w="27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采用防渗混凝土+2mmHDPE膜</w:t>
                  </w:r>
                </w:p>
              </w:tc>
              <w:tc>
                <w:tcPr>
                  <w:tcW w:w="71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初期雨水隔油池</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洗车废水隔油沉淀池</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发电机房</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地面敷设2mm厚环氧树脂膜，并在发电机下方设置不锈钢托盘，进行防渗漏处理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ascii="Times New Roman" w:hAnsi="Times New Roman" w:eastAsia="宋体" w:cstheme="minorBidi"/>
                      <w:sz w:val="21"/>
                      <w:szCs w:val="21"/>
                      <w:lang w:val="en-US" w:eastAsia="zh-CN" w:bidi="ar-SA"/>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环保沟</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rPr>
                    <w:t>环保沟槽体采用防渗混凝土+2mmHDPE膜，</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洗车区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rPr>
                    <w:t>采用防渗混凝土+2mmHDPE膜</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一般防渗区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预处理池</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池</w:t>
                  </w:r>
                  <w:r>
                    <w:rPr>
                      <w:sz w:val="21"/>
                      <w:szCs w:val="21"/>
                    </w:rPr>
                    <w:t>底部与外壁均采用防渗混凝土进行防渗</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地下水监测井</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采用防渗混凝土进行防渗</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hint="eastAsia"/>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简单防渗区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除重点防渗区及一般防渗区以外的区域</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地面进行硬化处理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b/>
                <w:bCs/>
                <w:lang w:val="en-US" w:eastAsia="zh-CN"/>
              </w:rPr>
            </w:pPr>
            <w:r>
              <w:rPr>
                <w:rFonts w:hint="eastAsia"/>
                <w:b/>
                <w:bCs/>
                <w:lang w:val="en-US" w:eastAsia="zh-CN"/>
              </w:rPr>
              <w:t>6.环保工程投资明细</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right="0" w:rightChars="0" w:firstLine="480" w:firstLineChars="200"/>
              <w:jc w:val="both"/>
              <w:textAlignment w:val="auto"/>
              <w:outlineLvl w:val="9"/>
            </w:pPr>
            <w:r>
              <w:t>本项目</w:t>
            </w:r>
            <w:r>
              <w:rPr>
                <w:rFonts w:hint="eastAsia"/>
              </w:rPr>
              <w:t>实际总投资</w:t>
            </w:r>
            <w:r>
              <w:rPr>
                <w:color w:val="auto"/>
              </w:rPr>
              <w:t>本项目投资为</w:t>
            </w:r>
            <w:r>
              <w:rPr>
                <w:rFonts w:hint="eastAsia"/>
                <w:color w:val="auto"/>
              </w:rPr>
              <w:t>150</w:t>
            </w:r>
            <w:r>
              <w:rPr>
                <w:color w:val="auto"/>
              </w:rPr>
              <w:t>万元，环保投资为</w:t>
            </w:r>
            <w:r>
              <w:rPr>
                <w:rFonts w:hint="eastAsia"/>
                <w:color w:val="auto"/>
              </w:rPr>
              <w:t>20.6</w:t>
            </w:r>
            <w:r>
              <w:rPr>
                <w:color w:val="auto"/>
              </w:rPr>
              <w:t>万元，占总投资的</w:t>
            </w:r>
            <w:r>
              <w:rPr>
                <w:rFonts w:hint="eastAsia"/>
                <w:color w:val="auto"/>
              </w:rPr>
              <w:t>13.7</w:t>
            </w:r>
            <w:r>
              <w:rPr>
                <w:color w:val="auto"/>
              </w:rPr>
              <w:t>%</w:t>
            </w:r>
            <w:r>
              <w:rPr>
                <w:rFonts w:hint="eastAsia"/>
                <w:color w:val="auto"/>
                <w:lang w:eastAsia="zh-CN"/>
              </w:rPr>
              <w:t>。</w:t>
            </w:r>
            <w:r>
              <w:rPr>
                <w:rFonts w:hint="eastAsia"/>
                <w:lang w:val="en-US" w:eastAsia="zh-CN"/>
              </w:rPr>
              <w:t>项目</w:t>
            </w:r>
            <w:r>
              <w:t>环保投资</w:t>
            </w:r>
            <w:r>
              <w:rPr>
                <w:rFonts w:hint="eastAsia"/>
                <w:lang w:val="en-US" w:eastAsia="zh-CN"/>
              </w:rPr>
              <w:t>情况</w:t>
            </w:r>
            <w:r>
              <w:t>一览表见表</w:t>
            </w:r>
            <w:r>
              <w:rPr>
                <w:rFonts w:hint="eastAsia"/>
                <w:lang w:val="en-US" w:eastAsia="zh-CN"/>
              </w:rPr>
              <w:t>3</w:t>
            </w:r>
            <w:r>
              <w:t>-</w:t>
            </w:r>
            <w:r>
              <w:rPr>
                <w:rFonts w:hint="eastAsia"/>
                <w:lang w:val="en-US" w:eastAsia="zh-CN"/>
              </w:rPr>
              <w:t>4</w:t>
            </w:r>
            <w:r>
              <w:t>。</w:t>
            </w:r>
          </w:p>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rPr>
                <w:sz w:val="21"/>
                <w:szCs w:val="21"/>
              </w:rPr>
            </w:pPr>
            <w:r>
              <w:rPr>
                <w:rFonts w:hint="eastAsia" w:eastAsia="宋体"/>
                <w:b/>
                <w:sz w:val="24"/>
              </w:rPr>
              <w:t>表</w:t>
            </w:r>
            <w:r>
              <w:rPr>
                <w:rFonts w:hint="eastAsia" w:eastAsia="宋体"/>
                <w:b/>
                <w:sz w:val="24"/>
                <w:lang w:val="en-US" w:eastAsia="zh-CN"/>
              </w:rPr>
              <w:t>3</w:t>
            </w:r>
            <w:r>
              <w:rPr>
                <w:rFonts w:hint="eastAsia" w:eastAsia="宋体"/>
                <w:b/>
                <w:sz w:val="24"/>
              </w:rPr>
              <w:t>-</w:t>
            </w:r>
            <w:r>
              <w:rPr>
                <w:rFonts w:hint="eastAsia"/>
                <w:b/>
                <w:sz w:val="24"/>
                <w:lang w:val="en-US" w:eastAsia="zh-CN"/>
              </w:rPr>
              <w:t>5</w:t>
            </w:r>
            <w:r>
              <w:rPr>
                <w:rFonts w:hint="eastAsia" w:eastAsia="宋体"/>
                <w:b/>
                <w:sz w:val="24"/>
                <w:lang w:val="en-US" w:eastAsia="zh-CN"/>
              </w:rPr>
              <w:t>项目环保投资情况</w:t>
            </w:r>
            <w:r>
              <w:rPr>
                <w:rFonts w:hint="eastAsia" w:eastAsia="宋体"/>
                <w:b/>
                <w:sz w:val="24"/>
              </w:rPr>
              <w:t>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7"/>
              <w:gridCol w:w="1563"/>
              <w:gridCol w:w="4975"/>
              <w:gridCol w:w="650"/>
              <w:gridCol w:w="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bCs/>
                      <w:sz w:val="21"/>
                      <w:szCs w:val="21"/>
                      <w:lang w:val="en-US" w:eastAsia="zh-CN"/>
                    </w:rPr>
                  </w:pPr>
                  <w:r>
                    <w:rPr>
                      <w:rFonts w:hint="eastAsia"/>
                      <w:b/>
                      <w:bCs/>
                      <w:sz w:val="21"/>
                      <w:szCs w:val="21"/>
                    </w:rPr>
                    <w:t>项目</w:t>
                  </w:r>
                </w:p>
              </w:tc>
              <w:tc>
                <w:tcPr>
                  <w:tcW w:w="1563"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bCs/>
                      <w:sz w:val="21"/>
                      <w:szCs w:val="21"/>
                      <w:lang w:val="en-US" w:eastAsia="zh-CN"/>
                    </w:rPr>
                  </w:pPr>
                  <w:r>
                    <w:rPr>
                      <w:rFonts w:hint="eastAsia"/>
                      <w:b/>
                      <w:bCs/>
                      <w:sz w:val="21"/>
                      <w:szCs w:val="21"/>
                    </w:rPr>
                    <w:t>污染物名称</w:t>
                  </w:r>
                </w:p>
              </w:tc>
              <w:tc>
                <w:tcPr>
                  <w:tcW w:w="4975"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default"/>
                      <w:b/>
                      <w:bCs/>
                      <w:sz w:val="21"/>
                      <w:szCs w:val="21"/>
                    </w:rPr>
                  </w:pPr>
                  <w:r>
                    <w:rPr>
                      <w:rFonts w:hint="eastAsia"/>
                      <w:b/>
                      <w:bCs/>
                      <w:sz w:val="21"/>
                      <w:szCs w:val="21"/>
                    </w:rPr>
                    <w:t>环评</w:t>
                  </w:r>
                  <w:r>
                    <w:rPr>
                      <w:rFonts w:hint="default"/>
                      <w:b/>
                      <w:bCs/>
                      <w:sz w:val="21"/>
                      <w:szCs w:val="21"/>
                    </w:rPr>
                    <w:t>要求采取治理措施</w:t>
                  </w:r>
                </w:p>
              </w:tc>
              <w:tc>
                <w:tcPr>
                  <w:tcW w:w="650"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bCs/>
                      <w:sz w:val="21"/>
                      <w:szCs w:val="21"/>
                      <w:lang w:eastAsia="zh-CN"/>
                    </w:rPr>
                  </w:pPr>
                  <w:r>
                    <w:rPr>
                      <w:rFonts w:hint="default"/>
                      <w:b/>
                      <w:bCs/>
                      <w:sz w:val="21"/>
                      <w:szCs w:val="21"/>
                    </w:rPr>
                    <w:t>投资</w:t>
                  </w:r>
                  <w:r>
                    <w:rPr>
                      <w:rFonts w:hint="eastAsia"/>
                      <w:b/>
                      <w:bCs/>
                      <w:sz w:val="21"/>
                      <w:szCs w:val="21"/>
                      <w:lang w:eastAsia="zh-CN"/>
                    </w:rPr>
                    <w:t>（万）</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default"/>
                      <w:b/>
                      <w:bCs/>
                      <w:sz w:val="21"/>
                      <w:szCs w:val="21"/>
                    </w:rPr>
                  </w:pPr>
                  <w:r>
                    <w:rPr>
                      <w:rFonts w:hint="default"/>
                      <w:b/>
                      <w:bCs/>
                      <w:sz w:val="21"/>
                      <w:szCs w:val="21"/>
                    </w:rPr>
                    <w:t>验收实际采取治理措施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restart"/>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sz w:val="21"/>
                      <w:szCs w:val="21"/>
                    </w:rPr>
                    <w:t>废气治理</w:t>
                  </w:r>
                </w:p>
              </w:tc>
              <w:tc>
                <w:tcPr>
                  <w:tcW w:w="1563"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val="0"/>
                      <w:bCs w:val="0"/>
                      <w:sz w:val="21"/>
                      <w:szCs w:val="21"/>
                    </w:rPr>
                  </w:pPr>
                  <w:r>
                    <w:rPr>
                      <w:rFonts w:hint="eastAsia"/>
                      <w:b w:val="0"/>
                      <w:bCs w:val="0"/>
                      <w:sz w:val="21"/>
                      <w:szCs w:val="21"/>
                    </w:rPr>
                    <w:t>挥发油气</w:t>
                  </w:r>
                </w:p>
              </w:tc>
              <w:tc>
                <w:tcPr>
                  <w:tcW w:w="4975"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val="0"/>
                      <w:bCs w:val="0"/>
                      <w:sz w:val="21"/>
                      <w:szCs w:val="21"/>
                    </w:rPr>
                  </w:pPr>
                  <w:r>
                    <w:rPr>
                      <w:rFonts w:hint="eastAsia"/>
                      <w:b w:val="0"/>
                      <w:bCs w:val="0"/>
                      <w:sz w:val="21"/>
                      <w:szCs w:val="21"/>
                    </w:rPr>
                    <w:t>铺设油气回收管线；采用油气回收性的加油枪；安装一次和二次油气回收装置；储油罐通气管口设置带阻火器的呼吸阀，管高出地面4m</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计入主体工程</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eastAsia="宋体"/>
                      <w:b w:val="0"/>
                      <w:bCs w:val="0"/>
                      <w:sz w:val="21"/>
                      <w:szCs w:val="21"/>
                      <w:lang w:eastAsia="zh-CN"/>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val="0"/>
                      <w:bCs w:val="0"/>
                      <w:sz w:val="21"/>
                      <w:szCs w:val="21"/>
                    </w:rPr>
                  </w:pPr>
                  <w:r>
                    <w:rPr>
                      <w:rFonts w:hint="eastAsia"/>
                      <w:b w:val="0"/>
                      <w:bCs w:val="0"/>
                      <w:sz w:val="21"/>
                      <w:szCs w:val="21"/>
                    </w:rPr>
                    <w:t>柴油发电机燃烧废气</w:t>
                  </w:r>
                </w:p>
              </w:tc>
              <w:tc>
                <w:tcPr>
                  <w:tcW w:w="4975"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eastAsia"/>
                      <w:b w:val="0"/>
                      <w:bCs w:val="0"/>
                      <w:sz w:val="21"/>
                      <w:szCs w:val="21"/>
                    </w:rPr>
                  </w:pPr>
                  <w:r>
                    <w:rPr>
                      <w:rFonts w:hint="eastAsia"/>
                      <w:b w:val="0"/>
                      <w:bCs w:val="0"/>
                      <w:sz w:val="21"/>
                      <w:szCs w:val="21"/>
                    </w:rPr>
                    <w:t>临时使用，采用0#柴油作为燃料；发电机废气经烟气处理装置处理后由排烟管口伸出屋顶排放</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1</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restart"/>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bCs/>
                      <w:sz w:val="21"/>
                      <w:szCs w:val="21"/>
                      <w:lang w:val="en-US" w:eastAsia="zh-CN"/>
                    </w:rPr>
                  </w:pPr>
                  <w:r>
                    <w:rPr>
                      <w:sz w:val="21"/>
                      <w:szCs w:val="21"/>
                    </w:rPr>
                    <w:t>废水治理</w:t>
                  </w: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rFonts w:hint="eastAsia"/>
                      <w:sz w:val="21"/>
                      <w:szCs w:val="21"/>
                    </w:rPr>
                    <w:t>生活污水</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rFonts w:hint="eastAsia"/>
                      <w:sz w:val="21"/>
                      <w:szCs w:val="21"/>
                    </w:rPr>
                    <w:t>1座地埋式预处理池，容积5m</w:t>
                  </w:r>
                  <w:r>
                    <w:rPr>
                      <w:rFonts w:hint="eastAsia"/>
                      <w:sz w:val="21"/>
                      <w:szCs w:val="21"/>
                      <w:vertAlign w:val="superscript"/>
                    </w:rPr>
                    <w:t>3</w:t>
                  </w:r>
                  <w:r>
                    <w:rPr>
                      <w:rFonts w:hint="eastAsia"/>
                      <w:sz w:val="21"/>
                      <w:szCs w:val="21"/>
                    </w:rPr>
                    <w:t>，位于站房东北侧</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0.5</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rFonts w:hint="eastAsia"/>
                      <w:sz w:val="21"/>
                      <w:szCs w:val="21"/>
                    </w:rPr>
                    <w:t>洗车废水</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sz w:val="21"/>
                      <w:szCs w:val="21"/>
                    </w:rPr>
                    <w:t>1座</w:t>
                  </w:r>
                  <w:r>
                    <w:rPr>
                      <w:rFonts w:hint="eastAsia"/>
                      <w:sz w:val="21"/>
                      <w:szCs w:val="21"/>
                    </w:rPr>
                    <w:t>隔油池，</w:t>
                  </w:r>
                  <w:r>
                    <w:rPr>
                      <w:sz w:val="21"/>
                      <w:szCs w:val="21"/>
                    </w:rPr>
                    <w:t>容积</w:t>
                  </w:r>
                  <w:r>
                    <w:rPr>
                      <w:rFonts w:hint="eastAsia"/>
                      <w:sz w:val="21"/>
                      <w:szCs w:val="21"/>
                    </w:rPr>
                    <w:t>约4.5</w:t>
                  </w:r>
                  <w:r>
                    <w:rPr>
                      <w:sz w:val="21"/>
                      <w:szCs w:val="21"/>
                    </w:rPr>
                    <w:t>m</w:t>
                  </w:r>
                  <w:r>
                    <w:rPr>
                      <w:sz w:val="21"/>
                      <w:szCs w:val="21"/>
                      <w:vertAlign w:val="superscript"/>
                    </w:rPr>
                    <w:t>3</w:t>
                  </w:r>
                  <w:r>
                    <w:rPr>
                      <w:rFonts w:hint="eastAsia"/>
                      <w:sz w:val="21"/>
                      <w:szCs w:val="21"/>
                    </w:rPr>
                    <w:t>，为三级隔油；1套洗车废水回用设备（处理能力3m</w:t>
                  </w:r>
                  <w:r>
                    <w:rPr>
                      <w:rFonts w:hint="eastAsia"/>
                      <w:sz w:val="21"/>
                      <w:szCs w:val="21"/>
                      <w:vertAlign w:val="superscript"/>
                    </w:rPr>
                    <w:t>3</w:t>
                  </w:r>
                  <w:r>
                    <w:rPr>
                      <w:rFonts w:hint="eastAsia"/>
                      <w:sz w:val="21"/>
                      <w:szCs w:val="21"/>
                    </w:rPr>
                    <w:t>/d）</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3.5</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rFonts w:hint="eastAsia"/>
                      <w:sz w:val="21"/>
                      <w:szCs w:val="21"/>
                    </w:rPr>
                    <w:t>初期雨水</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eastAsia"/>
                      <w:b w:val="0"/>
                      <w:bCs w:val="0"/>
                      <w:sz w:val="21"/>
                      <w:szCs w:val="21"/>
                    </w:rPr>
                  </w:pPr>
                  <w:r>
                    <w:rPr>
                      <w:sz w:val="21"/>
                      <w:szCs w:val="21"/>
                    </w:rPr>
                    <w:t>1座</w:t>
                  </w:r>
                  <w:r>
                    <w:rPr>
                      <w:rFonts w:hint="eastAsia"/>
                      <w:sz w:val="21"/>
                      <w:szCs w:val="21"/>
                    </w:rPr>
                    <w:t>隔油池，位于东北侧，</w:t>
                  </w:r>
                  <w:r>
                    <w:rPr>
                      <w:sz w:val="21"/>
                      <w:szCs w:val="21"/>
                    </w:rPr>
                    <w:t>容积</w:t>
                  </w:r>
                  <w:r>
                    <w:rPr>
                      <w:rFonts w:hint="eastAsia"/>
                      <w:sz w:val="21"/>
                      <w:szCs w:val="21"/>
                    </w:rPr>
                    <w:t>约4</w:t>
                  </w:r>
                  <w:r>
                    <w:rPr>
                      <w:sz w:val="21"/>
                      <w:szCs w:val="21"/>
                    </w:rPr>
                    <w:t>m</w:t>
                  </w:r>
                  <w:r>
                    <w:rPr>
                      <w:sz w:val="21"/>
                      <w:szCs w:val="21"/>
                      <w:vertAlign w:val="superscript"/>
                    </w:rPr>
                    <w:t>3</w:t>
                  </w:r>
                  <w:r>
                    <w:rPr>
                      <w:rFonts w:hint="eastAsia"/>
                      <w:sz w:val="21"/>
                      <w:szCs w:val="21"/>
                    </w:rPr>
                    <w:t>，为三级隔油</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0.5</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val="0"/>
                      <w:bCs w:val="0"/>
                      <w:sz w:val="21"/>
                      <w:szCs w:val="21"/>
                      <w:lang w:val="en-US" w:eastAsia="zh-CN"/>
                    </w:rPr>
                  </w:pPr>
                  <w:r>
                    <w:rPr>
                      <w:sz w:val="21"/>
                      <w:szCs w:val="21"/>
                    </w:rPr>
                    <w:t>噪声治理</w:t>
                  </w: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sz w:val="21"/>
                      <w:szCs w:val="21"/>
                    </w:rPr>
                    <w:t>备用发电机噪声</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Times New Roman" w:hAnsi="Times New Roman" w:eastAsia="宋体" w:cstheme="minorBidi"/>
                      <w:sz w:val="21"/>
                      <w:szCs w:val="21"/>
                      <w:lang w:val="en-US" w:eastAsia="zh-CN" w:bidi="ar-SA"/>
                    </w:rPr>
                  </w:pPr>
                  <w:r>
                    <w:rPr>
                      <w:rFonts w:hint="eastAsia"/>
                      <w:sz w:val="21"/>
                      <w:szCs w:val="21"/>
                    </w:rPr>
                    <w:t>选用低噪声设备，设置在专门设备房内，墙体隔声</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sz w:val="21"/>
                      <w:szCs w:val="21"/>
                    </w:rPr>
                    <w:t>潜油泵</w:t>
                  </w:r>
                  <w:r>
                    <w:rPr>
                      <w:sz w:val="21"/>
                      <w:szCs w:val="21"/>
                    </w:rPr>
                    <w:t>噪声</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宋体" w:hAnsi="宋体" w:eastAsia="宋体" w:cs="宋体"/>
                      <w:sz w:val="21"/>
                      <w:szCs w:val="21"/>
                      <w:lang w:val="en-US" w:eastAsia="zh-CN" w:bidi="ar-SA"/>
                    </w:rPr>
                  </w:pPr>
                  <w:r>
                    <w:rPr>
                      <w:rFonts w:hint="eastAsia"/>
                      <w:sz w:val="21"/>
                      <w:szCs w:val="21"/>
                    </w:rPr>
                    <w:t>选用低噪声设备，液体和地面隔声</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sz w:val="21"/>
                      <w:szCs w:val="21"/>
                    </w:rPr>
                    <w:t>加油机</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sz w:val="21"/>
                      <w:szCs w:val="21"/>
                    </w:rPr>
                    <w:t>选用低噪声设备，加强维护，加油机壳体隔声</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sz w:val="21"/>
                      <w:szCs w:val="21"/>
                    </w:rPr>
                    <w:t>车辆噪声</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sz w:val="21"/>
                      <w:szCs w:val="21"/>
                    </w:rPr>
                    <w:t>设置减速、禁止鸣笛标志</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0.1</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r>
                    <w:rPr>
                      <w:sz w:val="21"/>
                      <w:szCs w:val="21"/>
                    </w:rPr>
                    <w:t>固体废物处置</w:t>
                  </w: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Times New Roman" w:hAnsi="Times New Roman" w:eastAsia="宋体" w:cstheme="minorBidi"/>
                      <w:sz w:val="21"/>
                      <w:szCs w:val="21"/>
                      <w:lang w:val="en-US" w:eastAsia="zh-CN" w:bidi="ar-SA"/>
                    </w:rPr>
                  </w:pPr>
                  <w:r>
                    <w:rPr>
                      <w:sz w:val="21"/>
                      <w:szCs w:val="21"/>
                    </w:rPr>
                    <w:t>生活垃圾</w:t>
                  </w:r>
                </w:p>
              </w:tc>
              <w:tc>
                <w:tcPr>
                  <w:tcW w:w="497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b w:val="0"/>
                      <w:bCs w:val="0"/>
                      <w:sz w:val="21"/>
                      <w:szCs w:val="21"/>
                    </w:rPr>
                  </w:pPr>
                  <w:r>
                    <w:rPr>
                      <w:rFonts w:hint="eastAsia"/>
                      <w:sz w:val="21"/>
                      <w:szCs w:val="21"/>
                    </w:rPr>
                    <w:t>由当地环卫部门收集处理</w:t>
                  </w:r>
                </w:p>
              </w:tc>
              <w:tc>
                <w:tcPr>
                  <w:tcW w:w="650" w:type="dxa"/>
                  <w:vMerge w:val="restart"/>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0.5</w:t>
                  </w:r>
                </w:p>
              </w:tc>
              <w:tc>
                <w:tcPr>
                  <w:tcW w:w="891" w:type="dxa"/>
                  <w:vMerge w:val="restart"/>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Times New Roman" w:hAnsi="Times New Roman" w:eastAsia="宋体" w:cstheme="minorBidi"/>
                      <w:sz w:val="21"/>
                      <w:szCs w:val="21"/>
                      <w:lang w:val="en-US" w:eastAsia="zh-CN" w:bidi="ar-SA"/>
                    </w:rPr>
                  </w:pPr>
                  <w:r>
                    <w:rPr>
                      <w:sz w:val="21"/>
                      <w:szCs w:val="21"/>
                    </w:rPr>
                    <w:t>预处理池污泥</w:t>
                  </w:r>
                </w:p>
              </w:tc>
              <w:tc>
                <w:tcPr>
                  <w:tcW w:w="497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b w:val="0"/>
                      <w:bCs w:val="0"/>
                      <w:sz w:val="21"/>
                      <w:szCs w:val="21"/>
                    </w:rPr>
                  </w:pPr>
                </w:p>
              </w:tc>
              <w:tc>
                <w:tcPr>
                  <w:tcW w:w="650"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default"/>
                      <w:b/>
                      <w:bCs/>
                      <w:sz w:val="21"/>
                      <w:szCs w:val="21"/>
                    </w:rPr>
                  </w:pPr>
                </w:p>
              </w:tc>
              <w:tc>
                <w:tcPr>
                  <w:tcW w:w="891"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Times New Roman" w:hAnsi="Times New Roman" w:eastAsia="宋体" w:cstheme="minorBidi"/>
                      <w:sz w:val="21"/>
                      <w:szCs w:val="21"/>
                      <w:lang w:val="en-US" w:eastAsia="zh-CN" w:bidi="ar-SA"/>
                    </w:rPr>
                  </w:pPr>
                  <w:r>
                    <w:rPr>
                      <w:rFonts w:hint="eastAsia"/>
                      <w:sz w:val="21"/>
                      <w:szCs w:val="21"/>
                    </w:rPr>
                    <w:t>油罐清洗油渣</w:t>
                  </w:r>
                </w:p>
              </w:tc>
              <w:tc>
                <w:tcPr>
                  <w:tcW w:w="497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b w:val="0"/>
                      <w:bCs w:val="0"/>
                      <w:sz w:val="21"/>
                      <w:szCs w:val="21"/>
                    </w:rPr>
                  </w:pPr>
                  <w:r>
                    <w:rPr>
                      <w:rFonts w:hint="eastAsia"/>
                      <w:sz w:val="21"/>
                      <w:szCs w:val="21"/>
                    </w:rPr>
                    <w:t>单独收集于危废暂存间（5m</w:t>
                  </w:r>
                  <w:r>
                    <w:rPr>
                      <w:rFonts w:hint="eastAsia"/>
                      <w:sz w:val="21"/>
                      <w:szCs w:val="21"/>
                      <w:vertAlign w:val="superscript"/>
                    </w:rPr>
                    <w:t>2</w:t>
                  </w:r>
                  <w:r>
                    <w:rPr>
                      <w:rFonts w:hint="eastAsia"/>
                      <w:sz w:val="21"/>
                      <w:szCs w:val="21"/>
                    </w:rPr>
                    <w:t>）内，最终交有相应危废资质的单位处置，危废间做重点防渗处理</w:t>
                  </w:r>
                </w:p>
              </w:tc>
              <w:tc>
                <w:tcPr>
                  <w:tcW w:w="650" w:type="dxa"/>
                  <w:vMerge w:val="restart"/>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2</w:t>
                  </w:r>
                </w:p>
              </w:tc>
              <w:tc>
                <w:tcPr>
                  <w:tcW w:w="891" w:type="dxa"/>
                  <w:vMerge w:val="restart"/>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sz w:val="21"/>
                      <w:szCs w:val="21"/>
                    </w:rPr>
                    <w:t>隔油池浮油、污泥</w:t>
                  </w:r>
                </w:p>
              </w:tc>
              <w:tc>
                <w:tcPr>
                  <w:tcW w:w="497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650"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default"/>
                      <w:b/>
                      <w:bCs/>
                      <w:sz w:val="21"/>
                      <w:szCs w:val="21"/>
                    </w:rPr>
                  </w:pPr>
                </w:p>
              </w:tc>
              <w:tc>
                <w:tcPr>
                  <w:tcW w:w="891"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ascii="Times New Roman" w:hAnsi="Times New Roman" w:eastAsia="宋体" w:cstheme="minorBidi"/>
                      <w:sz w:val="21"/>
                      <w:szCs w:val="21"/>
                      <w:lang w:val="en-US" w:eastAsia="zh-CN" w:bidi="ar-SA"/>
                    </w:rPr>
                  </w:pPr>
                  <w:r>
                    <w:rPr>
                      <w:rFonts w:hint="eastAsia" w:hAnsi="宋体"/>
                      <w:sz w:val="21"/>
                      <w:szCs w:val="21"/>
                    </w:rPr>
                    <w:t>废含油擦拭物及消防沙、石英砂</w:t>
                  </w:r>
                </w:p>
              </w:tc>
              <w:tc>
                <w:tcPr>
                  <w:tcW w:w="497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650"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right="0" w:firstLine="0" w:firstLineChars="0"/>
                    <w:jc w:val="center"/>
                    <w:textAlignment w:val="auto"/>
                    <w:rPr>
                      <w:rFonts w:hint="default"/>
                      <w:b/>
                      <w:bCs/>
                      <w:sz w:val="21"/>
                      <w:szCs w:val="21"/>
                    </w:rPr>
                  </w:pPr>
                </w:p>
              </w:tc>
              <w:tc>
                <w:tcPr>
                  <w:tcW w:w="891" w:type="dxa"/>
                  <w:vMerge w:val="continue"/>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b/>
                      <w:bCs/>
                      <w:sz w:val="21"/>
                      <w:szCs w:val="21"/>
                      <w:lang w:val="en-US" w:eastAsia="zh-CN"/>
                    </w:rPr>
                  </w:pPr>
                  <w:r>
                    <w:rPr>
                      <w:sz w:val="21"/>
                      <w:szCs w:val="21"/>
                    </w:rPr>
                    <w:t>防渗措施</w:t>
                  </w:r>
                </w:p>
              </w:tc>
              <w:tc>
                <w:tcPr>
                  <w:tcW w:w="15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r>
                    <w:rPr>
                      <w:sz w:val="21"/>
                      <w:szCs w:val="21"/>
                    </w:rPr>
                    <w:t>油品泄漏</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r>
                    <w:rPr>
                      <w:rFonts w:hint="eastAsia"/>
                      <w:sz w:val="21"/>
                      <w:szCs w:val="21"/>
                    </w:rPr>
                    <w:t>①</w:t>
                  </w:r>
                  <w:r>
                    <w:rPr>
                      <w:sz w:val="21"/>
                      <w:szCs w:val="21"/>
                    </w:rPr>
                    <w:t>进行分区防渗，并按照相关规范对各生产装置区进行防渗处理</w:t>
                  </w:r>
                  <w:r>
                    <w:rPr>
                      <w:rFonts w:hint="eastAsia"/>
                      <w:sz w:val="21"/>
                      <w:szCs w:val="21"/>
                    </w:rPr>
                    <w:t>；②</w:t>
                  </w:r>
                  <w:r>
                    <w:rPr>
                      <w:sz w:val="21"/>
                      <w:szCs w:val="21"/>
                    </w:rPr>
                    <w:t>在埋地油罐区</w:t>
                  </w:r>
                  <w:r>
                    <w:rPr>
                      <w:rFonts w:hint="eastAsia"/>
                      <w:sz w:val="21"/>
                      <w:szCs w:val="21"/>
                    </w:rPr>
                    <w:t>南侧</w:t>
                  </w:r>
                  <w:r>
                    <w:rPr>
                      <w:sz w:val="21"/>
                      <w:szCs w:val="21"/>
                    </w:rPr>
                    <w:t>下游</w:t>
                  </w:r>
                  <w:r>
                    <w:rPr>
                      <w:rFonts w:hint="eastAsia"/>
                      <w:sz w:val="21"/>
                      <w:szCs w:val="21"/>
                    </w:rPr>
                    <w:t>设置1个地下水监测井</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5</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ascii="Times New Roman" w:hAnsi="Times New Roman" w:eastAsia="宋体" w:cstheme="minorBidi"/>
                      <w:sz w:val="21"/>
                      <w:szCs w:val="21"/>
                      <w:lang w:val="en-US" w:eastAsia="zh-CN" w:bidi="ar-SA"/>
                    </w:rPr>
                  </w:pPr>
                  <w:r>
                    <w:rPr>
                      <w:sz w:val="21"/>
                      <w:szCs w:val="21"/>
                    </w:rPr>
                    <w:t>风险防范</w:t>
                  </w:r>
                </w:p>
              </w:tc>
              <w:tc>
                <w:tcPr>
                  <w:tcW w:w="1563"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eastAsia="宋体"/>
                      <w:sz w:val="21"/>
                      <w:szCs w:val="21"/>
                      <w:lang w:val="en-US" w:eastAsia="zh-CN"/>
                    </w:rPr>
                  </w:pPr>
                  <w:r>
                    <w:rPr>
                      <w:rFonts w:hint="eastAsia"/>
                      <w:sz w:val="21"/>
                      <w:szCs w:val="21"/>
                      <w:lang w:val="en-US" w:eastAsia="zh-CN"/>
                    </w:rPr>
                    <w:t>/</w:t>
                  </w: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sz w:val="21"/>
                      <w:szCs w:val="21"/>
                    </w:rPr>
                  </w:pPr>
                  <w:r>
                    <w:rPr>
                      <w:sz w:val="21"/>
                      <w:szCs w:val="21"/>
                    </w:rPr>
                    <w:t>设置1个消防沙池2m</w:t>
                  </w:r>
                  <w:r>
                    <w:rPr>
                      <w:sz w:val="21"/>
                      <w:szCs w:val="21"/>
                      <w:vertAlign w:val="superscript"/>
                    </w:rPr>
                    <w:t>3</w:t>
                  </w:r>
                  <w:r>
                    <w:rPr>
                      <w:sz w:val="21"/>
                      <w:szCs w:val="21"/>
                    </w:rPr>
                    <w:t>，设置4kg手提式干粉灭火器</w:t>
                  </w:r>
                  <w:r>
                    <w:rPr>
                      <w:rFonts w:hint="eastAsia"/>
                      <w:sz w:val="21"/>
                      <w:szCs w:val="21"/>
                    </w:rPr>
                    <w:t>12</w:t>
                  </w:r>
                  <w:r>
                    <w:rPr>
                      <w:sz w:val="21"/>
                      <w:szCs w:val="21"/>
                    </w:rPr>
                    <w:t>只</w:t>
                  </w:r>
                  <w:r>
                    <w:rPr>
                      <w:rFonts w:hint="eastAsia"/>
                      <w:sz w:val="21"/>
                      <w:szCs w:val="21"/>
                    </w:rPr>
                    <w:t>，</w:t>
                  </w:r>
                  <w:r>
                    <w:rPr>
                      <w:sz w:val="21"/>
                      <w:szCs w:val="21"/>
                    </w:rPr>
                    <w:t>油罐区设置35kg推车式干粉灭火器1台，油罐区附近设置灭火毯5块</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5</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156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sz w:val="21"/>
                      <w:szCs w:val="21"/>
                    </w:rPr>
                  </w:pPr>
                  <w:r>
                    <w:rPr>
                      <w:rFonts w:hint="eastAsia"/>
                      <w:sz w:val="21"/>
                      <w:szCs w:val="21"/>
                    </w:rPr>
                    <w:t>企业成立环境事故应急小组，制定一套完整的环境风险防范、应急预案</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2</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156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sz w:val="21"/>
                      <w:szCs w:val="21"/>
                    </w:rPr>
                  </w:pPr>
                  <w:r>
                    <w:rPr>
                      <w:sz w:val="21"/>
                      <w:szCs w:val="21"/>
                    </w:rPr>
                    <w:t>设置</w:t>
                  </w:r>
                  <w:r>
                    <w:rPr>
                      <w:rFonts w:hint="eastAsia"/>
                      <w:sz w:val="21"/>
                      <w:szCs w:val="21"/>
                    </w:rPr>
                    <w:t>汽柴油气</w:t>
                  </w:r>
                  <w:r>
                    <w:rPr>
                      <w:sz w:val="21"/>
                      <w:szCs w:val="21"/>
                    </w:rPr>
                    <w:t>体检测报警系统</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156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sz w:val="21"/>
                      <w:szCs w:val="21"/>
                    </w:rPr>
                  </w:pPr>
                </w:p>
              </w:tc>
              <w:tc>
                <w:tcPr>
                  <w:tcW w:w="49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0" w:lineRule="atLeast"/>
                    <w:contextualSpacing/>
                    <w:jc w:val="center"/>
                    <w:textAlignment w:val="auto"/>
                    <w:rPr>
                      <w:rFonts w:hint="eastAsia"/>
                      <w:sz w:val="21"/>
                      <w:szCs w:val="21"/>
                    </w:rPr>
                  </w:pPr>
                  <w:r>
                    <w:rPr>
                      <w:rFonts w:hint="eastAsia"/>
                      <w:sz w:val="21"/>
                      <w:szCs w:val="21"/>
                    </w:rPr>
                    <w:t>初期雨水隔油池兼作漏油事故池、消防事故水池</w:t>
                  </w:r>
                </w:p>
              </w:tc>
              <w:tc>
                <w:tcPr>
                  <w:tcW w:w="650" w:type="dxa"/>
                  <w:tcBorders>
                    <w:tl2br w:val="nil"/>
                    <w:tr2bl w:val="nil"/>
                  </w:tcBorders>
                  <w:shd w:val="clear" w:color="auto" w:fill="auto"/>
                  <w:vAlign w:val="center"/>
                </w:tcPr>
                <w:p>
                  <w:pPr>
                    <w:keepNext w:val="0"/>
                    <w:keepLines w:val="0"/>
                    <w:pageBreakBefore w:val="0"/>
                    <w:widowControl/>
                    <w:kinsoku/>
                    <w:wordWrap/>
                    <w:overflowPunct/>
                    <w:topLinePunct w:val="0"/>
                    <w:bidi w:val="0"/>
                    <w:snapToGrid w:val="0"/>
                    <w:spacing w:after="0" w:line="0" w:lineRule="atLeast"/>
                    <w:contextualSpacing/>
                    <w:jc w:val="center"/>
                    <w:textAlignment w:val="auto"/>
                    <w:rPr>
                      <w:rFonts w:hint="default" w:ascii="Times New Roman" w:hAnsi="Times New Roman" w:eastAsia="宋体" w:cstheme="minorBidi"/>
                      <w:sz w:val="21"/>
                      <w:szCs w:val="21"/>
                      <w:lang w:val="en-US" w:eastAsia="zh-CN" w:bidi="ar-SA"/>
                    </w:rPr>
                  </w:pPr>
                  <w:r>
                    <w:rPr>
                      <w:rFonts w:hint="eastAsia"/>
                      <w:sz w:val="21"/>
                      <w:szCs w:val="21"/>
                    </w:rPr>
                    <w:t>--</w:t>
                  </w:r>
                </w:p>
              </w:tc>
              <w:tc>
                <w:tcPr>
                  <w:tcW w:w="891" w:type="dxa"/>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default"/>
                      <w:b/>
                      <w:bCs/>
                      <w:sz w:val="21"/>
                      <w:szCs w:val="21"/>
                    </w:rPr>
                  </w:pPr>
                  <w:r>
                    <w:rPr>
                      <w:rFonts w:hint="eastAsia"/>
                      <w:b w:val="0"/>
                      <w:bCs w:val="0"/>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05" w:type="dxa"/>
                  <w:gridSpan w:val="3"/>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eastAsia"/>
                      <w:b w:val="0"/>
                      <w:bCs w:val="0"/>
                      <w:sz w:val="21"/>
                      <w:szCs w:val="21"/>
                      <w:lang w:eastAsia="zh-CN"/>
                    </w:rPr>
                  </w:pPr>
                  <w:r>
                    <w:rPr>
                      <w:rFonts w:hint="eastAsia"/>
                      <w:b w:val="0"/>
                      <w:bCs w:val="0"/>
                      <w:sz w:val="21"/>
                      <w:szCs w:val="21"/>
                      <w:lang w:eastAsia="zh-CN"/>
                    </w:rPr>
                    <w:t>合计</w:t>
                  </w:r>
                </w:p>
              </w:tc>
              <w:tc>
                <w:tcPr>
                  <w:tcW w:w="1541" w:type="dxa"/>
                  <w:gridSpan w:val="2"/>
                  <w:tcBorders>
                    <w:tl2br w:val="nil"/>
                    <w:tr2bl w:val="nil"/>
                  </w:tcBorders>
                  <w:shd w:val="clear" w:color="auto" w:fill="auto"/>
                  <w:vAlign w:val="center"/>
                </w:tcPr>
                <w:p>
                  <w:pPr>
                    <w:pStyle w:val="37"/>
                    <w:keepNext w:val="0"/>
                    <w:keepLines w:val="0"/>
                    <w:pageBreakBefore w:val="0"/>
                    <w:widowControl/>
                    <w:suppressLineNumbers w:val="0"/>
                    <w:kinsoku/>
                    <w:wordWrap/>
                    <w:overflowPunct/>
                    <w:topLinePunct w:val="0"/>
                    <w:bidi w:val="0"/>
                    <w:adjustRightInd/>
                    <w:snapToGrid w:val="0"/>
                    <w:spacing w:beforeAutospacing="0" w:after="0" w:afterAutospacing="0" w:line="0" w:lineRule="atLeast"/>
                    <w:ind w:left="0" w:leftChars="0" w:right="0" w:rightChars="0" w:firstLine="0" w:firstLineChars="0"/>
                    <w:jc w:val="center"/>
                    <w:textAlignment w:val="auto"/>
                    <w:rPr>
                      <w:rFonts w:hint="eastAsia"/>
                      <w:b w:val="0"/>
                      <w:bCs w:val="0"/>
                      <w:sz w:val="21"/>
                      <w:szCs w:val="21"/>
                      <w:lang w:val="en-US" w:eastAsia="zh-CN"/>
                    </w:rPr>
                  </w:pPr>
                  <w:r>
                    <w:rPr>
                      <w:rFonts w:hint="eastAsia"/>
                      <w:b w:val="0"/>
                      <w:bCs w:val="0"/>
                      <w:sz w:val="21"/>
                      <w:szCs w:val="21"/>
                      <w:lang w:eastAsia="zh-CN"/>
                    </w:rPr>
                    <w:t>20.6</w:t>
                  </w:r>
                </w:p>
              </w:tc>
            </w:tr>
          </w:tbl>
          <w:p>
            <w:pPr>
              <w:pStyle w:val="2"/>
              <w:ind w:left="0" w:leftChars="0" w:firstLine="0" w:firstLineChars="0"/>
              <w:jc w:val="both"/>
              <w:rPr>
                <w:rFonts w:hint="default"/>
                <w:lang w:val="en-US" w:eastAsia="zh-CN"/>
              </w:rPr>
            </w:pPr>
          </w:p>
        </w:tc>
      </w:tr>
    </w:tbl>
    <w:p>
      <w:pPr>
        <w:rPr>
          <w:rFonts w:hint="eastAsia"/>
          <w:b/>
          <w:color w:val="auto"/>
          <w:sz w:val="28"/>
          <w:szCs w:val="28"/>
        </w:rPr>
      </w:pPr>
      <w:r>
        <w:rPr>
          <w:rFonts w:hint="eastAsia"/>
          <w:b/>
          <w:color w:val="auto"/>
          <w:sz w:val="28"/>
          <w:szCs w:val="28"/>
        </w:rPr>
        <w:br w:type="page"/>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eastAsia="宋体"/>
          <w:b/>
          <w:color w:val="auto"/>
          <w:sz w:val="28"/>
          <w:szCs w:val="28"/>
          <w:lang w:val="en-US" w:eastAsia="zh-CN"/>
        </w:rPr>
      </w:pPr>
      <w:r>
        <w:rPr>
          <w:rFonts w:hint="eastAsia"/>
          <w:b/>
          <w:color w:val="auto"/>
          <w:sz w:val="28"/>
          <w:szCs w:val="28"/>
        </w:rPr>
        <w:t>表</w:t>
      </w:r>
      <w:r>
        <w:rPr>
          <w:rFonts w:hint="eastAsia"/>
          <w:b/>
          <w:color w:val="auto"/>
          <w:sz w:val="28"/>
          <w:szCs w:val="28"/>
          <w:lang w:val="en-US" w:eastAsia="zh-CN"/>
        </w:rPr>
        <w:t>四</w:t>
      </w:r>
      <w:r>
        <w:rPr>
          <w:rFonts w:hint="eastAsia"/>
          <w:b/>
          <w:color w:val="auto"/>
          <w:sz w:val="28"/>
          <w:szCs w:val="28"/>
        </w:rPr>
        <w:t xml:space="preserve">   </w:t>
      </w:r>
      <w:r>
        <w:rPr>
          <w:rFonts w:hint="eastAsia"/>
          <w:b/>
          <w:color w:val="auto"/>
          <w:sz w:val="28"/>
          <w:szCs w:val="28"/>
          <w:lang w:val="en-US" w:eastAsia="zh-CN"/>
        </w:rPr>
        <w:t>环境影响报告表主要结论及审批部门审批决定</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99" w:hRule="atLeast"/>
          <w:jc w:val="center"/>
        </w:trPr>
        <w:tc>
          <w:tcPr>
            <w:tcW w:w="8820" w:type="dxa"/>
            <w:vAlign w:val="top"/>
          </w:tcPr>
          <w:p>
            <w:pPr>
              <w:keepNext w:val="0"/>
              <w:keepLines w:val="0"/>
              <w:pageBreakBefore w:val="0"/>
              <w:widowControl/>
              <w:kinsoku/>
              <w:wordWrap/>
              <w:overflowPunct/>
              <w:topLinePunct w:val="0"/>
              <w:autoSpaceDE w:val="0"/>
              <w:autoSpaceDN w:val="0"/>
              <w:bidi w:val="0"/>
              <w:adjustRightInd w:val="0"/>
              <w:spacing w:after="0" w:line="360" w:lineRule="auto"/>
              <w:jc w:val="both"/>
              <w:textAlignment w:val="auto"/>
              <w:rPr>
                <w:rFonts w:hint="eastAsia"/>
                <w:b/>
                <w:bCs/>
                <w:sz w:val="24"/>
                <w:szCs w:val="24"/>
                <w:lang w:val="en-US" w:eastAsia="zh-CN"/>
              </w:rPr>
            </w:pPr>
            <w:r>
              <w:rPr>
                <w:rFonts w:hint="eastAsia"/>
                <w:b/>
                <w:bCs/>
                <w:sz w:val="24"/>
                <w:szCs w:val="24"/>
                <w:lang w:val="en-US" w:eastAsia="zh-CN"/>
              </w:rPr>
              <w:t>一、结论：</w:t>
            </w:r>
          </w:p>
          <w:p>
            <w:pPr>
              <w:pStyle w:val="47"/>
              <w:widowControl w:val="0"/>
              <w:adjustRightInd/>
              <w:snapToGrid/>
              <w:spacing w:after="0" w:line="360" w:lineRule="auto"/>
              <w:ind w:firstLine="482"/>
              <w:contextualSpacing/>
              <w:rPr>
                <w:rFonts w:hint="eastAsia"/>
                <w:b/>
                <w:color w:val="auto"/>
              </w:rPr>
            </w:pPr>
            <w:r>
              <w:rPr>
                <w:rFonts w:hint="eastAsia"/>
                <w:b/>
                <w:color w:val="auto"/>
              </w:rPr>
              <w:t>（一）项目概况</w:t>
            </w:r>
          </w:p>
          <w:p>
            <w:pPr>
              <w:pStyle w:val="47"/>
              <w:widowControl w:val="0"/>
              <w:adjustRightInd/>
              <w:snapToGrid/>
              <w:spacing w:after="0" w:line="360" w:lineRule="auto"/>
              <w:ind w:firstLine="480"/>
              <w:contextualSpacing/>
              <w:rPr>
                <w:rFonts w:hint="eastAsia"/>
                <w:color w:val="auto"/>
                <w:u w:val="single"/>
              </w:rPr>
            </w:pPr>
            <w:r>
              <w:rPr>
                <w:rFonts w:hint="eastAsia"/>
                <w:color w:val="auto"/>
              </w:rPr>
              <w:t>彭州市天彭镇农机管理服务站加油站始建于2000年，后因设备陈旧老化、布局不合理，工艺管线落后、存在安全环保等问题，同时为响应《国务院关于印发水污染防治行动计划的通知》（国发〔</w:t>
            </w:r>
            <w:r>
              <w:rPr>
                <w:color w:val="auto"/>
              </w:rPr>
              <w:t>2015</w:t>
            </w:r>
            <w:r>
              <w:rPr>
                <w:rFonts w:hint="eastAsia"/>
                <w:color w:val="auto"/>
              </w:rPr>
              <w:t>〕</w:t>
            </w:r>
            <w:r>
              <w:rPr>
                <w:color w:val="auto"/>
              </w:rPr>
              <w:t>17</w:t>
            </w:r>
            <w:r>
              <w:rPr>
                <w:rFonts w:hint="eastAsia"/>
                <w:color w:val="auto"/>
              </w:rPr>
              <w:t>号）中更换双层罐的要求。彭州市天彭镇农机管理服务站于2107年对加油站进行了升级改造，将原有单层油罐更换为3座SF双层油罐（包括1座30m</w:t>
            </w:r>
            <w:r>
              <w:rPr>
                <w:rFonts w:hint="eastAsia"/>
                <w:color w:val="auto"/>
                <w:vertAlign w:val="superscript"/>
              </w:rPr>
              <w:t>3</w:t>
            </w:r>
            <w:r>
              <w:rPr>
                <w:rFonts w:hint="eastAsia"/>
                <w:color w:val="auto"/>
              </w:rPr>
              <w:t>的0#柴油罐，1座30m</w:t>
            </w:r>
            <w:r>
              <w:rPr>
                <w:rFonts w:hint="eastAsia"/>
                <w:color w:val="auto"/>
                <w:vertAlign w:val="superscript"/>
              </w:rPr>
              <w:t>3</w:t>
            </w:r>
            <w:r>
              <w:rPr>
                <w:rFonts w:hint="eastAsia"/>
                <w:color w:val="auto"/>
              </w:rPr>
              <w:t>的92#汽油罐，1座30m</w:t>
            </w:r>
            <w:r>
              <w:rPr>
                <w:rFonts w:hint="eastAsia"/>
                <w:color w:val="auto"/>
                <w:vertAlign w:val="superscript"/>
              </w:rPr>
              <w:t>3</w:t>
            </w:r>
            <w:r>
              <w:rPr>
                <w:rFonts w:hint="eastAsia"/>
                <w:color w:val="auto"/>
              </w:rPr>
              <w:t>的95#汽油罐），并配置液位仪；将原有加油钢制管道全部更换为双层防静电复合管；新增油罐及管道渗漏检测系统；按照加油站细节管理手册配置标识标牌、五小设施及定制化设施等；增加2台双枪加油枪，建成后为5台加油枪；安装卸油和加油油气回收系统；新增洗车服务</w:t>
            </w:r>
            <w:r>
              <w:rPr>
                <w:color w:val="auto"/>
              </w:rPr>
              <w:t>。</w:t>
            </w:r>
          </w:p>
          <w:p>
            <w:pPr>
              <w:pStyle w:val="47"/>
              <w:widowControl w:val="0"/>
              <w:adjustRightInd/>
              <w:snapToGrid/>
              <w:spacing w:after="0" w:line="360" w:lineRule="auto"/>
              <w:ind w:firstLine="480"/>
              <w:contextualSpacing/>
              <w:rPr>
                <w:rFonts w:hint="eastAsia"/>
                <w:color w:val="auto"/>
              </w:rPr>
            </w:pPr>
            <w:r>
              <w:rPr>
                <w:rFonts w:hint="eastAsia"/>
                <w:bCs/>
                <w:color w:val="auto"/>
              </w:rPr>
              <w:t>加油站日均销售油品5t（其中汽油4t，柴油1t，汽柴比3），销售油品含95#汽油、92#汽油、0#柴油，为三级加油站</w:t>
            </w:r>
            <w:r>
              <w:rPr>
                <w:color w:val="auto"/>
              </w:rPr>
              <w:t>。</w:t>
            </w:r>
          </w:p>
          <w:p>
            <w:pPr>
              <w:pStyle w:val="47"/>
              <w:widowControl w:val="0"/>
              <w:adjustRightInd/>
              <w:snapToGrid/>
              <w:spacing w:after="0" w:line="360" w:lineRule="auto"/>
              <w:ind w:firstLine="482"/>
              <w:contextualSpacing/>
              <w:rPr>
                <w:b/>
                <w:color w:val="auto"/>
              </w:rPr>
            </w:pPr>
            <w:r>
              <w:rPr>
                <w:rFonts w:hint="eastAsia"/>
                <w:b/>
                <w:color w:val="auto"/>
              </w:rPr>
              <w:t>（二）</w:t>
            </w:r>
            <w:r>
              <w:rPr>
                <w:b/>
                <w:color w:val="auto"/>
              </w:rPr>
              <w:t>产业政策的符合性结论</w:t>
            </w:r>
          </w:p>
          <w:p>
            <w:pPr>
              <w:keepNext w:val="0"/>
              <w:keepLines w:val="0"/>
              <w:pageBreakBefore w:val="0"/>
              <w:widowControl/>
              <w:kinsoku/>
              <w:wordWrap/>
              <w:overflowPunct/>
              <w:topLinePunct w:val="0"/>
              <w:autoSpaceDE w:val="0"/>
              <w:autoSpaceDN w:val="0"/>
              <w:bidi w:val="0"/>
              <w:adjustRightInd w:val="0"/>
              <w:spacing w:after="0" w:line="360" w:lineRule="auto"/>
              <w:ind w:leftChars="0" w:firstLine="480" w:firstLineChars="200"/>
              <w:jc w:val="both"/>
              <w:textAlignment w:val="auto"/>
              <w:rPr>
                <w:rFonts w:hint="eastAsia" w:eastAsia="宋体"/>
                <w:color w:val="auto"/>
                <w:sz w:val="24"/>
                <w:szCs w:val="24"/>
              </w:rPr>
            </w:pPr>
            <w:r>
              <w:rPr>
                <w:rFonts w:hint="eastAsia" w:eastAsia="宋体"/>
                <w:color w:val="auto"/>
                <w:sz w:val="24"/>
                <w:szCs w:val="24"/>
              </w:rPr>
              <w:t>本项目为加油站项目，根据《国民经济行业分类与代码》（GB/T4754-2017），项目属于F5265机动车燃油零售。项目属于社会服务业，不属于中华人民共和国国家发展和改革委员会令第29号《产业结构调整指导目录（2019年本）》中的鼓励、限制和淘汰类项目，但项目符合国家法律、法规和政策规定，属于允许类。</w:t>
            </w:r>
          </w:p>
          <w:p>
            <w:pPr>
              <w:keepNext w:val="0"/>
              <w:keepLines w:val="0"/>
              <w:pageBreakBefore w:val="0"/>
              <w:widowControl/>
              <w:kinsoku/>
              <w:wordWrap/>
              <w:overflowPunct/>
              <w:topLinePunct w:val="0"/>
              <w:autoSpaceDE w:val="0"/>
              <w:autoSpaceDN w:val="0"/>
              <w:bidi w:val="0"/>
              <w:adjustRightInd w:val="0"/>
              <w:spacing w:after="0" w:line="360" w:lineRule="auto"/>
              <w:ind w:leftChars="0" w:firstLine="480" w:firstLineChars="200"/>
              <w:jc w:val="both"/>
              <w:textAlignment w:val="auto"/>
              <w:rPr>
                <w:rFonts w:hint="eastAsia" w:eastAsia="宋体"/>
                <w:color w:val="auto"/>
                <w:sz w:val="24"/>
                <w:szCs w:val="24"/>
              </w:rPr>
            </w:pPr>
            <w:r>
              <w:rPr>
                <w:rFonts w:hint="eastAsia" w:eastAsia="宋体"/>
                <w:color w:val="auto"/>
                <w:sz w:val="24"/>
                <w:szCs w:val="24"/>
              </w:rPr>
              <w:t>同时，项目于彭州市经济科技和信息化局以川投资备【2017-510182-52-03-184214】JXQB-3897号进行了备案。</w:t>
            </w:r>
          </w:p>
          <w:p>
            <w:pPr>
              <w:pStyle w:val="47"/>
              <w:widowControl w:val="0"/>
              <w:adjustRightInd/>
              <w:snapToGrid/>
              <w:spacing w:after="0" w:line="360" w:lineRule="auto"/>
              <w:ind w:firstLine="482"/>
              <w:contextualSpacing/>
              <w:rPr>
                <w:b/>
                <w:color w:val="auto"/>
              </w:rPr>
            </w:pPr>
            <w:r>
              <w:rPr>
                <w:rFonts w:hint="eastAsia"/>
                <w:b/>
                <w:color w:val="auto"/>
              </w:rPr>
              <w:t>（三）</w:t>
            </w:r>
            <w:r>
              <w:rPr>
                <w:b/>
                <w:color w:val="auto"/>
              </w:rPr>
              <w:t>规划符合性结论</w:t>
            </w:r>
            <w:r>
              <w:rPr>
                <w:rFonts w:hint="eastAsia" w:ascii="宋体" w:hAnsi="宋体" w:cs="宋体"/>
                <w:b/>
                <w:color w:val="auto"/>
              </w:rPr>
              <w:t>及选址合理性</w:t>
            </w:r>
          </w:p>
          <w:p>
            <w:pPr>
              <w:pStyle w:val="47"/>
              <w:adjustRightInd/>
              <w:snapToGrid/>
              <w:spacing w:after="0" w:line="360" w:lineRule="auto"/>
              <w:ind w:firstLine="480"/>
              <w:contextualSpacing/>
              <w:rPr>
                <w:rFonts w:hint="eastAsia"/>
                <w:color w:val="auto"/>
              </w:rPr>
            </w:pPr>
            <w:r>
              <w:rPr>
                <w:rFonts w:hint="eastAsia"/>
                <w:color w:val="auto"/>
              </w:rPr>
              <w:t>1、规划符合性分析</w:t>
            </w:r>
          </w:p>
          <w:p>
            <w:pPr>
              <w:pStyle w:val="47"/>
              <w:adjustRightInd/>
              <w:snapToGrid/>
              <w:spacing w:after="0" w:line="360" w:lineRule="auto"/>
              <w:ind w:firstLine="480"/>
              <w:contextualSpacing/>
              <w:rPr>
                <w:rFonts w:hint="eastAsia"/>
                <w:color w:val="auto"/>
              </w:rPr>
            </w:pPr>
            <w:r>
              <w:rPr>
                <w:rFonts w:hint="eastAsia"/>
                <w:color w:val="auto"/>
              </w:rPr>
              <w:t>本项目符合国家产业政策；与《大气污染防治行动计划》（国发[2013]37号）、《四川省灰霾污染防治办法》（四川省人民政府第288号令）、《挥发性有机物污染防治技术政策》（公告2013年第31号）、关于印发《“十三五”挥发性有机物污染防治工作方案》的通知（环大气[2017]121号）、国务院关于印发《水污染防治行动计划》的通知（国发[2015]17号）、关于印发《加油站地下水污染防治技术指南（试行）》的通知（环办水体函[2017]323号）相符；符合当地城市发展规划</w:t>
            </w:r>
            <w:r>
              <w:rPr>
                <w:color w:val="auto"/>
              </w:rPr>
              <w:t>。</w:t>
            </w:r>
          </w:p>
          <w:p>
            <w:pPr>
              <w:pStyle w:val="47"/>
              <w:adjustRightInd/>
              <w:snapToGrid/>
              <w:spacing w:after="0" w:line="360" w:lineRule="auto"/>
              <w:ind w:firstLine="480"/>
              <w:contextualSpacing/>
              <w:rPr>
                <w:rFonts w:hint="eastAsia"/>
                <w:color w:val="auto"/>
              </w:rPr>
            </w:pPr>
            <w:r>
              <w:rPr>
                <w:rFonts w:hint="eastAsia"/>
                <w:color w:val="auto"/>
              </w:rPr>
              <w:t>2、选址合理性分析</w:t>
            </w:r>
          </w:p>
          <w:p>
            <w:pPr>
              <w:pStyle w:val="47"/>
              <w:adjustRightInd/>
              <w:snapToGrid/>
              <w:spacing w:after="0" w:line="360" w:lineRule="auto"/>
              <w:ind w:firstLine="480"/>
              <w:contextualSpacing/>
              <w:rPr>
                <w:rFonts w:hint="eastAsia"/>
                <w:color w:val="auto"/>
              </w:rPr>
            </w:pPr>
            <w:r>
              <w:rPr>
                <w:rFonts w:hAnsi="宋体"/>
                <w:color w:val="auto"/>
              </w:rPr>
              <w:t>项目位于</w:t>
            </w:r>
            <w:r>
              <w:rPr>
                <w:rFonts w:hint="eastAsia" w:hAnsi="宋体"/>
                <w:color w:val="auto"/>
              </w:rPr>
              <w:t>成都市彭州市天彭镇先锋村十组</w:t>
            </w:r>
            <w:r>
              <w:rPr>
                <w:rFonts w:hAnsi="宋体"/>
                <w:color w:val="auto"/>
              </w:rPr>
              <w:t>，根据现场勘查，项目外环境关系如下</w:t>
            </w:r>
            <w:r>
              <w:rPr>
                <w:rFonts w:hint="eastAsia"/>
                <w:color w:val="auto"/>
              </w:rPr>
              <w:t>：</w:t>
            </w:r>
          </w:p>
          <w:p>
            <w:pPr>
              <w:pStyle w:val="47"/>
              <w:adjustRightInd/>
              <w:snapToGrid/>
              <w:spacing w:after="0" w:line="360" w:lineRule="auto"/>
              <w:ind w:firstLine="480"/>
              <w:contextualSpacing/>
              <w:rPr>
                <w:rFonts w:hint="eastAsia"/>
                <w:color w:val="auto"/>
              </w:rPr>
            </w:pPr>
            <w:r>
              <w:rPr>
                <w:rFonts w:hint="eastAsia"/>
                <w:color w:val="auto"/>
              </w:rPr>
              <w:t>项目北侧5m处为水渠，北侧25m处为居住小区（三类保护物，距项目油罐最近距离为34m），西北26m处为居住小区（三类保护物，距项目最近油罐距离为40m）；东侧为空地；南侧邻金彭东路（主干路），隔道路110m为居住小区；西侧邻空地，隔空地25m处为彭州市洪祥蔬菜产销合作社（戊类库房、距项目油罐最近距离为39m）。加油站交通便利，车流量较大，能兼顾项目所在区域和过境车辆的加油需求，经营位置良好。</w:t>
            </w:r>
          </w:p>
          <w:p>
            <w:pPr>
              <w:pStyle w:val="47"/>
              <w:adjustRightInd/>
              <w:snapToGrid/>
              <w:spacing w:after="0" w:line="360" w:lineRule="auto"/>
              <w:ind w:firstLine="480"/>
              <w:contextualSpacing/>
              <w:rPr>
                <w:rFonts w:hint="eastAsia"/>
                <w:color w:val="auto"/>
              </w:rPr>
            </w:pPr>
            <w:r>
              <w:rPr>
                <w:color w:val="auto"/>
              </w:rPr>
              <w:t>项目的选址符合《汽车加油加气站设计与施工规范（GB50156-2012）》（2014版）的选址原则要求</w:t>
            </w:r>
            <w:r>
              <w:rPr>
                <w:rFonts w:hint="eastAsia"/>
                <w:color w:val="auto"/>
              </w:rPr>
              <w:t>。项目站内汽油设备、柴油设备与站外建（构）筑物之间的安全距离满足《汽车加油加气站设计与施工规范（GB50156-2012）》（2014版）的要求。</w:t>
            </w:r>
          </w:p>
          <w:p>
            <w:pPr>
              <w:pStyle w:val="47"/>
              <w:widowControl w:val="0"/>
              <w:adjustRightInd/>
              <w:snapToGrid/>
              <w:spacing w:after="0" w:line="360" w:lineRule="auto"/>
              <w:ind w:firstLine="482"/>
              <w:contextualSpacing/>
              <w:rPr>
                <w:b/>
                <w:color w:val="auto"/>
              </w:rPr>
            </w:pPr>
            <w:r>
              <w:rPr>
                <w:rFonts w:hint="eastAsia"/>
                <w:b/>
                <w:color w:val="auto"/>
              </w:rPr>
              <w:t>（四）</w:t>
            </w:r>
            <w:r>
              <w:rPr>
                <w:rFonts w:hint="eastAsia" w:ascii="宋体" w:hAnsi="宋体" w:cs="宋体"/>
                <w:b/>
                <w:color w:val="auto"/>
              </w:rPr>
              <w:t>总图布置合理性</w:t>
            </w:r>
          </w:p>
          <w:p>
            <w:pPr>
              <w:pStyle w:val="47"/>
              <w:adjustRightInd/>
              <w:snapToGrid/>
              <w:spacing w:after="0" w:line="360" w:lineRule="auto"/>
              <w:ind w:firstLine="480"/>
              <w:contextualSpacing/>
              <w:rPr>
                <w:rFonts w:hint="eastAsia"/>
                <w:color w:val="auto"/>
                <w:lang w:val="en-US" w:eastAsia="zh-CN"/>
              </w:rPr>
            </w:pPr>
            <w:r>
              <w:rPr>
                <w:rFonts w:hint="eastAsia"/>
                <w:color w:val="auto"/>
              </w:rPr>
              <w:t>项目</w:t>
            </w:r>
            <w:r>
              <w:rPr>
                <w:rFonts w:hint="eastAsia"/>
                <w:bCs/>
                <w:color w:val="auto"/>
              </w:rPr>
              <w:t>加油</w:t>
            </w:r>
            <w:r>
              <w:rPr>
                <w:bCs/>
                <w:color w:val="auto"/>
              </w:rPr>
              <w:t>区、办公区分开设置，</w:t>
            </w:r>
            <w:r>
              <w:rPr>
                <w:color w:val="auto"/>
              </w:rPr>
              <w:t>功能分区布置明确，流程通顺，</w:t>
            </w:r>
            <w:r>
              <w:rPr>
                <w:bCs/>
                <w:color w:val="auto"/>
              </w:rPr>
              <w:t>站内主要设施之间的防火距离</w:t>
            </w:r>
            <w:r>
              <w:rPr>
                <w:rFonts w:hint="eastAsia"/>
                <w:bCs/>
                <w:color w:val="auto"/>
              </w:rPr>
              <w:t>满足</w:t>
            </w:r>
            <w:r>
              <w:rPr>
                <w:color w:val="auto"/>
              </w:rPr>
              <w:t>《汽车加油加气站设计与施工规范（GB50156-2012）》（2014年版）</w:t>
            </w:r>
            <w:r>
              <w:rPr>
                <w:rFonts w:hint="eastAsia"/>
                <w:color w:val="auto"/>
              </w:rPr>
              <w:t>要求，</w:t>
            </w:r>
            <w:r>
              <w:rPr>
                <w:color w:val="auto"/>
              </w:rPr>
              <w:t>有利于安全生产</w:t>
            </w:r>
            <w:r>
              <w:rPr>
                <w:rFonts w:hint="eastAsia"/>
                <w:color w:val="auto"/>
              </w:rPr>
              <w:t>。通过采取环保措施后，项目水、气、声能够达标排放。</w:t>
            </w:r>
            <w:r>
              <w:rPr>
                <w:color w:val="auto"/>
              </w:rPr>
              <w:t>从环保角度，本项目平面布置合理。</w:t>
            </w:r>
          </w:p>
          <w:p>
            <w:pPr>
              <w:pStyle w:val="47"/>
              <w:widowControl w:val="0"/>
              <w:adjustRightInd/>
              <w:snapToGrid/>
              <w:spacing w:after="0" w:line="360" w:lineRule="auto"/>
              <w:ind w:firstLine="482"/>
              <w:contextualSpacing/>
              <w:rPr>
                <w:b/>
                <w:color w:val="auto"/>
              </w:rPr>
            </w:pPr>
            <w:r>
              <w:rPr>
                <w:rFonts w:hint="eastAsia" w:ascii="宋体" w:hAnsi="宋体" w:cs="宋体"/>
                <w:b/>
                <w:color w:val="auto"/>
              </w:rPr>
              <w:t>（五）项目所在区域环境质量现状</w:t>
            </w:r>
          </w:p>
          <w:p>
            <w:pPr>
              <w:pStyle w:val="47"/>
              <w:adjustRightInd/>
              <w:snapToGrid/>
              <w:spacing w:after="0" w:line="360" w:lineRule="auto"/>
              <w:ind w:firstLine="480"/>
              <w:contextualSpacing/>
              <w:rPr>
                <w:rFonts w:hint="eastAsia"/>
                <w:color w:val="auto"/>
              </w:rPr>
            </w:pPr>
            <w:r>
              <w:rPr>
                <w:color w:val="auto"/>
              </w:rPr>
              <w:t>（1）环境空气：项目所在地环境质量现状：</w:t>
            </w:r>
            <w:r>
              <w:rPr>
                <w:rFonts w:hint="eastAsia"/>
                <w:color w:val="auto"/>
              </w:rPr>
              <w:t>项目所在区域内</w:t>
            </w:r>
            <w:r>
              <w:rPr>
                <w:color w:val="auto"/>
              </w:rPr>
              <w:t>SO</w:t>
            </w:r>
            <w:r>
              <w:rPr>
                <w:color w:val="auto"/>
                <w:vertAlign w:val="subscript"/>
              </w:rPr>
              <w:t>2</w:t>
            </w:r>
            <w:r>
              <w:rPr>
                <w:rFonts w:hint="eastAsia"/>
                <w:color w:val="auto"/>
              </w:rPr>
              <w:t>、</w:t>
            </w:r>
            <w:r>
              <w:rPr>
                <w:color w:val="auto"/>
              </w:rPr>
              <w:t>CO</w:t>
            </w:r>
            <w:r>
              <w:rPr>
                <w:rFonts w:hint="eastAsia"/>
                <w:color w:val="auto"/>
              </w:rPr>
              <w:t>能满足《环境空气质量标准》（</w:t>
            </w:r>
            <w:r>
              <w:rPr>
                <w:color w:val="auto"/>
              </w:rPr>
              <w:t>GB3095-2012</w:t>
            </w:r>
            <w:r>
              <w:rPr>
                <w:rFonts w:hint="eastAsia"/>
                <w:color w:val="auto"/>
              </w:rPr>
              <w:t>）中二级标准，</w:t>
            </w:r>
            <w:r>
              <w:rPr>
                <w:color w:val="auto"/>
              </w:rPr>
              <w:t>PM</w:t>
            </w:r>
            <w:r>
              <w:rPr>
                <w:color w:val="auto"/>
                <w:vertAlign w:val="subscript"/>
              </w:rPr>
              <w:t>2.5</w:t>
            </w:r>
            <w:r>
              <w:rPr>
                <w:rFonts w:hint="eastAsia"/>
                <w:color w:val="auto"/>
              </w:rPr>
              <w:t>、</w:t>
            </w:r>
            <w:r>
              <w:rPr>
                <w:color w:val="auto"/>
              </w:rPr>
              <w:t>PM</w:t>
            </w:r>
            <w:r>
              <w:rPr>
                <w:color w:val="auto"/>
                <w:vertAlign w:val="subscript"/>
              </w:rPr>
              <w:t>10</w:t>
            </w:r>
            <w:r>
              <w:rPr>
                <w:rFonts w:hint="eastAsia"/>
                <w:color w:val="auto"/>
              </w:rPr>
              <w:t>、</w:t>
            </w:r>
            <w:r>
              <w:rPr>
                <w:color w:val="auto"/>
              </w:rPr>
              <w:t>NO</w:t>
            </w:r>
            <w:r>
              <w:rPr>
                <w:color w:val="auto"/>
                <w:vertAlign w:val="subscript"/>
              </w:rPr>
              <w:t>2</w:t>
            </w:r>
            <w:r>
              <w:rPr>
                <w:rFonts w:hint="eastAsia"/>
                <w:color w:val="auto"/>
              </w:rPr>
              <w:t>、</w:t>
            </w:r>
            <w:r>
              <w:rPr>
                <w:color w:val="auto"/>
              </w:rPr>
              <w:t>O</w:t>
            </w:r>
            <w:r>
              <w:rPr>
                <w:color w:val="auto"/>
                <w:vertAlign w:val="subscript"/>
              </w:rPr>
              <w:t>3</w:t>
            </w:r>
            <w:r>
              <w:rPr>
                <w:rFonts w:hint="eastAsia"/>
                <w:color w:val="auto"/>
              </w:rPr>
              <w:t>不能满足《环境空气质量标准》（</w:t>
            </w:r>
            <w:r>
              <w:rPr>
                <w:color w:val="auto"/>
              </w:rPr>
              <w:t>GB3095-2012</w:t>
            </w:r>
            <w:r>
              <w:rPr>
                <w:rFonts w:hint="eastAsia"/>
                <w:color w:val="auto"/>
              </w:rPr>
              <w:t>）中二级标准</w:t>
            </w:r>
            <w:r>
              <w:rPr>
                <w:color w:val="auto"/>
              </w:rPr>
              <w:t>，</w:t>
            </w:r>
            <w:r>
              <w:rPr>
                <w:rFonts w:hint="eastAsia"/>
                <w:color w:val="auto"/>
              </w:rPr>
              <w:t>非甲烷总烃单项指数＜1</w:t>
            </w:r>
            <w:r>
              <w:rPr>
                <w:color w:val="auto"/>
              </w:rPr>
              <w:t>。</w:t>
            </w:r>
          </w:p>
          <w:p>
            <w:pPr>
              <w:pStyle w:val="47"/>
              <w:adjustRightInd/>
              <w:snapToGrid/>
              <w:spacing w:after="0" w:line="360" w:lineRule="auto"/>
              <w:ind w:firstLine="480"/>
              <w:contextualSpacing/>
              <w:rPr>
                <w:color w:val="auto"/>
              </w:rPr>
            </w:pPr>
            <w:r>
              <w:rPr>
                <w:color w:val="auto"/>
              </w:rPr>
              <w:t>（2）声学环境：监测结果表明本项目各厂界噪声全部满足《声环境质量标准》（GB3096-2008）中2类</w:t>
            </w:r>
            <w:r>
              <w:rPr>
                <w:rFonts w:hint="eastAsia"/>
                <w:color w:val="auto"/>
              </w:rPr>
              <w:t>、4a类</w:t>
            </w:r>
            <w:r>
              <w:rPr>
                <w:color w:val="auto"/>
              </w:rPr>
              <w:t>标准限值的要求。</w:t>
            </w:r>
          </w:p>
          <w:p>
            <w:pPr>
              <w:pStyle w:val="47"/>
              <w:adjustRightInd/>
              <w:snapToGrid/>
              <w:spacing w:after="0" w:line="360" w:lineRule="auto"/>
              <w:ind w:firstLine="480"/>
              <w:contextualSpacing/>
              <w:rPr>
                <w:rFonts w:hint="eastAsia"/>
                <w:color w:val="auto"/>
              </w:rPr>
            </w:pPr>
            <w:r>
              <w:rPr>
                <w:rFonts w:hint="eastAsia"/>
                <w:color w:val="auto"/>
              </w:rPr>
              <w:t>（3）地表水：</w:t>
            </w:r>
            <w:r>
              <w:rPr>
                <w:color w:val="auto"/>
              </w:rPr>
              <w:t>监测结果表明，污水处理厂排口上下游pH、COD、</w:t>
            </w:r>
            <w:r>
              <w:rPr>
                <w:rFonts w:hint="eastAsia"/>
                <w:color w:val="auto"/>
              </w:rPr>
              <w:t>氨氮、</w:t>
            </w:r>
            <w:r>
              <w:rPr>
                <w:color w:val="auto"/>
              </w:rPr>
              <w:t>BOD</w:t>
            </w:r>
            <w:r>
              <w:rPr>
                <w:color w:val="auto"/>
                <w:vertAlign w:val="subscript"/>
              </w:rPr>
              <w:t>5</w:t>
            </w:r>
            <w:r>
              <w:rPr>
                <w:rFonts w:hint="eastAsia"/>
                <w:color w:val="auto"/>
              </w:rPr>
              <w:t>、总磷均能达到</w:t>
            </w:r>
            <w:r>
              <w:rPr>
                <w:color w:val="auto"/>
              </w:rPr>
              <w:t>《地</w:t>
            </w:r>
            <w:r>
              <w:rPr>
                <w:rFonts w:hint="eastAsia"/>
                <w:color w:val="auto"/>
              </w:rPr>
              <w:t>表</w:t>
            </w:r>
            <w:r>
              <w:rPr>
                <w:color w:val="auto"/>
              </w:rPr>
              <w:t>水环境质量标准》（GB</w:t>
            </w:r>
            <w:r>
              <w:rPr>
                <w:rFonts w:hint="eastAsia"/>
                <w:color w:val="auto"/>
              </w:rPr>
              <w:t>3838</w:t>
            </w:r>
            <w:r>
              <w:rPr>
                <w:color w:val="auto"/>
              </w:rPr>
              <w:t>-</w:t>
            </w:r>
            <w:r>
              <w:rPr>
                <w:rFonts w:hint="eastAsia"/>
                <w:color w:val="auto"/>
              </w:rPr>
              <w:t>2002</w:t>
            </w:r>
            <w:r>
              <w:rPr>
                <w:color w:val="auto"/>
              </w:rPr>
              <w:t>）中</w:t>
            </w:r>
            <w:r>
              <w:rPr>
                <w:rFonts w:hint="eastAsia"/>
                <w:color w:val="auto"/>
              </w:rPr>
              <w:t>Ⅲ</w:t>
            </w:r>
            <w:r>
              <w:rPr>
                <w:color w:val="auto"/>
              </w:rPr>
              <w:t>类水域标准限值要求</w:t>
            </w:r>
            <w:r>
              <w:rPr>
                <w:rFonts w:hint="eastAsia"/>
                <w:color w:val="auto"/>
              </w:rPr>
              <w:t>。</w:t>
            </w:r>
          </w:p>
          <w:p>
            <w:pPr>
              <w:pStyle w:val="47"/>
              <w:adjustRightInd/>
              <w:snapToGrid/>
              <w:spacing w:after="0" w:line="360" w:lineRule="auto"/>
              <w:ind w:firstLine="480"/>
              <w:contextualSpacing/>
              <w:rPr>
                <w:rFonts w:hint="eastAsia"/>
                <w:color w:val="auto"/>
              </w:rPr>
            </w:pPr>
            <w:r>
              <w:rPr>
                <w:color w:val="auto"/>
              </w:rPr>
              <w:t>（</w:t>
            </w:r>
            <w:r>
              <w:rPr>
                <w:rFonts w:hint="eastAsia"/>
                <w:color w:val="auto"/>
              </w:rPr>
              <w:t>4</w:t>
            </w:r>
            <w:r>
              <w:rPr>
                <w:color w:val="auto"/>
              </w:rPr>
              <w:t>）生态环境：项目用地性质为</w:t>
            </w:r>
            <w:r>
              <w:rPr>
                <w:rFonts w:hint="eastAsia"/>
                <w:color w:val="auto"/>
              </w:rPr>
              <w:t>商业</w:t>
            </w:r>
            <w:r>
              <w:rPr>
                <w:color w:val="auto"/>
              </w:rPr>
              <w:t>用地，项目场址附近无需要特殊保护的植物和动物。</w:t>
            </w:r>
          </w:p>
          <w:p>
            <w:pPr>
              <w:pStyle w:val="47"/>
              <w:widowControl w:val="0"/>
              <w:adjustRightInd/>
              <w:snapToGrid/>
              <w:spacing w:after="0" w:line="360" w:lineRule="auto"/>
              <w:ind w:firstLine="482"/>
              <w:contextualSpacing/>
              <w:rPr>
                <w:rFonts w:hint="eastAsia"/>
                <w:color w:val="auto"/>
              </w:rPr>
            </w:pPr>
            <w:r>
              <w:rPr>
                <w:rFonts w:hint="eastAsia"/>
                <w:color w:val="auto"/>
              </w:rPr>
              <w:t>（5）地下水：</w:t>
            </w:r>
            <w:r>
              <w:rPr>
                <w:color w:val="auto"/>
              </w:rPr>
              <w:t>pH</w:t>
            </w:r>
            <w:r>
              <w:rPr>
                <w:rFonts w:hint="eastAsia"/>
                <w:color w:val="auto"/>
              </w:rPr>
              <w:t>、耗氧量、氨氮（</w:t>
            </w:r>
            <w:r>
              <w:rPr>
                <w:color w:val="auto"/>
              </w:rPr>
              <w:t>NH</w:t>
            </w:r>
            <w:r>
              <w:rPr>
                <w:color w:val="auto"/>
                <w:vertAlign w:val="subscript"/>
              </w:rPr>
              <w:t>3</w:t>
            </w:r>
            <w:r>
              <w:rPr>
                <w:color w:val="auto"/>
              </w:rPr>
              <w:t>-N</w:t>
            </w:r>
            <w:r>
              <w:rPr>
                <w:rFonts w:hint="eastAsia"/>
                <w:color w:val="auto"/>
              </w:rPr>
              <w:t>）单项指数均＜</w:t>
            </w:r>
            <w:r>
              <w:rPr>
                <w:color w:val="auto"/>
              </w:rPr>
              <w:t>1</w:t>
            </w:r>
            <w:r>
              <w:rPr>
                <w:rFonts w:hint="eastAsia"/>
                <w:color w:val="auto"/>
              </w:rPr>
              <w:t>，各水质监测指标能满足《地下水质量标准》（</w:t>
            </w:r>
            <w:r>
              <w:rPr>
                <w:color w:val="auto"/>
              </w:rPr>
              <w:t>GB/T14848-2017</w:t>
            </w:r>
            <w:r>
              <w:rPr>
                <w:rFonts w:hint="eastAsia"/>
                <w:color w:val="auto"/>
              </w:rPr>
              <w:t>）中Ⅲ类水域标准限值要求。</w:t>
            </w:r>
          </w:p>
          <w:p>
            <w:pPr>
              <w:pStyle w:val="47"/>
              <w:widowControl w:val="0"/>
              <w:adjustRightInd/>
              <w:snapToGrid/>
              <w:spacing w:after="0" w:line="360" w:lineRule="auto"/>
              <w:ind w:firstLine="482"/>
              <w:contextualSpacing/>
              <w:rPr>
                <w:b/>
                <w:color w:val="auto"/>
              </w:rPr>
            </w:pPr>
            <w:r>
              <w:rPr>
                <w:rFonts w:hint="eastAsia" w:ascii="宋体" w:hAnsi="宋体" w:cs="宋体"/>
                <w:b/>
                <w:color w:val="auto"/>
                <w:lang w:val="en-US" w:eastAsia="zh-CN"/>
              </w:rPr>
              <w:t>（六）</w:t>
            </w:r>
            <w:r>
              <w:rPr>
                <w:rFonts w:hint="eastAsia" w:ascii="宋体" w:hAnsi="宋体" w:cs="宋体"/>
                <w:b/>
                <w:color w:val="auto"/>
              </w:rPr>
              <w:t>环保措施及达标排放</w:t>
            </w:r>
          </w:p>
          <w:p>
            <w:pPr>
              <w:pStyle w:val="47"/>
              <w:adjustRightInd/>
              <w:snapToGrid/>
              <w:spacing w:after="0" w:line="360" w:lineRule="auto"/>
              <w:ind w:firstLine="480"/>
              <w:contextualSpacing/>
              <w:rPr>
                <w:rFonts w:hint="eastAsia"/>
                <w:color w:val="auto"/>
              </w:rPr>
            </w:pPr>
            <w:r>
              <w:rPr>
                <w:rFonts w:hint="eastAsia"/>
                <w:color w:val="auto"/>
              </w:rPr>
              <w:t>1、废水</w:t>
            </w:r>
          </w:p>
          <w:p>
            <w:pPr>
              <w:pStyle w:val="47"/>
              <w:adjustRightInd/>
              <w:snapToGrid/>
              <w:spacing w:after="0" w:line="360" w:lineRule="auto"/>
              <w:ind w:firstLine="480"/>
              <w:contextualSpacing/>
              <w:rPr>
                <w:rFonts w:hint="eastAsia"/>
                <w:color w:val="auto"/>
              </w:rPr>
            </w:pPr>
            <w:r>
              <w:rPr>
                <w:rFonts w:hint="eastAsia"/>
                <w:color w:val="auto"/>
              </w:rPr>
              <w:t>洗车废水经隔油沉淀+洗车废水回用设备处理后，部分回用于洗车，未回用的部分同生活污水一起</w:t>
            </w:r>
            <w:r>
              <w:rPr>
                <w:color w:val="auto"/>
              </w:rPr>
              <w:t>经</w:t>
            </w:r>
            <w:r>
              <w:rPr>
                <w:rFonts w:hint="eastAsia"/>
                <w:color w:val="auto"/>
              </w:rPr>
              <w:t>预处理池</w:t>
            </w:r>
            <w:r>
              <w:rPr>
                <w:color w:val="auto"/>
              </w:rPr>
              <w:t>处理</w:t>
            </w:r>
            <w:r>
              <w:rPr>
                <w:rFonts w:hint="eastAsia"/>
                <w:color w:val="auto"/>
              </w:rPr>
              <w:t>达到《污水综合排放标准》（GB8978-96）三级排放标准进入彭州市第一污水处理厂，提标改造完成前执行</w:t>
            </w:r>
            <w:r>
              <w:rPr>
                <w:color w:val="auto"/>
              </w:rPr>
              <w:t>《城镇污水处理厂污染物排放标准》（GB18918-2002）中一级A标准后</w:t>
            </w:r>
            <w:r>
              <w:rPr>
                <w:rFonts w:hint="eastAsia"/>
                <w:color w:val="auto"/>
              </w:rPr>
              <w:t>排入六支渠，待污水处理厂提标改造完成前执行</w:t>
            </w:r>
            <w:r>
              <w:rPr>
                <w:rFonts w:hAnsi="宋体"/>
                <w:color w:val="auto"/>
              </w:rPr>
              <w:t>《岷江、沱江流域水污染物排放标准》（</w:t>
            </w:r>
            <w:r>
              <w:rPr>
                <w:color w:val="auto"/>
              </w:rPr>
              <w:t>DB51/2311-2016</w:t>
            </w:r>
            <w:r>
              <w:rPr>
                <w:rFonts w:hAnsi="宋体"/>
                <w:color w:val="auto"/>
              </w:rPr>
              <w:t>）中城镇污水处理厂排放浓度限值，尾水排入六支渠</w:t>
            </w:r>
            <w:r>
              <w:rPr>
                <w:rFonts w:hint="eastAsia" w:hAnsi="宋体"/>
                <w:color w:val="auto"/>
              </w:rPr>
              <w:t>。</w:t>
            </w:r>
          </w:p>
          <w:p>
            <w:pPr>
              <w:pStyle w:val="47"/>
              <w:adjustRightInd/>
              <w:snapToGrid/>
              <w:spacing w:after="0" w:line="360" w:lineRule="auto"/>
              <w:ind w:firstLine="480"/>
              <w:contextualSpacing/>
              <w:rPr>
                <w:rFonts w:hint="eastAsia"/>
                <w:color w:val="auto"/>
              </w:rPr>
            </w:pPr>
            <w:r>
              <w:rPr>
                <w:rFonts w:hint="eastAsia"/>
                <w:color w:val="auto"/>
              </w:rPr>
              <w:t>初期雨水经环保沟处理至隔油池隔油后排入市政污水管网。</w:t>
            </w:r>
          </w:p>
          <w:p>
            <w:pPr>
              <w:pStyle w:val="47"/>
              <w:adjustRightInd/>
              <w:snapToGrid/>
              <w:spacing w:after="0" w:line="360" w:lineRule="auto"/>
              <w:ind w:firstLine="480"/>
              <w:contextualSpacing/>
              <w:rPr>
                <w:rFonts w:hint="eastAsia"/>
                <w:color w:val="auto"/>
              </w:rPr>
            </w:pPr>
            <w:r>
              <w:rPr>
                <w:rFonts w:hint="eastAsia"/>
                <w:color w:val="auto"/>
              </w:rPr>
              <w:t>2、废气</w:t>
            </w:r>
          </w:p>
          <w:p>
            <w:pPr>
              <w:pStyle w:val="47"/>
              <w:adjustRightInd/>
              <w:snapToGrid/>
              <w:spacing w:after="0" w:line="360" w:lineRule="auto"/>
              <w:ind w:firstLine="480"/>
              <w:contextualSpacing/>
              <w:rPr>
                <w:rFonts w:hint="eastAsia"/>
                <w:bCs/>
                <w:color w:val="auto"/>
              </w:rPr>
            </w:pPr>
            <w:r>
              <w:rPr>
                <w:color w:val="auto"/>
              </w:rPr>
              <w:t>项目运行过程中加油站一次油气回收阶段（即卸油油气回收系统）回收的油气运回储油库进行油气回收处理；二次油气回收阶段（即加油油气回收系统）回收的油气处理后返回储油罐重新利用</w:t>
            </w:r>
            <w:r>
              <w:rPr>
                <w:rFonts w:hint="eastAsia"/>
                <w:bCs/>
                <w:color w:val="auto"/>
              </w:rPr>
              <w:t>。</w:t>
            </w:r>
          </w:p>
          <w:p>
            <w:pPr>
              <w:pStyle w:val="47"/>
              <w:adjustRightInd/>
              <w:snapToGrid/>
              <w:spacing w:after="0" w:line="360" w:lineRule="auto"/>
              <w:ind w:firstLine="480"/>
              <w:contextualSpacing/>
              <w:rPr>
                <w:rFonts w:hint="eastAsia"/>
                <w:color w:val="auto"/>
              </w:rPr>
            </w:pPr>
            <w:r>
              <w:rPr>
                <w:rFonts w:hint="eastAsia"/>
                <w:color w:val="auto"/>
              </w:rPr>
              <w:t>机动车尾气通过自然扩散排放，且汽车启动时间较短，废气产生量小，对环境影响较小。</w:t>
            </w:r>
          </w:p>
          <w:p>
            <w:pPr>
              <w:pStyle w:val="47"/>
              <w:adjustRightInd/>
              <w:snapToGrid/>
              <w:spacing w:after="0" w:line="360" w:lineRule="auto"/>
              <w:ind w:firstLine="480"/>
              <w:contextualSpacing/>
              <w:rPr>
                <w:rFonts w:hint="eastAsia"/>
                <w:bCs/>
                <w:color w:val="auto"/>
              </w:rPr>
            </w:pPr>
            <w:r>
              <w:rPr>
                <w:rFonts w:hint="eastAsia"/>
                <w:color w:val="auto"/>
              </w:rPr>
              <w:t>发电机采用0#柴油作为燃料，0#柴油属清洁能源，其燃油产生的废气污染物量较少，且发电机使用频率较低，每年最多使用十余天，发电机废气经烟气处理装置处理后由排烟管口伸出屋顶排放，对大气环境影响较小。</w:t>
            </w:r>
          </w:p>
          <w:p>
            <w:pPr>
              <w:pStyle w:val="47"/>
              <w:adjustRightInd/>
              <w:snapToGrid/>
              <w:spacing w:after="0" w:line="360" w:lineRule="auto"/>
              <w:ind w:firstLine="480"/>
              <w:contextualSpacing/>
              <w:rPr>
                <w:rFonts w:hint="eastAsia"/>
                <w:bCs/>
                <w:color w:val="auto"/>
              </w:rPr>
            </w:pPr>
            <w:r>
              <w:rPr>
                <w:rFonts w:hint="eastAsia"/>
                <w:bCs/>
                <w:color w:val="auto"/>
              </w:rPr>
              <w:t>3、噪声</w:t>
            </w:r>
          </w:p>
          <w:p>
            <w:pPr>
              <w:pStyle w:val="47"/>
              <w:adjustRightInd/>
              <w:snapToGrid/>
              <w:spacing w:after="0" w:line="360" w:lineRule="auto"/>
              <w:ind w:firstLine="480"/>
              <w:contextualSpacing/>
              <w:rPr>
                <w:rFonts w:hint="eastAsia"/>
                <w:color w:val="auto"/>
              </w:rPr>
            </w:pPr>
            <w:r>
              <w:rPr>
                <w:color w:val="auto"/>
              </w:rPr>
              <w:t>设备噪声经过加固减震、距离衰减和围墙隔声后厂界</w:t>
            </w:r>
            <w:r>
              <w:rPr>
                <w:rFonts w:hint="eastAsia"/>
                <w:color w:val="auto"/>
              </w:rPr>
              <w:t>（北、东、西）</w:t>
            </w:r>
            <w:r>
              <w:rPr>
                <w:color w:val="auto"/>
              </w:rPr>
              <w:t>噪声能达到《工业企业厂界环境噪声排放标准》（GB12348-2008）的</w:t>
            </w:r>
            <w:r>
              <w:rPr>
                <w:rFonts w:hint="eastAsia"/>
                <w:color w:val="auto"/>
              </w:rPr>
              <w:t>2</w:t>
            </w:r>
            <w:r>
              <w:rPr>
                <w:color w:val="auto"/>
              </w:rPr>
              <w:t>类</w:t>
            </w:r>
            <w:r>
              <w:rPr>
                <w:rFonts w:hint="eastAsia"/>
                <w:color w:val="auto"/>
              </w:rPr>
              <w:t>、南侧能达到4类标</w:t>
            </w:r>
            <w:r>
              <w:rPr>
                <w:color w:val="auto"/>
              </w:rPr>
              <w:t>准要求</w:t>
            </w:r>
            <w:r>
              <w:rPr>
                <w:rFonts w:hint="eastAsia"/>
                <w:color w:val="auto"/>
              </w:rPr>
              <w:t>，且不会对周边环境产生噪声污染影响</w:t>
            </w:r>
            <w:r>
              <w:rPr>
                <w:color w:val="auto"/>
              </w:rPr>
              <w:t>。</w:t>
            </w:r>
          </w:p>
          <w:p>
            <w:pPr>
              <w:pStyle w:val="47"/>
              <w:adjustRightInd/>
              <w:snapToGrid/>
              <w:spacing w:after="0" w:line="360" w:lineRule="auto"/>
              <w:ind w:firstLine="480"/>
              <w:contextualSpacing/>
              <w:rPr>
                <w:rFonts w:hint="eastAsia"/>
                <w:color w:val="auto"/>
              </w:rPr>
            </w:pPr>
            <w:r>
              <w:rPr>
                <w:rFonts w:hint="eastAsia"/>
                <w:color w:val="auto"/>
              </w:rPr>
              <w:t>4、固废</w:t>
            </w:r>
          </w:p>
          <w:p>
            <w:pPr>
              <w:pStyle w:val="47"/>
              <w:adjustRightInd/>
              <w:snapToGrid/>
              <w:spacing w:after="0" w:line="360" w:lineRule="auto"/>
              <w:ind w:firstLine="480"/>
              <w:contextualSpacing/>
              <w:rPr>
                <w:rFonts w:hint="eastAsia"/>
                <w:color w:val="auto"/>
              </w:rPr>
            </w:pPr>
            <w:r>
              <w:rPr>
                <w:rFonts w:hint="eastAsia"/>
                <w:color w:val="auto"/>
              </w:rPr>
              <w:t>生活垃圾统一清运至垃圾环卫点，由当地环卫部门收集处理；预处理池半年清掏一次，由环卫部门清运处理。隔油池浮油/污泥、油罐清洗油渣、废含油擦拭物及消防沙、石英砂</w:t>
            </w:r>
            <w:r>
              <w:rPr>
                <w:color w:val="auto"/>
              </w:rPr>
              <w:t>属于危废，交由有危废处理资质的单位处理</w:t>
            </w:r>
            <w:r>
              <w:rPr>
                <w:rFonts w:hint="eastAsia"/>
                <w:color w:val="auto"/>
              </w:rPr>
              <w:t>）</w:t>
            </w:r>
            <w:r>
              <w:rPr>
                <w:color w:val="auto"/>
              </w:rPr>
              <w:t>。</w:t>
            </w:r>
          </w:p>
          <w:p>
            <w:pPr>
              <w:pStyle w:val="47"/>
              <w:adjustRightInd/>
              <w:snapToGrid/>
              <w:spacing w:after="0" w:line="360" w:lineRule="auto"/>
              <w:ind w:firstLine="528"/>
              <w:contextualSpacing/>
              <w:rPr>
                <w:rFonts w:hint="eastAsia"/>
                <w:color w:val="auto"/>
              </w:rPr>
            </w:pPr>
            <w:r>
              <w:rPr>
                <w:color w:val="auto"/>
                <w:spacing w:val="12"/>
              </w:rPr>
              <w:t>通过对固废的分类收集、处理与处置，能够有效防止本项目产生的固体废物对环境造成影响</w:t>
            </w:r>
            <w:r>
              <w:rPr>
                <w:color w:val="auto"/>
              </w:rPr>
              <w:t>。</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right="0" w:rightChars="0" w:firstLine="482" w:firstLineChars="200"/>
              <w:jc w:val="both"/>
              <w:textAlignment w:val="auto"/>
              <w:outlineLvl w:val="9"/>
              <w:rPr>
                <w:rFonts w:hint="eastAsia" w:ascii="Times New Roman" w:hAnsi="Times New Roman" w:eastAsia="宋体" w:cs="Times New Roman"/>
                <w:sz w:val="24"/>
                <w:szCs w:val="24"/>
                <w:lang w:val="en-US" w:eastAsia="zh-CN" w:bidi="ar-SA"/>
              </w:rPr>
            </w:pPr>
            <w:r>
              <w:rPr>
                <w:b/>
                <w:color w:val="auto"/>
              </w:rPr>
              <w:t>综上</w:t>
            </w:r>
            <w:r>
              <w:rPr>
                <w:rFonts w:hint="eastAsia"/>
                <w:b/>
                <w:color w:val="auto"/>
              </w:rPr>
              <w:t>，</w:t>
            </w:r>
            <w:r>
              <w:rPr>
                <w:b/>
                <w:color w:val="auto"/>
              </w:rPr>
              <w:t>各类污染物均能做到达标排放。</w:t>
            </w:r>
          </w:p>
          <w:p>
            <w:pPr>
              <w:pStyle w:val="47"/>
              <w:widowControl w:val="0"/>
              <w:adjustRightInd/>
              <w:snapToGrid/>
              <w:spacing w:after="0" w:line="360" w:lineRule="auto"/>
              <w:ind w:firstLine="482"/>
              <w:contextualSpacing/>
              <w:rPr>
                <w:b/>
                <w:color w:val="auto"/>
              </w:rPr>
            </w:pPr>
            <w:r>
              <w:rPr>
                <w:rFonts w:hint="eastAsia" w:ascii="宋体" w:hAnsi="宋体" w:cs="宋体"/>
                <w:b/>
                <w:color w:val="auto"/>
              </w:rPr>
              <w:t>（七）总量控制</w:t>
            </w:r>
          </w:p>
          <w:p>
            <w:pPr>
              <w:pStyle w:val="47"/>
              <w:adjustRightInd/>
              <w:snapToGrid/>
              <w:spacing w:after="0" w:line="360" w:lineRule="auto"/>
              <w:ind w:firstLine="480"/>
              <w:contextualSpacing/>
              <w:rPr>
                <w:rFonts w:hint="eastAsia"/>
                <w:color w:val="auto"/>
              </w:rPr>
            </w:pPr>
            <w:r>
              <w:rPr>
                <w:rFonts w:hint="eastAsia"/>
                <w:color w:val="auto"/>
              </w:rPr>
              <w:t>废水污染物：</w:t>
            </w:r>
          </w:p>
          <w:p>
            <w:pPr>
              <w:pStyle w:val="47"/>
              <w:adjustRightInd/>
              <w:snapToGrid/>
              <w:spacing w:after="0" w:line="360" w:lineRule="auto"/>
              <w:ind w:firstLine="480"/>
              <w:contextualSpacing/>
              <w:rPr>
                <w:rFonts w:hint="eastAsia"/>
                <w:color w:val="auto"/>
              </w:rPr>
            </w:pPr>
            <w:r>
              <w:rPr>
                <w:rFonts w:hint="eastAsia"/>
                <w:color w:val="auto"/>
              </w:rPr>
              <w:t>建议本项目总量控制指标为COD、NH</w:t>
            </w:r>
            <w:r>
              <w:rPr>
                <w:rFonts w:hint="eastAsia"/>
                <w:color w:val="auto"/>
                <w:vertAlign w:val="subscript"/>
              </w:rPr>
              <w:t>3</w:t>
            </w:r>
            <w:r>
              <w:rPr>
                <w:rFonts w:hint="eastAsia"/>
                <w:color w:val="auto"/>
              </w:rPr>
              <w:t>-N和TP，建议总量控制指标如下：</w:t>
            </w:r>
          </w:p>
          <w:p>
            <w:pPr>
              <w:pStyle w:val="47"/>
              <w:adjustRightInd/>
              <w:snapToGrid/>
              <w:spacing w:after="0" w:line="360" w:lineRule="auto"/>
              <w:ind w:firstLine="480"/>
              <w:contextualSpacing/>
              <w:rPr>
                <w:rFonts w:hint="eastAsia"/>
                <w:color w:val="auto"/>
              </w:rPr>
            </w:pPr>
            <w:r>
              <w:rPr>
                <w:rFonts w:hint="eastAsia"/>
                <w:color w:val="auto"/>
              </w:rPr>
              <w:t>预处理池排口：COD：0.4672t/a、NH</w:t>
            </w:r>
            <w:r>
              <w:rPr>
                <w:rFonts w:hint="eastAsia"/>
                <w:color w:val="auto"/>
                <w:vertAlign w:val="subscript"/>
              </w:rPr>
              <w:t>3</w:t>
            </w:r>
            <w:r>
              <w:rPr>
                <w:rFonts w:hint="eastAsia"/>
                <w:color w:val="auto"/>
              </w:rPr>
              <w:t>-N：0.042t/a、TP：0.0075t/a。</w:t>
            </w:r>
          </w:p>
          <w:p>
            <w:pPr>
              <w:pStyle w:val="47"/>
              <w:adjustRightInd/>
              <w:snapToGrid/>
              <w:spacing w:after="0" w:line="360" w:lineRule="auto"/>
              <w:ind w:firstLine="480"/>
              <w:contextualSpacing/>
              <w:rPr>
                <w:color w:val="auto"/>
              </w:rPr>
            </w:pPr>
            <w:r>
              <w:rPr>
                <w:rFonts w:hint="eastAsia"/>
                <w:color w:val="auto"/>
              </w:rPr>
              <w:t>污水处理厂排口：COD：0.0467t/a、NH</w:t>
            </w:r>
            <w:r>
              <w:rPr>
                <w:rFonts w:hint="eastAsia"/>
                <w:color w:val="auto"/>
                <w:vertAlign w:val="subscript"/>
              </w:rPr>
              <w:t>3</w:t>
            </w:r>
            <w:r>
              <w:rPr>
                <w:rFonts w:hint="eastAsia"/>
                <w:color w:val="auto"/>
              </w:rPr>
              <w:t>-N：0.0047t/a、TP：</w:t>
            </w:r>
            <w:r>
              <w:rPr>
                <w:rFonts w:hint="eastAsia"/>
                <w:color w:val="auto"/>
                <w:szCs w:val="21"/>
              </w:rPr>
              <w:t>0.0005</w:t>
            </w:r>
            <w:r>
              <w:rPr>
                <w:rFonts w:hint="eastAsia"/>
                <w:color w:val="auto"/>
              </w:rPr>
              <w:t>t/a。</w:t>
            </w:r>
          </w:p>
          <w:p>
            <w:pPr>
              <w:pStyle w:val="47"/>
              <w:widowControl w:val="0"/>
              <w:adjustRightInd/>
              <w:snapToGrid/>
              <w:spacing w:after="0" w:line="360" w:lineRule="auto"/>
              <w:ind w:firstLine="482"/>
              <w:contextualSpacing/>
              <w:rPr>
                <w:b/>
                <w:color w:val="auto"/>
              </w:rPr>
            </w:pPr>
            <w:r>
              <w:rPr>
                <w:rFonts w:hint="eastAsia" w:ascii="宋体" w:hAnsi="宋体" w:cs="宋体"/>
                <w:b/>
                <w:color w:val="auto"/>
              </w:rPr>
              <w:t>（八）环境风险评价结论</w:t>
            </w:r>
          </w:p>
          <w:p>
            <w:pPr>
              <w:pStyle w:val="47"/>
              <w:adjustRightInd/>
              <w:snapToGrid/>
              <w:spacing w:after="0" w:line="360" w:lineRule="auto"/>
              <w:ind w:firstLine="480"/>
              <w:contextualSpacing/>
              <w:rPr>
                <w:color w:val="auto"/>
              </w:rPr>
            </w:pPr>
            <w:r>
              <w:rPr>
                <w:color w:val="auto"/>
              </w:rPr>
              <w:t>本项目环境风险主要是油品泄漏产生</w:t>
            </w:r>
            <w:r>
              <w:rPr>
                <w:rFonts w:hint="eastAsia"/>
                <w:color w:val="auto"/>
              </w:rPr>
              <w:t>、</w:t>
            </w:r>
            <w:r>
              <w:rPr>
                <w:color w:val="auto"/>
              </w:rPr>
              <w:t>站内爆炸及火灾事故。针对本项目存在的各类事故风险，提出相关预防及应急措施，在严格落实这些措施，加强生产管理的情况下，可有效避免或降低项目带来的环境风险。项目的风险水平是可接受的。</w:t>
            </w:r>
          </w:p>
          <w:p>
            <w:pPr>
              <w:pStyle w:val="47"/>
              <w:widowControl w:val="0"/>
              <w:adjustRightInd/>
              <w:snapToGrid/>
              <w:spacing w:after="0" w:line="360" w:lineRule="auto"/>
              <w:ind w:firstLine="482"/>
              <w:contextualSpacing/>
              <w:rPr>
                <w:b/>
                <w:color w:val="auto"/>
              </w:rPr>
            </w:pPr>
            <w:r>
              <w:rPr>
                <w:rFonts w:hint="eastAsia" w:ascii="宋体" w:hAnsi="宋体" w:cs="宋体"/>
                <w:b/>
                <w:color w:val="auto"/>
              </w:rPr>
              <w:t>（九）项目环保可行性综合结论</w:t>
            </w:r>
          </w:p>
          <w:p>
            <w:pPr>
              <w:pStyle w:val="47"/>
              <w:adjustRightInd/>
              <w:snapToGrid/>
              <w:spacing w:after="0" w:line="360" w:lineRule="auto"/>
              <w:ind w:firstLine="480"/>
              <w:contextualSpacing/>
              <w:rPr>
                <w:rFonts w:hint="eastAsia"/>
                <w:color w:val="auto"/>
              </w:rPr>
            </w:pPr>
            <w:r>
              <w:rPr>
                <w:color w:val="auto"/>
              </w:rPr>
              <w:t>项目符合国家产业政策，项目选址和用地符合规划，</w:t>
            </w:r>
            <w:r>
              <w:rPr>
                <w:rFonts w:hint="eastAsia"/>
                <w:color w:val="auto"/>
              </w:rPr>
              <w:t>项目选址合理，周边无明显的环境制约因素，废气、污水、噪声、固废拟采取的污染防治措施技术可靠、经济可行。只要项目认真落实本报告中提出的各项污染防治对策措施，保证环境保护措施的有效运行，确保污染物稳定达标排放并确保项目营运不扰民，同时严格执行环评中提出的环境风险防范要求，从环境角度而言，本项目在此建设是可行的</w:t>
            </w:r>
            <w:r>
              <w:rPr>
                <w:color w:val="auto"/>
              </w:rPr>
              <w:t>。</w:t>
            </w:r>
          </w:p>
          <w:p>
            <w:pPr>
              <w:pStyle w:val="47"/>
              <w:widowControl w:val="0"/>
              <w:adjustRightInd/>
              <w:snapToGrid/>
              <w:spacing w:after="0" w:line="360" w:lineRule="auto"/>
              <w:ind w:left="0" w:leftChars="0" w:firstLine="0" w:firstLineChars="0"/>
              <w:contextualSpacing/>
              <w:rPr>
                <w:rFonts w:hint="eastAsia" w:ascii="宋体" w:hAnsi="宋体" w:eastAsia="宋体" w:cs="宋体"/>
                <w:b/>
                <w:color w:val="auto"/>
                <w:lang w:eastAsia="zh-CN"/>
              </w:rPr>
            </w:pPr>
            <w:r>
              <w:rPr>
                <w:rFonts w:hint="eastAsia" w:ascii="宋体" w:hAnsi="宋体" w:cs="宋体"/>
                <w:b/>
                <w:color w:val="auto"/>
                <w:lang w:eastAsia="zh-CN"/>
              </w:rPr>
              <w:t>二、</w:t>
            </w:r>
            <w:r>
              <w:rPr>
                <w:rFonts w:hint="eastAsia" w:ascii="宋体" w:hAnsi="宋体" w:cs="宋体"/>
                <w:b/>
                <w:color w:val="auto"/>
              </w:rPr>
              <w:t>要求及建议</w:t>
            </w:r>
            <w:r>
              <w:rPr>
                <w:rFonts w:hint="eastAsia" w:ascii="宋体" w:hAnsi="宋体" w:cs="宋体"/>
                <w:b/>
                <w:color w:val="auto"/>
                <w:lang w:eastAsia="zh-CN"/>
              </w:rPr>
              <w:t>：</w:t>
            </w:r>
          </w:p>
          <w:p>
            <w:pPr>
              <w:pStyle w:val="47"/>
              <w:adjustRightInd/>
              <w:snapToGrid/>
              <w:spacing w:after="0" w:line="360" w:lineRule="auto"/>
              <w:ind w:firstLine="480"/>
              <w:contextualSpacing/>
              <w:rPr>
                <w:color w:val="auto"/>
              </w:rPr>
            </w:pPr>
            <w:r>
              <w:rPr>
                <w:rFonts w:hint="eastAsia"/>
                <w:color w:val="auto"/>
              </w:rPr>
              <w:t>（1）</w:t>
            </w:r>
            <w:r>
              <w:rPr>
                <w:color w:val="auto"/>
              </w:rPr>
              <w:t>认真落实报告表中提出的各项环保措施。</w:t>
            </w:r>
          </w:p>
          <w:p>
            <w:pPr>
              <w:pStyle w:val="47"/>
              <w:adjustRightInd/>
              <w:snapToGrid/>
              <w:spacing w:after="0" w:line="360" w:lineRule="auto"/>
              <w:ind w:firstLine="480"/>
              <w:contextualSpacing/>
              <w:rPr>
                <w:color w:val="auto"/>
              </w:rPr>
            </w:pPr>
            <w:r>
              <w:rPr>
                <w:rFonts w:hint="eastAsia"/>
                <w:color w:val="auto"/>
              </w:rPr>
              <w:t>（2）</w:t>
            </w:r>
            <w:r>
              <w:rPr>
                <w:color w:val="auto"/>
              </w:rPr>
              <w:t>落实环保资金，以实施治污措施，实现污染物达标排放。</w:t>
            </w:r>
          </w:p>
          <w:p>
            <w:pPr>
              <w:pStyle w:val="47"/>
              <w:adjustRightInd/>
              <w:snapToGrid/>
              <w:spacing w:after="0" w:line="360" w:lineRule="auto"/>
              <w:ind w:firstLine="480"/>
              <w:contextualSpacing/>
              <w:rPr>
                <w:color w:val="auto"/>
              </w:rPr>
            </w:pPr>
            <w:r>
              <w:rPr>
                <w:rFonts w:hint="eastAsia"/>
                <w:color w:val="auto"/>
              </w:rPr>
              <w:t>（3）</w:t>
            </w:r>
            <w:r>
              <w:rPr>
                <w:color w:val="auto"/>
              </w:rPr>
              <w:t>企业应认真执行国家和地方的各项环保法规和要求，明确站内环保机构的主要职责，建立健全各项规章制度。</w:t>
            </w:r>
          </w:p>
          <w:p>
            <w:pPr>
              <w:pStyle w:val="47"/>
              <w:adjustRightInd/>
              <w:snapToGrid/>
              <w:spacing w:after="0" w:line="360" w:lineRule="auto"/>
              <w:ind w:firstLine="480"/>
              <w:contextualSpacing/>
              <w:rPr>
                <w:color w:val="auto"/>
              </w:rPr>
            </w:pPr>
            <w:r>
              <w:rPr>
                <w:rFonts w:hint="eastAsia"/>
                <w:color w:val="auto"/>
              </w:rPr>
              <w:t>（4）</w:t>
            </w:r>
            <w:r>
              <w:rPr>
                <w:color w:val="auto"/>
              </w:rPr>
              <w:t>加</w:t>
            </w:r>
            <w:r>
              <w:rPr>
                <w:rFonts w:hint="eastAsia"/>
                <w:color w:val="auto"/>
              </w:rPr>
              <w:t>油</w:t>
            </w:r>
            <w:r>
              <w:rPr>
                <w:color w:val="auto"/>
              </w:rPr>
              <w:t>站内可种植草坪、设置花坛，但不得种植油性植物。</w:t>
            </w:r>
          </w:p>
          <w:p>
            <w:pPr>
              <w:pStyle w:val="47"/>
              <w:adjustRightInd/>
              <w:snapToGrid/>
              <w:spacing w:after="0" w:line="360" w:lineRule="auto"/>
              <w:ind w:firstLine="480"/>
              <w:contextualSpacing/>
              <w:rPr>
                <w:color w:val="auto"/>
              </w:rPr>
            </w:pPr>
            <w:r>
              <w:rPr>
                <w:rFonts w:hint="eastAsia"/>
                <w:color w:val="auto"/>
              </w:rPr>
              <w:t>（5）</w:t>
            </w:r>
            <w:r>
              <w:rPr>
                <w:color w:val="auto"/>
              </w:rPr>
              <w:t>进一步加强对职工环境保护和消防的宣传教育工作，提高全体员工的环保意识，做到环境保护、安全生产人人有责，并落实到每个员工身上。</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color w:val="000000" w:themeColor="text1"/>
                <w:sz w:val="24"/>
                <w:szCs w:val="24"/>
                <w14:textFill>
                  <w14:solidFill>
                    <w14:schemeClr w14:val="tx1"/>
                  </w14:solidFill>
                </w14:textFill>
              </w:rPr>
            </w:pPr>
            <w:r>
              <w:rPr>
                <w:rFonts w:hint="eastAsia"/>
                <w:color w:val="auto"/>
              </w:rPr>
              <w:t>（6）</w:t>
            </w:r>
            <w:r>
              <w:rPr>
                <w:color w:val="auto"/>
              </w:rPr>
              <w:t>今后</w:t>
            </w:r>
            <w:r>
              <w:rPr>
                <w:rFonts w:hint="eastAsia"/>
                <w:color w:val="auto"/>
              </w:rPr>
              <w:t>项目周边</w:t>
            </w:r>
            <w:r>
              <w:rPr>
                <w:color w:val="auto"/>
              </w:rPr>
              <w:t>所规划建设的建筑物应严格按照《汽车加油加气站设计与施工规范》要求，与本项目站内设置保持足够的安全距离</w:t>
            </w:r>
            <w:r>
              <w:rPr>
                <w:rFonts w:hint="eastAsia" w:ascii="Times New Roman" w:hAnsi="Times New Roman"/>
                <w:color w:val="000000" w:themeColor="text1"/>
                <w:sz w:val="24"/>
                <w:szCs w:val="24"/>
                <w14:textFill>
                  <w14:solidFill>
                    <w14:schemeClr w14:val="tx1"/>
                  </w14:solidFill>
                </w14:textFill>
              </w:rPr>
              <w:t>。</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eastAsia"/>
                <w:b/>
                <w:bCs w:val="0"/>
                <w:color w:val="auto"/>
                <w:sz w:val="24"/>
                <w:szCs w:val="24"/>
                <w:lang w:val="en-US" w:eastAsia="zh-CN"/>
              </w:rPr>
            </w:pPr>
            <w:r>
              <w:rPr>
                <w:rFonts w:hint="eastAsia"/>
                <w:b/>
                <w:bCs w:val="0"/>
                <w:color w:val="auto"/>
                <w:sz w:val="24"/>
                <w:szCs w:val="24"/>
                <w:lang w:val="en-US" w:eastAsia="zh-CN"/>
              </w:rPr>
              <w:t>9、环评批复</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彭州市天彭镇农机管理服务站：</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eastAsia"/>
                <w:lang w:val="en-US" w:eastAsia="zh-CN"/>
              </w:rPr>
              <w:t>你单位报送的位于彭州市天彭镇先锋村十组的《彭州市天彭镇农机管理服务站加油站设施设备改造环境影响报告表》（报批本）及专家技术审查意见收悉。经审查，现批复如下：</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项目符合国家产业政策，《报告表》已经通过专家技术评审，所提各项环保措施能够满足污染防治要求，可作为执行</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制度的依据，同意按审查批准的设计进行建设</w:t>
            </w:r>
            <w:r>
              <w:rPr>
                <w:rFonts w:hint="eastAsia"/>
                <w:lang w:val="en-US" w:eastAsia="zh-CN"/>
              </w:rPr>
              <w:t>。</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项目总投资150元，其中环保投资20.6万元。彭州市天彭镇农机管理服务站始建于2000年，位于彭州市天彭镇先锋村十组，为三级加油站，为满足加油站安全生产和环保要求</w:t>
            </w:r>
            <w:r>
              <w:rPr>
                <w:rFonts w:hint="eastAsia"/>
                <w:lang w:val="en-US" w:eastAsia="zh-CN"/>
              </w:rPr>
              <w:t>，</w:t>
            </w:r>
            <w:r>
              <w:rPr>
                <w:rFonts w:hint="default"/>
                <w:lang w:val="en-US" w:eastAsia="zh-CN"/>
              </w:rPr>
              <w:t>2017年于现有用地范围内实施了</w:t>
            </w:r>
            <w:r>
              <w:rPr>
                <w:rFonts w:hint="eastAsia"/>
                <w:lang w:val="en-US" w:eastAsia="zh-CN"/>
              </w:rPr>
              <w:t>“</w:t>
            </w:r>
            <w:r>
              <w:rPr>
                <w:rFonts w:hint="default"/>
                <w:lang w:val="en-US" w:eastAsia="zh-CN"/>
              </w:rPr>
              <w:t>加油站设施设备改造</w:t>
            </w:r>
            <w:r>
              <w:rPr>
                <w:rFonts w:hint="eastAsia"/>
                <w:lang w:val="en-US" w:eastAsia="zh-CN"/>
              </w:rPr>
              <w:t>”</w:t>
            </w:r>
            <w:r>
              <w:rPr>
                <w:rFonts w:hint="default"/>
                <w:lang w:val="en-US" w:eastAsia="zh-CN"/>
              </w:rPr>
              <w:t>项目的建设，主要将单层油罐更换为双层油罐，并完善其他辅助配套设施</w:t>
            </w:r>
            <w:r>
              <w:rPr>
                <w:rFonts w:hint="eastAsia"/>
                <w:lang w:val="en-US" w:eastAsia="zh-CN"/>
              </w:rPr>
              <w:t>，</w:t>
            </w:r>
            <w:r>
              <w:rPr>
                <w:rFonts w:hint="default"/>
                <w:lang w:val="en-US" w:eastAsia="zh-CN"/>
              </w:rPr>
              <w:t>项目改造完成后</w:t>
            </w:r>
            <w:r>
              <w:rPr>
                <w:rFonts w:hint="eastAsia"/>
                <w:lang w:val="en-US" w:eastAsia="zh-CN"/>
              </w:rPr>
              <w:t>，</w:t>
            </w:r>
            <w:r>
              <w:rPr>
                <w:rFonts w:hint="default"/>
                <w:lang w:val="en-US" w:eastAsia="zh-CN"/>
              </w:rPr>
              <w:t>设有3座SF双层油罐</w:t>
            </w:r>
            <w:r>
              <w:rPr>
                <w:rFonts w:hint="eastAsia"/>
                <w:lang w:val="en-US" w:eastAsia="zh-CN"/>
              </w:rPr>
              <w:t>（</w:t>
            </w:r>
            <w:r>
              <w:rPr>
                <w:rFonts w:hint="default"/>
                <w:lang w:val="en-US" w:eastAsia="zh-CN"/>
              </w:rPr>
              <w:t>0#柴油罐</w:t>
            </w:r>
            <w:r>
              <w:rPr>
                <w:rFonts w:hint="eastAsia"/>
                <w:lang w:val="en-US" w:eastAsia="zh-CN"/>
              </w:rPr>
              <w:t>（</w:t>
            </w:r>
            <w:r>
              <w:rPr>
                <w:rFonts w:hint="default"/>
                <w:lang w:val="en-US" w:eastAsia="zh-CN"/>
              </w:rPr>
              <w:t>30m</w:t>
            </w:r>
            <w:r>
              <w:rPr>
                <w:rFonts w:hint="default"/>
                <w:vertAlign w:val="superscript"/>
                <w:lang w:val="en-US" w:eastAsia="zh-CN"/>
              </w:rPr>
              <w:t>3</w:t>
            </w:r>
            <w:r>
              <w:rPr>
                <w:rFonts w:hint="eastAsia"/>
                <w:lang w:val="en-US" w:eastAsia="zh-CN"/>
              </w:rPr>
              <w:t>）</w:t>
            </w:r>
            <w:r>
              <w:rPr>
                <w:rFonts w:hint="default"/>
                <w:lang w:val="en-US" w:eastAsia="zh-CN"/>
              </w:rPr>
              <w:t>、92#汽油罐</w:t>
            </w:r>
            <w:r>
              <w:rPr>
                <w:rFonts w:hint="eastAsia"/>
                <w:lang w:val="en-US" w:eastAsia="zh-CN"/>
              </w:rPr>
              <w:t>（</w:t>
            </w:r>
            <w:r>
              <w:rPr>
                <w:rFonts w:hint="default"/>
                <w:lang w:val="en-US" w:eastAsia="zh-CN"/>
              </w:rPr>
              <w:t>30m</w:t>
            </w:r>
            <w:r>
              <w:rPr>
                <w:rFonts w:hint="default"/>
                <w:vertAlign w:val="superscript"/>
                <w:lang w:val="en-US" w:eastAsia="zh-CN"/>
              </w:rPr>
              <w:t>3</w:t>
            </w:r>
            <w:r>
              <w:rPr>
                <w:rFonts w:hint="eastAsia"/>
                <w:lang w:val="en-US" w:eastAsia="zh-CN"/>
              </w:rPr>
              <w:t>）</w:t>
            </w:r>
            <w:r>
              <w:rPr>
                <w:rFonts w:hint="default"/>
                <w:lang w:val="en-US" w:eastAsia="zh-CN"/>
              </w:rPr>
              <w:t>、95#汽油罐</w:t>
            </w:r>
            <w:r>
              <w:rPr>
                <w:rFonts w:hint="eastAsia"/>
                <w:lang w:val="en-US" w:eastAsia="zh-CN"/>
              </w:rPr>
              <w:t>（</w:t>
            </w:r>
            <w:r>
              <w:rPr>
                <w:rFonts w:hint="default"/>
                <w:lang w:val="en-US" w:eastAsia="zh-CN"/>
              </w:rPr>
              <w:t>30m</w:t>
            </w:r>
            <w:r>
              <w:rPr>
                <w:rFonts w:hint="default"/>
                <w:vertAlign w:val="superscript"/>
                <w:lang w:val="en-US" w:eastAsia="zh-CN"/>
              </w:rPr>
              <w:t>3</w:t>
            </w:r>
            <w:r>
              <w:rPr>
                <w:rFonts w:hint="eastAsia"/>
                <w:lang w:val="en-US" w:eastAsia="zh-CN"/>
              </w:rPr>
              <w:t>）</w:t>
            </w:r>
            <w:r>
              <w:rPr>
                <w:rFonts w:hint="default"/>
                <w:lang w:val="en-US" w:eastAsia="zh-CN"/>
              </w:rPr>
              <w:t>各1个</w:t>
            </w:r>
            <w:r>
              <w:rPr>
                <w:rFonts w:hint="eastAsia"/>
                <w:lang w:val="en-US" w:eastAsia="zh-CN"/>
              </w:rPr>
              <w:t>），</w:t>
            </w:r>
            <w:r>
              <w:rPr>
                <w:rFonts w:hint="default"/>
                <w:lang w:val="en-US" w:eastAsia="zh-CN"/>
              </w:rPr>
              <w:t>5座加油岛</w:t>
            </w:r>
            <w:r>
              <w:rPr>
                <w:rFonts w:hint="eastAsia"/>
                <w:lang w:val="en-US" w:eastAsia="zh-CN"/>
              </w:rPr>
              <w:t>（</w:t>
            </w:r>
            <w:r>
              <w:rPr>
                <w:rFonts w:hint="default"/>
                <w:lang w:val="en-US" w:eastAsia="zh-CN"/>
              </w:rPr>
              <w:t>配备5台2枪带油气回收加油机</w:t>
            </w:r>
            <w:r>
              <w:rPr>
                <w:rFonts w:hint="eastAsia"/>
                <w:lang w:val="en-US" w:eastAsia="zh-CN"/>
              </w:rPr>
              <w:t>）</w:t>
            </w:r>
            <w:r>
              <w:rPr>
                <w:rFonts w:hint="default"/>
                <w:lang w:val="en-US" w:eastAsia="zh-CN"/>
              </w:rPr>
              <w:t>，并新增了洗车服务，年销售汽油1460吨、柴油365吨，本次改造不新增占地，不改变加油站等级。该项目已于2017年改造完成，本次环评为完善环保手续</w:t>
            </w:r>
            <w:r>
              <w:rPr>
                <w:rFonts w:hint="eastAsia"/>
                <w:lang w:val="en-US" w:eastAsia="zh-CN"/>
              </w:rPr>
              <w:t>。</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项目已建成运营，不存在施工期环境问题。</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严格执行环境保护</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制度，建立完善的环境管理机制。在生产过程中，应按《报告表》提出的污染防治措施要求，具体重点做好以下几项工作</w:t>
            </w:r>
            <w:r>
              <w:rPr>
                <w:rFonts w:hint="eastAsia"/>
                <w:lang w:val="en-US" w:eastAsia="zh-CN"/>
              </w:rPr>
              <w:t>：</w:t>
            </w:r>
          </w:p>
          <w:p>
            <w:pPr>
              <w:pStyle w:val="10"/>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default"/>
                <w:lang w:val="en-US" w:eastAsia="zh-CN"/>
              </w:rPr>
              <w:t>项目运营期产生的废气主要为卸油、加油和储罐大小呼吸挥发油气、柴油发电机废气和机动车尾气，废气经采取环评要求的有效措施治理后达标排放</w:t>
            </w:r>
            <w:r>
              <w:rPr>
                <w:rFonts w:hint="eastAsia"/>
                <w:lang w:val="en-US" w:eastAsia="zh-CN"/>
              </w:rPr>
              <w:t>。</w:t>
            </w:r>
          </w:p>
          <w:p>
            <w:pPr>
              <w:pStyle w:val="10"/>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运营期产生的废水主要为初期雨水、洗车废水和生活污水，项目采用雨污分流制，初期雨水经隔油处理后排入市政污水管网；洗车废水经“三级隔油沉淀+石英砂过滤”工艺处理达《城市污水再生利用城市杂用水水质》</w:t>
            </w:r>
            <w:r>
              <w:rPr>
                <w:rFonts w:hint="eastAsia"/>
                <w:lang w:val="en-US" w:eastAsia="zh-CN"/>
              </w:rPr>
              <w:t>（</w:t>
            </w:r>
            <w:r>
              <w:rPr>
                <w:rFonts w:hint="default"/>
                <w:lang w:val="en-US" w:eastAsia="zh-CN"/>
              </w:rPr>
              <w:t>GBT18920-2002</w:t>
            </w:r>
            <w:r>
              <w:rPr>
                <w:rFonts w:hint="eastAsia"/>
                <w:lang w:val="en-US" w:eastAsia="zh-CN"/>
              </w:rPr>
              <w:t>）</w:t>
            </w:r>
            <w:r>
              <w:rPr>
                <w:rFonts w:hint="default"/>
                <w:lang w:val="en-US" w:eastAsia="zh-CN"/>
              </w:rPr>
              <w:t>标准</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default"/>
                <w:lang w:val="en-US" w:eastAsia="zh-CN"/>
              </w:rPr>
              <w:t>后，约70%回用于洗车工序，其余废水经预处理池处理达《污水综合排放标准》</w:t>
            </w:r>
            <w:r>
              <w:rPr>
                <w:rFonts w:hint="eastAsia"/>
                <w:lang w:val="en-US" w:eastAsia="zh-CN"/>
              </w:rPr>
              <w:t>（</w:t>
            </w:r>
            <w:r>
              <w:rPr>
                <w:rFonts w:hint="default"/>
                <w:lang w:val="en-US" w:eastAsia="zh-CN"/>
              </w:rPr>
              <w:t>GB8978-1996</w:t>
            </w:r>
            <w:r>
              <w:rPr>
                <w:rFonts w:hint="eastAsia"/>
                <w:lang w:val="en-US" w:eastAsia="zh-CN"/>
              </w:rPr>
              <w:t>）</w:t>
            </w:r>
            <w:r>
              <w:rPr>
                <w:rFonts w:hint="default"/>
                <w:lang w:val="en-US" w:eastAsia="zh-CN"/>
              </w:rPr>
              <w:t>中三级标准后，通过市政污水管网进入彭州市第一污水处理厂处理达标后，尾水排入六支渠</w:t>
            </w:r>
            <w:r>
              <w:rPr>
                <w:rFonts w:hint="eastAsia"/>
                <w:lang w:val="en-US" w:eastAsia="zh-CN"/>
              </w:rPr>
              <w:t>。</w:t>
            </w:r>
          </w:p>
          <w:p>
            <w:pPr>
              <w:pStyle w:val="10"/>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营运期间噪声主要来自设备运行的噪声，通过对高噪声设备进行合理总平布置，优先选用低噪声设备，合理安排运营时间，并采取相应的隔声、消声、减振等措施，确保场界噪声满足《工业企业厂界环境噪声排放标准》(GB12348-2008)中2</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default"/>
                <w:lang w:val="en-US" w:eastAsia="zh-CN"/>
              </w:rPr>
              <w:t>类标准限值的要求</w:t>
            </w:r>
            <w:r>
              <w:rPr>
                <w:rFonts w:hint="eastAsia"/>
                <w:lang w:val="en-US" w:eastAsia="zh-CN"/>
              </w:rPr>
              <w:t>。</w:t>
            </w:r>
          </w:p>
          <w:p>
            <w:pPr>
              <w:pStyle w:val="10"/>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项目产生的固体废物要做好分类处置，保证去向合理；建设规范的一般废物堆放场所和危险废物堆放场所，危险废物应集中收集后交有资质单位处理</w:t>
            </w:r>
            <w:r>
              <w:rPr>
                <w:rFonts w:hint="eastAsia"/>
                <w:lang w:val="en-US" w:eastAsia="zh-CN"/>
              </w:rPr>
              <w:t>。</w:t>
            </w:r>
          </w:p>
          <w:p>
            <w:pPr>
              <w:pStyle w:val="10"/>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强化污染风险防范。建立完善环境风险防范制度,按照企业制定的应急预案</w:t>
            </w:r>
            <w:r>
              <w:rPr>
                <w:rFonts w:hint="eastAsia"/>
                <w:lang w:val="en-US" w:eastAsia="zh-CN"/>
              </w:rPr>
              <w:t>，</w:t>
            </w:r>
            <w:r>
              <w:rPr>
                <w:rFonts w:hint="default"/>
                <w:lang w:val="en-US" w:eastAsia="zh-CN"/>
              </w:rPr>
              <w:t>加强应急演练</w:t>
            </w:r>
            <w:r>
              <w:rPr>
                <w:rFonts w:hint="eastAsia"/>
                <w:lang w:val="en-US" w:eastAsia="zh-CN"/>
              </w:rPr>
              <w:t>，</w:t>
            </w:r>
            <w:r>
              <w:rPr>
                <w:rFonts w:hint="default"/>
                <w:lang w:val="en-US" w:eastAsia="zh-CN"/>
              </w:rPr>
              <w:t>确保环境安全。</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项目性质、规模、地点、采用的生产工艺或者防治污染、防止生态破坏的措施发生重大变动的</w:t>
            </w:r>
            <w:r>
              <w:rPr>
                <w:rFonts w:hint="eastAsia"/>
                <w:lang w:val="en-US" w:eastAsia="zh-CN"/>
              </w:rPr>
              <w:t>，</w:t>
            </w:r>
            <w:r>
              <w:rPr>
                <w:rFonts w:hint="default"/>
                <w:lang w:val="en-US" w:eastAsia="zh-CN"/>
              </w:rPr>
              <w:t>应当重新报批建设项目的环境影响评价文件</w:t>
            </w:r>
            <w:r>
              <w:rPr>
                <w:rFonts w:hint="eastAsia"/>
                <w:lang w:val="en-US" w:eastAsia="zh-CN"/>
              </w:rPr>
              <w:t>。</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严格执行环境保护“三同时”制度</w:t>
            </w:r>
            <w:r>
              <w:rPr>
                <w:rFonts w:hint="eastAsia"/>
                <w:lang w:val="en-US" w:eastAsia="zh-CN"/>
              </w:rPr>
              <w:t>，</w:t>
            </w:r>
            <w:r>
              <w:rPr>
                <w:rFonts w:hint="default"/>
                <w:lang w:val="en-US" w:eastAsia="zh-CN"/>
              </w:rPr>
              <w:t>建立完善的环境管理机制。项目主体工程和环保设施竣工后</w:t>
            </w:r>
            <w:r>
              <w:rPr>
                <w:rFonts w:hint="eastAsia"/>
                <w:lang w:val="en-US" w:eastAsia="zh-CN"/>
              </w:rPr>
              <w:t>，</w:t>
            </w:r>
            <w:r>
              <w:rPr>
                <w:rFonts w:hint="default"/>
                <w:lang w:val="en-US" w:eastAsia="zh-CN"/>
              </w:rPr>
              <w:t>你单位应认真落实排污许可管理规定</w:t>
            </w:r>
            <w:r>
              <w:rPr>
                <w:rFonts w:hint="eastAsia"/>
                <w:lang w:val="en-US" w:eastAsia="zh-CN"/>
              </w:rPr>
              <w:t>，</w:t>
            </w:r>
            <w:r>
              <w:rPr>
                <w:rFonts w:hint="default"/>
                <w:lang w:val="en-US" w:eastAsia="zh-CN"/>
              </w:rPr>
              <w:t>在启动生产设施或者发生实际排污前</w:t>
            </w:r>
            <w:r>
              <w:rPr>
                <w:rFonts w:hint="eastAsia"/>
                <w:lang w:val="en-US" w:eastAsia="zh-CN"/>
              </w:rPr>
              <w:t>，</w:t>
            </w:r>
            <w:r>
              <w:rPr>
                <w:rFonts w:hint="default"/>
                <w:lang w:val="en-US" w:eastAsia="zh-CN"/>
              </w:rPr>
              <w:t>主动申请、变更排污许可证或填报排污登记表</w:t>
            </w:r>
            <w:r>
              <w:rPr>
                <w:rFonts w:hint="eastAsia"/>
                <w:lang w:val="en-US" w:eastAsia="zh-CN"/>
              </w:rPr>
              <w:t>，</w:t>
            </w:r>
            <w:r>
              <w:rPr>
                <w:rFonts w:hint="default"/>
                <w:lang w:val="en-US" w:eastAsia="zh-CN"/>
              </w:rPr>
              <w:t>必须按规定程序完成环境保护验收</w:t>
            </w:r>
            <w:r>
              <w:rPr>
                <w:rFonts w:hint="eastAsia"/>
                <w:lang w:val="en-US" w:eastAsia="zh-CN"/>
              </w:rPr>
              <w:t>，</w:t>
            </w:r>
            <w:r>
              <w:rPr>
                <w:rFonts w:hint="default"/>
                <w:lang w:val="en-US" w:eastAsia="zh-CN"/>
              </w:rPr>
              <w:t>验收合格后</w:t>
            </w:r>
            <w:r>
              <w:rPr>
                <w:rFonts w:hint="eastAsia"/>
                <w:lang w:val="en-US" w:eastAsia="zh-CN"/>
              </w:rPr>
              <w:t>，</w:t>
            </w:r>
            <w:r>
              <w:rPr>
                <w:rFonts w:hint="default"/>
                <w:lang w:val="en-US" w:eastAsia="zh-CN"/>
              </w:rPr>
              <w:t>项目方可投入使用。否则</w:t>
            </w:r>
            <w:r>
              <w:rPr>
                <w:rFonts w:hint="eastAsia"/>
                <w:lang w:val="en-US" w:eastAsia="zh-CN"/>
              </w:rPr>
              <w:t>，</w:t>
            </w:r>
            <w:r>
              <w:rPr>
                <w:rFonts w:hint="default"/>
                <w:lang w:val="en-US" w:eastAsia="zh-CN"/>
              </w:rPr>
              <w:t>将按相关环保法律法规予以处罚。项目在开工建设前</w:t>
            </w:r>
            <w:r>
              <w:rPr>
                <w:rFonts w:hint="eastAsia"/>
                <w:lang w:val="en-US" w:eastAsia="zh-CN"/>
              </w:rPr>
              <w:t>，</w:t>
            </w:r>
            <w:r>
              <w:rPr>
                <w:rFonts w:hint="default"/>
                <w:lang w:val="en-US" w:eastAsia="zh-CN"/>
              </w:rPr>
              <w:t>应依法完备其它相关行政许可手续。</w:t>
            </w:r>
          </w:p>
          <w:p>
            <w:pPr>
              <w:pStyle w:val="10"/>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lang w:val="en-US" w:eastAsia="zh-CN"/>
              </w:rPr>
              <w:t>请各相关职能部门按照职能职责做好该项目日常的环境保护监督管理工作。</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jc w:val="right"/>
              <w:textAlignment w:val="auto"/>
              <w:rPr>
                <w:rFonts w:hint="eastAsia"/>
                <w:lang w:val="en-US" w:eastAsia="zh-CN"/>
              </w:rPr>
            </w:pPr>
            <w:r>
              <w:rPr>
                <w:rFonts w:hint="eastAsia"/>
                <w:lang w:val="en-US" w:eastAsia="zh-CN"/>
              </w:rPr>
              <w:t>成都市彭州生态环境局</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right="0"/>
              <w:jc w:val="right"/>
              <w:textAlignment w:val="auto"/>
              <w:rPr>
                <w:rFonts w:hint="default"/>
                <w:lang w:val="en-US" w:eastAsia="zh-CN"/>
              </w:rPr>
            </w:pPr>
            <w:r>
              <w:rPr>
                <w:rFonts w:hint="eastAsia"/>
                <w:lang w:val="en-US" w:eastAsia="zh-CN"/>
              </w:rPr>
              <w:t>2020年7月24日</w:t>
            </w:r>
          </w:p>
        </w:tc>
      </w:tr>
    </w:tbl>
    <w:p>
      <w:pPr>
        <w:spacing w:line="220" w:lineRule="atLeast"/>
        <w:jc w:val="center"/>
        <w:rPr>
          <w:b/>
          <w:color w:val="auto"/>
          <w:sz w:val="21"/>
          <w:szCs w:val="21"/>
        </w:rPr>
        <w:sectPr>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eastAsia="宋体"/>
          <w:b/>
          <w:sz w:val="28"/>
          <w:szCs w:val="28"/>
          <w:lang w:val="en-US" w:eastAsia="zh-CN"/>
        </w:rPr>
      </w:pPr>
      <w:r>
        <w:rPr>
          <w:rFonts w:hint="eastAsia"/>
          <w:b/>
          <w:sz w:val="28"/>
          <w:szCs w:val="28"/>
        </w:rPr>
        <w:t>表</w:t>
      </w:r>
      <w:r>
        <w:rPr>
          <w:rFonts w:hint="eastAsia"/>
          <w:b/>
          <w:sz w:val="28"/>
          <w:szCs w:val="28"/>
          <w:lang w:val="en-US" w:eastAsia="zh-CN"/>
        </w:rPr>
        <w:t>五</w:t>
      </w:r>
      <w:r>
        <w:rPr>
          <w:rFonts w:hint="eastAsia"/>
          <w:b/>
          <w:sz w:val="28"/>
          <w:szCs w:val="28"/>
        </w:rPr>
        <w:t xml:space="preserve">   </w:t>
      </w:r>
      <w:r>
        <w:rPr>
          <w:rFonts w:hint="eastAsia"/>
          <w:b/>
          <w:sz w:val="28"/>
          <w:szCs w:val="28"/>
          <w:lang w:val="en-US" w:eastAsia="zh-CN"/>
        </w:rPr>
        <w:t>验收监测质量保证及质量控制</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89" w:hRule="atLeast"/>
          <w:jc w:val="center"/>
        </w:trPr>
        <w:tc>
          <w:tcPr>
            <w:tcW w:w="9070"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b/>
                <w:bCs/>
                <w:sz w:val="24"/>
              </w:rPr>
            </w:pPr>
            <w:r>
              <w:rPr>
                <w:b/>
                <w:bCs/>
                <w:sz w:val="24"/>
              </w:rPr>
              <w:t>一、质量保证及质量控制措施</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60" w:firstLineChars="200"/>
              <w:textAlignment w:val="auto"/>
            </w:pPr>
            <w:bookmarkStart w:id="1" w:name="本次验收监测采取严格遵守国家监测分析方法和技术规范、仪器校准、人员持证上岗、测试"/>
            <w:bookmarkEnd w:id="1"/>
            <w:r>
              <w:rPr>
                <w:spacing w:val="-5"/>
              </w:rPr>
              <w:t>本次验收监测采取严格遵守国家监测分析方法和技术规范、仪器校准、人员</w:t>
            </w:r>
            <w:r>
              <w:t>持证上岗、测试加标密码样和平行样、数据三级审核等全过程质量控制。</w:t>
            </w:r>
          </w:p>
          <w:p>
            <w:pPr>
              <w:pStyle w:val="10"/>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0" w:right="0" w:firstLine="482" w:firstLineChars="200"/>
              <w:textAlignment w:val="auto"/>
              <w:rPr>
                <w:b/>
                <w:bCs/>
              </w:rPr>
            </w:pPr>
            <w:bookmarkStart w:id="2" w:name="二、废气监测质量保证措施"/>
            <w:bookmarkEnd w:id="2"/>
            <w:r>
              <w:rPr>
                <w:b/>
                <w:bCs/>
              </w:rPr>
              <w:t>废</w:t>
            </w:r>
            <w:r>
              <w:rPr>
                <w:rFonts w:hint="eastAsia"/>
                <w:b/>
                <w:bCs/>
                <w:lang w:eastAsia="zh-CN"/>
              </w:rPr>
              <w:t>水</w:t>
            </w:r>
            <w:r>
              <w:rPr>
                <w:b/>
                <w:bCs/>
              </w:rPr>
              <w:t>监测质量保证措施</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60" w:firstLineChars="200"/>
              <w:textAlignment w:val="auto"/>
              <w:rPr>
                <w:rFonts w:hint="eastAsia" w:ascii="Times New Roman" w:hAnsi="Times New Roman" w:eastAsia="宋体"/>
                <w:spacing w:val="-5"/>
                <w:lang w:eastAsia="zh-CN"/>
              </w:rPr>
            </w:pPr>
            <w:r>
              <w:rPr>
                <w:rFonts w:ascii="Times New Roman" w:hAnsi="Times New Roman"/>
                <w:spacing w:val="-5"/>
              </w:rPr>
              <w:t>废</w:t>
            </w:r>
            <w:r>
              <w:rPr>
                <w:rFonts w:hint="eastAsia" w:ascii="Times New Roman" w:hAnsi="Times New Roman"/>
                <w:spacing w:val="-5"/>
                <w:lang w:eastAsia="zh-CN"/>
              </w:rPr>
              <w:t>水</w:t>
            </w:r>
            <w:r>
              <w:rPr>
                <w:rFonts w:ascii="Times New Roman" w:hAnsi="Times New Roman"/>
                <w:spacing w:val="-5"/>
              </w:rPr>
              <w:t>监测的质量保证按照国家环保局发布的《</w:t>
            </w:r>
            <w:r>
              <w:rPr>
                <w:rFonts w:hint="default" w:ascii="Times New Roman" w:hAnsi="Times New Roman" w:eastAsia="宋体" w:cs="Times New Roman"/>
                <w:smallCaps w:val="0"/>
                <w:spacing w:val="0"/>
                <w:sz w:val="24"/>
                <w:szCs w:val="24"/>
              </w:rPr>
              <w:t>环境</w:t>
            </w:r>
            <w:r>
              <w:rPr>
                <w:rFonts w:hint="default" w:ascii="Times New Roman" w:hAnsi="Times New Roman" w:eastAsia="宋体" w:cs="Times New Roman"/>
                <w:smallCaps w:val="0"/>
                <w:spacing w:val="0"/>
                <w:sz w:val="24"/>
                <w:szCs w:val="24"/>
                <w:lang w:eastAsia="zh-CN"/>
              </w:rPr>
              <w:t>水质</w:t>
            </w:r>
            <w:r>
              <w:rPr>
                <w:rFonts w:hint="default" w:ascii="Times New Roman" w:hAnsi="Times New Roman" w:eastAsia="宋体" w:cs="Times New Roman"/>
                <w:smallCaps w:val="0"/>
                <w:spacing w:val="0"/>
                <w:sz w:val="24"/>
                <w:szCs w:val="24"/>
              </w:rPr>
              <w:t>监测质量保证手册</w:t>
            </w:r>
            <w:r>
              <w:rPr>
                <w:rFonts w:ascii="Times New Roman" w:hAnsi="Times New Roman"/>
                <w:spacing w:val="-5"/>
              </w:rPr>
              <w:t>》要求进行全过程质量控制。</w:t>
            </w:r>
            <w:r>
              <w:rPr>
                <w:rFonts w:hint="eastAsia" w:ascii="Times New Roman" w:hAnsi="Times New Roman"/>
                <w:spacing w:val="-5"/>
                <w:lang w:eastAsia="zh-CN"/>
              </w:rPr>
              <w:t>废水采集方法严格按照《地表水和污水监测技术规范》（HJ/T91.1-2019）执行。</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textAlignment w:val="auto"/>
              <w:rPr>
                <w:b/>
                <w:bCs/>
              </w:rPr>
            </w:pPr>
            <w:r>
              <w:rPr>
                <w:rFonts w:hint="eastAsia"/>
                <w:b/>
                <w:bCs/>
                <w:lang w:eastAsia="zh-CN"/>
              </w:rPr>
              <w:t>三</w:t>
            </w:r>
            <w:r>
              <w:rPr>
                <w:b/>
                <w:bCs/>
              </w:rPr>
              <w:t>、废气监测质量保证措施</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textAlignment w:val="auto"/>
            </w:pPr>
            <w:bookmarkStart w:id="3" w:name="1、监测前质控措施"/>
            <w:bookmarkEnd w:id="3"/>
            <w:r>
              <w:rPr>
                <w:rFonts w:ascii="Times New Roman" w:eastAsia="Times New Roman"/>
              </w:rPr>
              <w:t>1</w:t>
            </w:r>
            <w:r>
              <w:t>、监测前质控措施</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60" w:firstLineChars="200"/>
              <w:textAlignment w:val="auto"/>
            </w:pPr>
            <w:bookmarkStart w:id="4" w:name="废气监测的质量保证按照国家环保局发布的《环境监测技术规范》要求进行全过程质量控制"/>
            <w:bookmarkEnd w:id="4"/>
            <w:r>
              <w:rPr>
                <w:spacing w:val="-5"/>
              </w:rPr>
              <w:t>废气监测的质量保证按照国家环保局发布的《环境监测技术规范》要求进行</w:t>
            </w:r>
            <w:r>
              <w:rPr>
                <w:spacing w:val="-11"/>
              </w:rPr>
              <w:t>全过程质量控制。采样器在采样前对流量计进行校准，无组织废气采集方法严格按照《大气污染物无组织排放监测技术导则》</w:t>
            </w:r>
            <w:r>
              <w:rPr>
                <w:rFonts w:hint="eastAsia"/>
                <w:spacing w:val="-11"/>
                <w:lang w:eastAsia="zh-CN"/>
              </w:rPr>
              <w:t>（</w:t>
            </w:r>
            <w:r>
              <w:rPr>
                <w:rFonts w:ascii="Times New Roman" w:eastAsia="Times New Roman"/>
                <w:spacing w:val="-11"/>
              </w:rPr>
              <w:t>HJ/T55-2000</w:t>
            </w:r>
            <w:r>
              <w:rPr>
                <w:rFonts w:hint="eastAsia"/>
                <w:spacing w:val="-11"/>
                <w:lang w:eastAsia="zh-CN"/>
              </w:rPr>
              <w:t>）</w:t>
            </w:r>
            <w:r>
              <w:rPr>
                <w:spacing w:val="-11"/>
              </w:rPr>
              <w:t>执行。监测仪器</w:t>
            </w:r>
            <w:r>
              <w:rPr>
                <w:spacing w:val="-12"/>
              </w:rPr>
              <w:t>经计量部门检验并在有效期内使用，监测人员持证上岗，监测数据经三级审核。</w:t>
            </w:r>
          </w:p>
          <w:p>
            <w:pPr>
              <w:pStyle w:val="27"/>
              <w:keepNext w:val="0"/>
              <w:keepLines w:val="0"/>
              <w:pageBreakBefore w:val="0"/>
              <w:widowControl/>
              <w:numPr>
                <w:ilvl w:val="0"/>
                <w:numId w:val="0"/>
              </w:numPr>
              <w:tabs>
                <w:tab w:val="left" w:pos="1324"/>
              </w:tabs>
              <w:kinsoku/>
              <w:wordWrap/>
              <w:overflowPunct/>
              <w:topLinePunct w:val="0"/>
              <w:autoSpaceDE/>
              <w:autoSpaceDN/>
              <w:bidi w:val="0"/>
              <w:adjustRightInd w:val="0"/>
              <w:snapToGrid w:val="0"/>
              <w:spacing w:after="0" w:line="360" w:lineRule="auto"/>
              <w:ind w:leftChars="0" w:right="0" w:rightChars="0" w:firstLine="476" w:firstLineChars="200"/>
              <w:jc w:val="left"/>
              <w:textAlignment w:val="auto"/>
              <w:rPr>
                <w:sz w:val="24"/>
              </w:rPr>
            </w:pPr>
            <w:bookmarkStart w:id="5" w:name="（1）现场监测前，制定现场监测质控方案，并由质控室派专人进行现场质控。"/>
            <w:bookmarkEnd w:id="5"/>
            <w:bookmarkStart w:id="6" w:name="（1）现场监测前，制定现场监测质控方案，并由质控室派专人进行现场质控。"/>
            <w:bookmarkEnd w:id="6"/>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rPr>
                <w:spacing w:val="-1"/>
                <w:sz w:val="24"/>
              </w:rPr>
              <w:t>现场监测前，制定现场监测质控方案，并由质控室派专人进行现场质</w:t>
            </w:r>
            <w:r>
              <w:rPr>
                <w:sz w:val="24"/>
              </w:rPr>
              <w:t>控。</w:t>
            </w:r>
          </w:p>
          <w:p>
            <w:pPr>
              <w:pStyle w:val="27"/>
              <w:keepNext w:val="0"/>
              <w:keepLines w:val="0"/>
              <w:pageBreakBefore w:val="0"/>
              <w:widowControl/>
              <w:numPr>
                <w:ilvl w:val="0"/>
                <w:numId w:val="0"/>
              </w:numPr>
              <w:tabs>
                <w:tab w:val="left" w:pos="1324"/>
              </w:tabs>
              <w:kinsoku/>
              <w:wordWrap/>
              <w:overflowPunct/>
              <w:topLinePunct w:val="0"/>
              <w:autoSpaceDE/>
              <w:autoSpaceDN/>
              <w:bidi w:val="0"/>
              <w:adjustRightInd w:val="0"/>
              <w:snapToGrid w:val="0"/>
              <w:spacing w:after="0" w:line="360" w:lineRule="auto"/>
              <w:ind w:leftChars="0" w:right="0" w:rightChars="0" w:firstLine="476" w:firstLineChars="200"/>
              <w:jc w:val="left"/>
              <w:textAlignment w:val="auto"/>
              <w:rPr>
                <w:sz w:val="24"/>
              </w:rPr>
            </w:pPr>
            <w:bookmarkStart w:id="7" w:name="（2）大气采样仪在进入现场前应对采样仪流量计、仪器内置的温度、压力等参数进行校核"/>
            <w:bookmarkEnd w:id="7"/>
            <w:bookmarkStart w:id="8" w:name="（2）大气采样仪在进入现场前应对采样仪流量计、仪器内置的温度、压力等参数进行校核"/>
            <w:bookmarkEnd w:id="8"/>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大气采样仪在进入现场前应对采样仪流量计、仪器内置的温度、压力</w:t>
            </w:r>
            <w:r>
              <w:rPr>
                <w:sz w:val="24"/>
              </w:rPr>
              <w:t>等参数进行校核。</w:t>
            </w:r>
          </w:p>
          <w:p>
            <w:pPr>
              <w:pStyle w:val="27"/>
              <w:keepNext w:val="0"/>
              <w:keepLines w:val="0"/>
              <w:pageBreakBefore w:val="0"/>
              <w:widowControl/>
              <w:numPr>
                <w:ilvl w:val="0"/>
                <w:numId w:val="0"/>
              </w:numPr>
              <w:tabs>
                <w:tab w:val="left" w:pos="1324"/>
              </w:tabs>
              <w:kinsoku/>
              <w:wordWrap/>
              <w:overflowPunct/>
              <w:topLinePunct w:val="0"/>
              <w:autoSpaceDE/>
              <w:autoSpaceDN/>
              <w:bidi w:val="0"/>
              <w:adjustRightInd w:val="0"/>
              <w:snapToGrid w:val="0"/>
              <w:spacing w:after="0" w:line="360" w:lineRule="auto"/>
              <w:ind w:leftChars="0" w:right="0" w:rightChars="0" w:firstLine="468" w:firstLineChars="200"/>
              <w:jc w:val="left"/>
              <w:textAlignment w:val="auto"/>
              <w:rPr>
                <w:sz w:val="24"/>
              </w:rPr>
            </w:pPr>
            <w:bookmarkStart w:id="9" w:name="（3）进入现场的气象因素测量仪器需满足测量要求，且在计量检定周期内。"/>
            <w:bookmarkEnd w:id="9"/>
            <w:bookmarkStart w:id="10" w:name="（3）进入现场的气象因素测量仪器需满足测量要求，且在计量检定周期内。"/>
            <w:bookmarkEnd w:id="10"/>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进入现场的气象因素测量仪器需满足测量要求，且在计量检定周期内。</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firstLine="480" w:firstLineChars="200"/>
              <w:textAlignment w:val="auto"/>
            </w:pPr>
            <w:bookmarkStart w:id="11" w:name="2、监测中质控措施"/>
            <w:bookmarkEnd w:id="11"/>
            <w:r>
              <w:rPr>
                <w:rFonts w:ascii="Times New Roman" w:eastAsia="Times New Roman"/>
              </w:rPr>
              <w:t>2</w:t>
            </w:r>
            <w:r>
              <w:t>、监测中质控措施</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firstLine="480" w:firstLineChars="200"/>
              <w:textAlignment w:val="auto"/>
            </w:pPr>
            <w:bookmarkStart w:id="12" w:name="（1）有组织废气在现场采样、测试时，按各监测项目质控要求，采集一定数量的现场空白"/>
            <w:bookmarkEnd w:id="12"/>
            <w:bookmarkStart w:id="13" w:name="（4）无组织废气在现场监测时，应按当地风向变化及时调整监控点和参照点位置，在现场"/>
            <w:bookmarkEnd w:id="13"/>
            <w:r>
              <w:t>无组织废气在现场监测时，应按当地风向变化及时调整监控点和参照点位置，在现场采样时间同时测量气象因素。</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leftChars="0" w:right="0" w:firstLine="480" w:firstLineChars="200"/>
              <w:textAlignment w:val="auto"/>
            </w:pPr>
            <w:bookmarkStart w:id="14" w:name="3、监测后质控措施"/>
            <w:bookmarkEnd w:id="14"/>
            <w:r>
              <w:rPr>
                <w:rFonts w:ascii="Times New Roman" w:eastAsia="Times New Roman"/>
              </w:rPr>
              <w:t>3</w:t>
            </w:r>
            <w:r>
              <w:t>、监测后质控措施</w:t>
            </w:r>
          </w:p>
          <w:p>
            <w:pPr>
              <w:pStyle w:val="27"/>
              <w:keepNext w:val="0"/>
              <w:keepLines w:val="0"/>
              <w:pageBreakBefore w:val="0"/>
              <w:widowControl/>
              <w:numPr>
                <w:ilvl w:val="0"/>
                <w:numId w:val="0"/>
              </w:numPr>
              <w:tabs>
                <w:tab w:val="left" w:pos="1324"/>
              </w:tabs>
              <w:kinsoku/>
              <w:wordWrap/>
              <w:overflowPunct/>
              <w:topLinePunct w:val="0"/>
              <w:autoSpaceDE/>
              <w:autoSpaceDN/>
              <w:bidi w:val="0"/>
              <w:adjustRightInd w:val="0"/>
              <w:snapToGrid w:val="0"/>
              <w:spacing w:after="0" w:line="360" w:lineRule="auto"/>
              <w:ind w:leftChars="0" w:right="0" w:rightChars="0" w:firstLine="476" w:firstLineChars="200"/>
              <w:jc w:val="left"/>
              <w:textAlignment w:val="auto"/>
            </w:pPr>
            <w:bookmarkStart w:id="15" w:name="（1）监测后数据采取三级审核制，密码样由质控室专人负责保管，监测数据统一由质控审"/>
            <w:bookmarkEnd w:id="15"/>
            <w:bookmarkStart w:id="16" w:name="（1）监测后数据采取三级审核制，密码样由质控室专人负责保管，监测数据统一由质控审"/>
            <w:bookmarkEnd w:id="16"/>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t>监测后数据采取三级审核制，密码样由质控室专人负责保管，监测数据统一由质控审核、出具。</w:t>
            </w:r>
          </w:p>
          <w:p>
            <w:pPr>
              <w:pStyle w:val="27"/>
              <w:keepNext w:val="0"/>
              <w:keepLines w:val="0"/>
              <w:pageBreakBefore w:val="0"/>
              <w:widowControl/>
              <w:numPr>
                <w:ilvl w:val="0"/>
                <w:numId w:val="0"/>
              </w:numPr>
              <w:tabs>
                <w:tab w:val="left" w:pos="1324"/>
              </w:tabs>
              <w:kinsoku/>
              <w:wordWrap/>
              <w:overflowPunct/>
              <w:topLinePunct w:val="0"/>
              <w:autoSpaceDE/>
              <w:autoSpaceDN/>
              <w:bidi w:val="0"/>
              <w:adjustRightInd w:val="0"/>
              <w:snapToGrid w:val="0"/>
              <w:spacing w:after="0" w:line="360" w:lineRule="auto"/>
              <w:ind w:leftChars="0" w:right="0" w:rightChars="0" w:firstLine="476" w:firstLineChars="200"/>
              <w:jc w:val="left"/>
              <w:textAlignment w:val="auto"/>
              <w:rPr>
                <w:spacing w:val="-1"/>
                <w:sz w:val="24"/>
              </w:rPr>
            </w:pPr>
            <w:bookmarkStart w:id="17" w:name="（2）监测数据未正式出具前，不以任何方式告知被监测方。"/>
            <w:bookmarkEnd w:id="17"/>
            <w:bookmarkStart w:id="18" w:name="（2）监测数据未正式出具前，不以任何方式告知被监测方。"/>
            <w:bookmarkEnd w:id="18"/>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监测数据未正式出具前，不以任何方式告知被监测方。</w:t>
            </w:r>
            <w:bookmarkStart w:id="19" w:name="三、水质监测质量保证措施"/>
            <w:bookmarkEnd w:id="19"/>
          </w:p>
          <w:p>
            <w:pPr>
              <w:pStyle w:val="31"/>
              <w:keepNext w:val="0"/>
              <w:keepLines w:val="0"/>
              <w:pageBreakBefore w:val="0"/>
              <w:widowControl/>
              <w:numPr>
                <w:ilvl w:val="0"/>
                <w:numId w:val="0"/>
              </w:numPr>
              <w:suppressLineNumbers w:val="0"/>
              <w:tabs>
                <w:tab w:val="left" w:pos="1189"/>
              </w:tabs>
              <w:kinsoku/>
              <w:wordWrap/>
              <w:overflowPunct/>
              <w:topLinePunct w:val="0"/>
              <w:autoSpaceDE/>
              <w:autoSpaceDN/>
              <w:bidi w:val="0"/>
              <w:adjustRightInd w:val="0"/>
              <w:snapToGrid w:val="0"/>
              <w:spacing w:beforeLines="0" w:beforeAutospacing="0" w:after="0" w:afterLines="0" w:afterAutospacing="0" w:line="360" w:lineRule="auto"/>
              <w:ind w:leftChars="200" w:right="0" w:rightChars="0"/>
              <w:jc w:val="left"/>
              <w:textAlignment w:val="auto"/>
              <w:rPr>
                <w:rFonts w:hint="default"/>
                <w:b/>
                <w:bCs/>
                <w:sz w:val="24"/>
              </w:rPr>
            </w:pPr>
            <w:bookmarkStart w:id="20" w:name="四、噪声监测质量保证措施"/>
            <w:bookmarkEnd w:id="20"/>
            <w:r>
              <w:rPr>
                <w:rFonts w:hint="eastAsia"/>
                <w:b/>
                <w:bCs/>
                <w:sz w:val="24"/>
                <w:lang w:val="en-US" w:eastAsia="zh-CN"/>
              </w:rPr>
              <w:t>四</w:t>
            </w:r>
            <w:r>
              <w:rPr>
                <w:rFonts w:hint="default"/>
                <w:b/>
                <w:bCs/>
                <w:sz w:val="24"/>
              </w:rPr>
              <w:t>、噪声监测质量保证措施</w:t>
            </w:r>
          </w:p>
          <w:p>
            <w:pPr>
              <w:pStyle w:val="31"/>
              <w:keepNext w:val="0"/>
              <w:keepLines w:val="0"/>
              <w:pageBreakBefore w:val="0"/>
              <w:widowControl/>
              <w:suppressLineNumbers w:val="0"/>
              <w:kinsoku/>
              <w:wordWrap/>
              <w:overflowPunct/>
              <w:topLinePunct w:val="0"/>
              <w:autoSpaceDE/>
              <w:autoSpaceDN/>
              <w:bidi w:val="0"/>
              <w:adjustRightInd w:val="0"/>
              <w:snapToGrid w:val="0"/>
              <w:spacing w:beforeLines="0" w:beforeAutospacing="0" w:after="0" w:afterLines="0" w:afterAutospacing="0" w:line="360" w:lineRule="auto"/>
              <w:ind w:left="0" w:right="0" w:firstLine="480" w:firstLineChars="200"/>
              <w:textAlignment w:val="auto"/>
              <w:rPr>
                <w:rFonts w:hint="default"/>
                <w:sz w:val="24"/>
              </w:rPr>
            </w:pPr>
            <w:bookmarkStart w:id="21" w:name="厂界噪声监测依据《工业企业厂界环境噪声排放标准》（GB12348-2008）中相"/>
            <w:bookmarkEnd w:id="21"/>
            <w:r>
              <w:rPr>
                <w:rFonts w:hint="default"/>
                <w:sz w:val="24"/>
              </w:rPr>
              <w:t>厂界噪声监测依据《工业企业厂界环境噪声排放标准》</w:t>
            </w:r>
            <w:r>
              <w:rPr>
                <w:rFonts w:hint="eastAsia"/>
                <w:sz w:val="24"/>
                <w:lang w:eastAsia="zh-CN"/>
              </w:rPr>
              <w:t>（</w:t>
            </w:r>
            <w:r>
              <w:rPr>
                <w:rFonts w:hint="default" w:ascii="Times New Roman" w:eastAsia="Times New Roman"/>
                <w:sz w:val="24"/>
              </w:rPr>
              <w:t>GB12348-2008</w:t>
            </w:r>
            <w:r>
              <w:rPr>
                <w:rFonts w:hint="eastAsia"/>
                <w:sz w:val="24"/>
                <w:lang w:eastAsia="zh-CN"/>
              </w:rPr>
              <w:t>）</w:t>
            </w:r>
            <w:r>
              <w:rPr>
                <w:rFonts w:hint="default"/>
                <w:sz w:val="24"/>
              </w:rPr>
              <w:t xml:space="preserve"> </w:t>
            </w:r>
            <w:r>
              <w:rPr>
                <w:rFonts w:hint="default"/>
                <w:spacing w:val="-15"/>
                <w:sz w:val="24"/>
              </w:rPr>
              <w:t xml:space="preserve">中相应要求进行。质量控制执行生态环境部《环境监测技术规范》有关噪声部分， </w:t>
            </w:r>
            <w:r>
              <w:rPr>
                <w:rFonts w:hint="default"/>
                <w:sz w:val="24"/>
              </w:rPr>
              <w:t>声级计测量前后均进行校准。</w:t>
            </w:r>
          </w:p>
          <w:p>
            <w:pPr>
              <w:pStyle w:val="31"/>
              <w:keepNext w:val="0"/>
              <w:keepLines w:val="0"/>
              <w:pageBreakBefore w:val="0"/>
              <w:widowControl/>
              <w:suppressLineNumbers w:val="0"/>
              <w:kinsoku/>
              <w:wordWrap/>
              <w:overflowPunct/>
              <w:topLinePunct w:val="0"/>
              <w:autoSpaceDE/>
              <w:autoSpaceDN/>
              <w:bidi w:val="0"/>
              <w:adjustRightInd w:val="0"/>
              <w:snapToGrid w:val="0"/>
              <w:spacing w:beforeLines="0" w:beforeAutospacing="0" w:after="0" w:afterLines="0" w:afterAutospacing="0" w:line="360" w:lineRule="auto"/>
              <w:ind w:left="0" w:right="0" w:firstLine="482" w:firstLineChars="200"/>
              <w:textAlignment w:val="auto"/>
              <w:rPr>
                <w:rFonts w:hint="eastAsia" w:eastAsia="宋体"/>
                <w:b/>
                <w:bCs/>
                <w:sz w:val="24"/>
                <w:szCs w:val="24"/>
                <w:lang w:val="en-US" w:eastAsia="zh-CN"/>
              </w:rPr>
            </w:pPr>
            <w:r>
              <w:rPr>
                <w:rFonts w:hint="eastAsia"/>
                <w:b/>
                <w:bCs/>
                <w:sz w:val="24"/>
                <w:szCs w:val="24"/>
                <w:lang w:val="en-US" w:eastAsia="zh-CN"/>
              </w:rPr>
              <w:t>五、</w:t>
            </w:r>
            <w:r>
              <w:rPr>
                <w:rFonts w:hint="eastAsia" w:ascii="宋体" w:hAnsi="宋体" w:eastAsia="宋体" w:cs="宋体"/>
                <w:b/>
                <w:bCs/>
                <w:color w:val="000000"/>
                <w:kern w:val="0"/>
                <w:sz w:val="24"/>
                <w:szCs w:val="24"/>
                <w:lang w:val="en-US" w:eastAsia="zh-CN" w:bidi="ar"/>
              </w:rPr>
              <w:t>监测分析方法标准和检测仪器</w:t>
            </w:r>
          </w:p>
          <w:p>
            <w:pPr>
              <w:pStyle w:val="3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jc w:val="center"/>
              <w:textAlignment w:val="auto"/>
              <w:rPr>
                <w:rFonts w:hint="default" w:eastAsia="宋体"/>
                <w:b/>
                <w:sz w:val="24"/>
                <w:lang w:val="en-US" w:eastAsia="zh-CN"/>
              </w:rPr>
            </w:pPr>
            <w:r>
              <w:rPr>
                <w:rFonts w:hint="eastAsia" w:eastAsia="宋体"/>
                <w:b/>
                <w:sz w:val="24"/>
                <w:lang w:val="en-US" w:eastAsia="zh-CN"/>
              </w:rPr>
              <w:t>表</w:t>
            </w:r>
            <w:r>
              <w:rPr>
                <w:rFonts w:hint="eastAsia"/>
                <w:b/>
                <w:sz w:val="24"/>
                <w:lang w:val="en-US" w:eastAsia="zh-CN"/>
              </w:rPr>
              <w:t xml:space="preserve"> </w:t>
            </w:r>
            <w:r>
              <w:rPr>
                <w:rFonts w:hint="eastAsia" w:eastAsia="宋体"/>
                <w:b/>
                <w:sz w:val="24"/>
                <w:lang w:val="en-US" w:eastAsia="zh-CN"/>
              </w:rPr>
              <w:t>5-1</w:t>
            </w:r>
            <w:r>
              <w:rPr>
                <w:rFonts w:hint="eastAsia"/>
                <w:b/>
                <w:sz w:val="24"/>
                <w:lang w:val="en-US" w:eastAsia="zh-CN"/>
              </w:rPr>
              <w:t xml:space="preserve"> </w:t>
            </w:r>
            <w:r>
              <w:rPr>
                <w:rFonts w:hint="eastAsia" w:eastAsia="宋体"/>
                <w:b/>
                <w:sz w:val="24"/>
              </w:rPr>
              <w:t>监测方法、方法来源、使用仪器及检出限表</w:t>
            </w:r>
          </w:p>
          <w:tbl>
            <w:tblPr>
              <w:tblStyle w:val="22"/>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7"/>
              <w:gridCol w:w="947"/>
              <w:gridCol w:w="2960"/>
              <w:gridCol w:w="2095"/>
              <w:gridCol w:w="1019"/>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检测类别</w:t>
                  </w:r>
                </w:p>
              </w:tc>
              <w:tc>
                <w:tcPr>
                  <w:tcW w:w="99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检测项目</w:t>
                  </w:r>
                </w:p>
              </w:tc>
              <w:tc>
                <w:tcPr>
                  <w:tcW w:w="312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检测方法</w:t>
                  </w:r>
                </w:p>
              </w:tc>
              <w:tc>
                <w:tcPr>
                  <w:tcW w:w="2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使用仪器</w:t>
                  </w:r>
                </w:p>
              </w:tc>
              <w:tc>
                <w:tcPr>
                  <w:tcW w:w="107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仪器编号</w:t>
                  </w:r>
                </w:p>
              </w:tc>
              <w:tc>
                <w:tcPr>
                  <w:tcW w:w="85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地下水</w:t>
                  </w:r>
                </w:p>
              </w:tc>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氨氮</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hAnsi="Times New Roman" w:cs="Times New Roman"/>
                      <w:color w:val="000000"/>
                      <w:sz w:val="21"/>
                      <w:szCs w:val="21"/>
                      <w:lang w:val="en-US" w:bidi="ar"/>
                    </w:rPr>
                  </w:pPr>
                  <w:r>
                    <w:rPr>
                      <w:rFonts w:hint="eastAsia" w:ascii="Times New Roman" w:hAnsi="Times New Roman" w:cs="Times New Roman"/>
                      <w:color w:val="000000"/>
                      <w:sz w:val="21"/>
                      <w:szCs w:val="21"/>
                      <w:lang w:val="en-US" w:bidi="ar"/>
                    </w:rPr>
                    <w:t>水质 氨氮的测定 纳氏试剂分光光度法 HJ 535-2009</w:t>
                  </w:r>
                </w:p>
              </w:tc>
              <w:tc>
                <w:tcPr>
                  <w:tcW w:w="2212" w:type="dxa"/>
                  <w:vMerge w:val="restart"/>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水质采样器</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万分之一电子天平 FA2004B</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eastAsia="宋体"/>
                      <w:sz w:val="21"/>
                      <w:szCs w:val="21"/>
                      <w:lang w:val="en-US"/>
                    </w:rPr>
                  </w:pPr>
                  <w:r>
                    <w:rPr>
                      <w:rFonts w:hint="eastAsia" w:eastAsia="宋体"/>
                      <w:sz w:val="21"/>
                      <w:szCs w:val="21"/>
                      <w:lang w:val="en-US" w:eastAsia="zh-CN"/>
                    </w:rPr>
                    <w:t>紫外</w:t>
                  </w:r>
                  <w:r>
                    <w:rPr>
                      <w:rFonts w:hint="eastAsia" w:eastAsia="宋体"/>
                      <w:sz w:val="21"/>
                      <w:szCs w:val="21"/>
                      <w:lang w:val="en-US"/>
                    </w:rPr>
                    <w:t xml:space="preserve">分光光度计 </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UV-1200</w:t>
                  </w:r>
                </w:p>
              </w:tc>
              <w:tc>
                <w:tcPr>
                  <w:tcW w:w="1075" w:type="dxa"/>
                  <w:vMerge w:val="restart"/>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ZQ003-064 ZQ001-004 ZQ001-010</w:t>
                  </w: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0.025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99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sz w:val="21"/>
                      <w:szCs w:val="21"/>
                      <w:lang w:val="en-US"/>
                    </w:rPr>
                  </w:pPr>
                  <w:r>
                    <w:rPr>
                      <w:rFonts w:hint="eastAsia"/>
                      <w:sz w:val="21"/>
                      <w:szCs w:val="21"/>
                      <w:lang w:val="en-US"/>
                    </w:rPr>
                    <w:t>石油类</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color w:val="000000"/>
                      <w:sz w:val="21"/>
                      <w:szCs w:val="21"/>
                      <w:lang w:val="en-US" w:bidi="ar"/>
                    </w:rPr>
                  </w:pPr>
                  <w:r>
                    <w:rPr>
                      <w:rFonts w:hint="eastAsia" w:ascii="Times New Roman" w:hAnsi="Times New Roman" w:cs="Times New Roman"/>
                      <w:color w:val="000000"/>
                      <w:sz w:val="21"/>
                      <w:szCs w:val="21"/>
                      <w:lang w:val="en-US" w:bidi="ar"/>
                    </w:rPr>
                    <w:t>水质 石油类的测定 紫外分光光度法 HJ 970-2018</w:t>
                  </w:r>
                </w:p>
              </w:tc>
              <w:tc>
                <w:tcPr>
                  <w:tcW w:w="2212"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1075"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0.01</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耗氧量</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color w:val="000000"/>
                      <w:sz w:val="21"/>
                      <w:szCs w:val="21"/>
                      <w:lang w:val="en-US" w:bidi="ar"/>
                    </w:rPr>
                  </w:pPr>
                  <w:r>
                    <w:rPr>
                      <w:rFonts w:ascii="Times New Roman" w:hAnsi="Times New Roman" w:cs="Times New Roman"/>
                      <w:color w:val="000000"/>
                      <w:sz w:val="21"/>
                      <w:szCs w:val="21"/>
                      <w:lang w:val="en-US" w:bidi="ar"/>
                    </w:rPr>
                    <w:t>水质 高锰酸盐指数的测定</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color w:val="000000"/>
                      <w:sz w:val="21"/>
                      <w:szCs w:val="21"/>
                      <w:lang w:val="en-US" w:bidi="ar"/>
                    </w:rPr>
                  </w:pPr>
                  <w:r>
                    <w:rPr>
                      <w:rFonts w:ascii="Times New Roman" w:hAnsi="Times New Roman" w:cs="Times New Roman"/>
                      <w:color w:val="000000"/>
                      <w:sz w:val="21"/>
                      <w:szCs w:val="21"/>
                      <w:lang w:val="en-US" w:bidi="ar"/>
                    </w:rPr>
                    <w:t>GB 11892-89</w:t>
                  </w:r>
                </w:p>
              </w:tc>
              <w:tc>
                <w:tcPr>
                  <w:tcW w:w="2212"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1075"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0.5</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99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asciiTheme="minorEastAsia" w:hAnsiTheme="minorEastAsia" w:eastAsiaTheme="minorEastAsia"/>
                      <w:sz w:val="21"/>
                      <w:szCs w:val="21"/>
                      <w:lang w:val="en-US"/>
                    </w:rPr>
                    <w:t>溶解性总固体</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cs="Times New Roman"/>
                      <w:color w:val="000000"/>
                      <w:sz w:val="21"/>
                      <w:szCs w:val="21"/>
                      <w:lang w:val="en-US" w:bidi="ar"/>
                    </w:rPr>
                  </w:pPr>
                  <w:r>
                    <w:rPr>
                      <w:rFonts w:hint="eastAsia" w:ascii="Times New Roman" w:hAnsi="Times New Roman" w:cs="Times New Roman"/>
                      <w:color w:val="000000"/>
                      <w:sz w:val="21"/>
                      <w:szCs w:val="21"/>
                      <w:lang w:val="en-US" w:bidi="ar"/>
                    </w:rPr>
                    <w:t xml:space="preserve">生活饮用水标准检验方法 感官性状和物理指标 </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color w:val="000000"/>
                      <w:sz w:val="21"/>
                      <w:szCs w:val="21"/>
                      <w:lang w:val="en-US" w:bidi="ar"/>
                    </w:rPr>
                  </w:pPr>
                  <w:r>
                    <w:rPr>
                      <w:rFonts w:hint="eastAsia" w:ascii="Times New Roman" w:hAnsi="Times New Roman" w:cs="Times New Roman"/>
                      <w:color w:val="000000"/>
                      <w:sz w:val="21"/>
                      <w:szCs w:val="21"/>
                      <w:lang w:val="en-US" w:bidi="ar"/>
                    </w:rPr>
                    <w:t>GB/T5750.4-2006</w:t>
                  </w:r>
                </w:p>
              </w:tc>
              <w:tc>
                <w:tcPr>
                  <w:tcW w:w="2212"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1075"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rPr>
                    <w:t>无组织废气</w:t>
                  </w:r>
                </w:p>
              </w:tc>
              <w:tc>
                <w:tcPr>
                  <w:tcW w:w="99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lang w:val="en-US"/>
                    </w:rPr>
                    <w:t>非甲烷总烃</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color w:val="000000"/>
                      <w:sz w:val="21"/>
                      <w:szCs w:val="21"/>
                      <w:lang w:val="en-US" w:eastAsia="zh-CN" w:bidi="ar"/>
                    </w:rPr>
                  </w:pPr>
                  <w:r>
                    <w:rPr>
                      <w:rFonts w:hint="eastAsia" w:ascii="Times New Roman" w:hAnsi="Times New Roman" w:cs="Times New Roman"/>
                      <w:color w:val="000000"/>
                      <w:sz w:val="21"/>
                      <w:szCs w:val="21"/>
                      <w:lang w:val="en-US" w:bidi="ar"/>
                    </w:rPr>
                    <w:t>环境空气 总烃、甲烷和非甲烷总烃的测定 直接进样-气相色谱法 HJ</w:t>
                  </w:r>
                  <w:r>
                    <w:rPr>
                      <w:rFonts w:hint="eastAsia" w:ascii="Times New Roman" w:hAnsi="Times New Roman" w:cs="Times New Roman"/>
                      <w:color w:val="000000"/>
                      <w:sz w:val="21"/>
                      <w:szCs w:val="21"/>
                      <w:lang w:val="en-US" w:eastAsia="zh-CN" w:bidi="ar"/>
                    </w:rPr>
                    <w:t xml:space="preserve"> </w:t>
                  </w:r>
                  <w:r>
                    <w:rPr>
                      <w:rFonts w:hint="eastAsia" w:ascii="Times New Roman" w:hAnsi="Times New Roman" w:cs="Times New Roman"/>
                      <w:color w:val="000000"/>
                      <w:sz w:val="21"/>
                      <w:szCs w:val="21"/>
                      <w:lang w:val="en-US" w:bidi="ar"/>
                    </w:rPr>
                    <w:t>604-201</w:t>
                  </w:r>
                  <w:r>
                    <w:rPr>
                      <w:rFonts w:ascii="Times New Roman" w:hAnsi="Times New Roman" w:cs="Times New Roman"/>
                      <w:color w:val="000000"/>
                      <w:sz w:val="21"/>
                      <w:szCs w:val="21"/>
                      <w:lang w:val="en-US" w:bidi="ar"/>
                    </w:rPr>
                    <w:t>7</w:t>
                  </w:r>
                </w:p>
              </w:tc>
              <w:tc>
                <w:tcPr>
                  <w:tcW w:w="2212"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真空箱</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 xml:space="preserve">风速风向仪 </w:t>
                  </w:r>
                  <w:r>
                    <w:rPr>
                      <w:rFonts w:eastAsia="宋体"/>
                      <w:sz w:val="21"/>
                      <w:szCs w:val="21"/>
                      <w:lang w:val="en-US"/>
                    </w:rPr>
                    <w:t>FYF-1</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 xml:space="preserve">气压表 </w:t>
                  </w:r>
                  <w:r>
                    <w:rPr>
                      <w:rFonts w:eastAsia="宋体"/>
                      <w:sz w:val="21"/>
                      <w:szCs w:val="21"/>
                      <w:lang w:val="en-US"/>
                    </w:rPr>
                    <w:t>DYM3</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温湿度计</w:t>
                  </w:r>
                  <w:r>
                    <w:rPr>
                      <w:rFonts w:hint="eastAsia" w:eastAsia="宋体"/>
                      <w:sz w:val="21"/>
                      <w:szCs w:val="21"/>
                      <w:lang w:val="en-US" w:eastAsia="zh-CN"/>
                    </w:rPr>
                    <w:t xml:space="preserve"> </w:t>
                  </w:r>
                  <w:r>
                    <w:rPr>
                      <w:rFonts w:hint="eastAsia" w:eastAsia="宋体"/>
                      <w:sz w:val="21"/>
                      <w:szCs w:val="21"/>
                      <w:lang w:val="en-US"/>
                    </w:rPr>
                    <w:t>PD-WDJ-01</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sz w:val="21"/>
                      <w:szCs w:val="21"/>
                      <w:lang w:val="en-US"/>
                    </w:rPr>
                    <w:t>气相色谱仪</w:t>
                  </w:r>
                  <w:r>
                    <w:rPr>
                      <w:rFonts w:hint="eastAsia" w:eastAsia="宋体"/>
                      <w:sz w:val="21"/>
                      <w:szCs w:val="21"/>
                      <w:lang w:val="en-US" w:eastAsia="zh-CN"/>
                    </w:rPr>
                    <w:t xml:space="preserve"> GC5890N</w:t>
                  </w:r>
                </w:p>
              </w:tc>
              <w:tc>
                <w:tcPr>
                  <w:tcW w:w="107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ZQ003-116</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ZQ003-106</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eastAsia="宋体"/>
                      <w:sz w:val="21"/>
                      <w:szCs w:val="21"/>
                      <w:lang w:val="en-US" w:eastAsia="zh-CN"/>
                    </w:rPr>
                  </w:pPr>
                  <w:r>
                    <w:rPr>
                      <w:rFonts w:hint="eastAsia" w:eastAsia="宋体"/>
                      <w:sz w:val="21"/>
                      <w:szCs w:val="21"/>
                      <w:lang w:val="en-US"/>
                    </w:rPr>
                    <w:t>ZQ00</w:t>
                  </w:r>
                  <w:r>
                    <w:rPr>
                      <w:rFonts w:hint="eastAsia" w:eastAsia="宋体"/>
                      <w:sz w:val="21"/>
                      <w:szCs w:val="21"/>
                      <w:lang w:val="en-US" w:eastAsia="zh-CN"/>
                    </w:rPr>
                    <w:t>2-071</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sz w:val="21"/>
                      <w:szCs w:val="21"/>
                      <w:lang w:val="en-US"/>
                    </w:rPr>
                    <w:t>ZQ00</w:t>
                  </w:r>
                  <w:r>
                    <w:rPr>
                      <w:rFonts w:hint="eastAsia" w:eastAsia="宋体"/>
                      <w:sz w:val="21"/>
                      <w:szCs w:val="21"/>
                      <w:lang w:val="en-US" w:eastAsia="zh-CN"/>
                    </w:rPr>
                    <w:t>1</w:t>
                  </w:r>
                  <w:r>
                    <w:rPr>
                      <w:rFonts w:hint="eastAsia" w:eastAsia="宋体"/>
                      <w:sz w:val="21"/>
                      <w:szCs w:val="21"/>
                      <w:lang w:val="en-US"/>
                    </w:rPr>
                    <w:t>-0</w:t>
                  </w:r>
                  <w:r>
                    <w:rPr>
                      <w:rFonts w:hint="eastAsia" w:eastAsia="宋体"/>
                      <w:sz w:val="21"/>
                      <w:szCs w:val="21"/>
                      <w:lang w:val="en-US" w:eastAsia="zh-CN"/>
                    </w:rPr>
                    <w:t>02</w:t>
                  </w: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0.07</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vertAlign w:val="superscript"/>
                      <w:lang w:val="en-US" w:eastAsia="zh-CN" w:bidi="ar-SA"/>
                    </w:rPr>
                  </w:pPr>
                  <w:r>
                    <w:rPr>
                      <w:rFonts w:hint="eastAsia" w:eastAsia="宋体"/>
                      <w:sz w:val="21"/>
                      <w:szCs w:val="21"/>
                      <w:lang w:val="en-US"/>
                    </w:rPr>
                    <w:t>mg/m</w:t>
                  </w:r>
                  <w:r>
                    <w:rPr>
                      <w:rFonts w:hint="eastAsia" w:eastAsia="宋体"/>
                      <w:sz w:val="21"/>
                      <w:szCs w:val="21"/>
                      <w:vertAlign w:val="superscript"/>
                      <w:lang w:val="en-US"/>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rPr>
                    <w:t>噪声</w:t>
                  </w:r>
                </w:p>
              </w:tc>
              <w:tc>
                <w:tcPr>
                  <w:tcW w:w="99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宋体" w:hAnsi="宋体" w:eastAsia="宋体" w:cstheme="minorBidi"/>
                      <w:sz w:val="21"/>
                      <w:szCs w:val="21"/>
                      <w:lang w:val="en-US" w:eastAsia="zh-CN" w:bidi="ar-SA"/>
                    </w:rPr>
                  </w:pPr>
                  <w:r>
                    <w:rPr>
                      <w:rFonts w:hint="eastAsia" w:ascii="宋体" w:hAnsi="宋体" w:eastAsia="宋体"/>
                      <w:sz w:val="21"/>
                      <w:szCs w:val="21"/>
                      <w:lang w:val="en-US"/>
                    </w:rPr>
                    <w:t>厂界噪声</w:t>
                  </w:r>
                </w:p>
              </w:tc>
              <w:tc>
                <w:tcPr>
                  <w:tcW w:w="3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color w:val="000000"/>
                      <w:sz w:val="21"/>
                      <w:szCs w:val="21"/>
                      <w:lang w:val="en-US" w:bidi="ar"/>
                    </w:rPr>
                  </w:pPr>
                  <w:r>
                    <w:rPr>
                      <w:rFonts w:hint="eastAsia" w:ascii="Times New Roman" w:hAnsi="Times New Roman" w:cs="Times New Roman"/>
                      <w:color w:val="000000"/>
                      <w:sz w:val="21"/>
                      <w:szCs w:val="21"/>
                      <w:lang w:val="en-US" w:bidi="ar"/>
                    </w:rPr>
                    <w:t>工业企业厂界环境噪声排放标准GB12348-2008</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color w:val="000000"/>
                      <w:sz w:val="21"/>
                      <w:szCs w:val="21"/>
                      <w:lang w:val="en-US" w:eastAsia="zh-CN" w:bidi="ar"/>
                    </w:rPr>
                  </w:pPr>
                  <w:r>
                    <w:rPr>
                      <w:rFonts w:hint="eastAsia" w:ascii="Times New Roman" w:hAnsi="Times New Roman" w:cs="Times New Roman"/>
                      <w:color w:val="000000"/>
                      <w:sz w:val="21"/>
                      <w:szCs w:val="21"/>
                      <w:lang w:val="en-US" w:bidi="ar"/>
                    </w:rPr>
                    <w:t>噪声测量值修正HJ706-2014</w:t>
                  </w:r>
                </w:p>
              </w:tc>
              <w:tc>
                <w:tcPr>
                  <w:tcW w:w="2212"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多功能声级计</w:t>
                  </w:r>
                  <w:r>
                    <w:rPr>
                      <w:rFonts w:eastAsia="宋体"/>
                      <w:sz w:val="21"/>
                      <w:szCs w:val="21"/>
                      <w:lang w:val="en-US"/>
                    </w:rPr>
                    <w:t>AWA5688</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声校准仪</w:t>
                  </w:r>
                  <w:r>
                    <w:rPr>
                      <w:rFonts w:eastAsia="宋体"/>
                      <w:sz w:val="21"/>
                      <w:szCs w:val="21"/>
                      <w:lang w:val="en-US"/>
                    </w:rPr>
                    <w:t>AWA6021A</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sz w:val="21"/>
                      <w:szCs w:val="21"/>
                      <w:lang w:val="en-US"/>
                    </w:rPr>
                    <w:t>风速风向仪</w:t>
                  </w:r>
                  <w:r>
                    <w:rPr>
                      <w:rFonts w:eastAsia="宋体"/>
                      <w:sz w:val="21"/>
                      <w:szCs w:val="21"/>
                      <w:lang w:val="en-US"/>
                    </w:rPr>
                    <w:t>FYF-1</w:t>
                  </w:r>
                </w:p>
              </w:tc>
              <w:tc>
                <w:tcPr>
                  <w:tcW w:w="107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ZQ003-122</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ZQ003-120</w:t>
                  </w:r>
                </w:p>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sz w:val="21"/>
                      <w:szCs w:val="21"/>
                      <w:lang w:val="en-US"/>
                    </w:rPr>
                    <w:t>ZQ003-116</w:t>
                  </w:r>
                </w:p>
              </w:tc>
              <w:tc>
                <w:tcPr>
                  <w:tcW w:w="858"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Times New Roman" w:hAnsi="Times New Roman" w:eastAsia="宋体" w:cstheme="minorBidi"/>
                      <w:sz w:val="21"/>
                      <w:szCs w:val="21"/>
                      <w:lang w:val="en-US" w:eastAsia="zh-CN" w:bidi="ar-SA"/>
                    </w:rPr>
                  </w:pPr>
                  <w:r>
                    <w:rPr>
                      <w:rFonts w:hint="eastAsia" w:eastAsia="宋体"/>
                      <w:sz w:val="21"/>
                      <w:szCs w:val="21"/>
                      <w:lang w:val="en-US"/>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sz w:val="24"/>
                <w:lang w:val="en-US" w:eastAsia="zh-CN"/>
              </w:rPr>
            </w:pPr>
          </w:p>
        </w:tc>
      </w:tr>
    </w:tbl>
    <w:p>
      <w:pPr>
        <w:spacing w:line="220" w:lineRule="atLeast"/>
        <w:jc w:val="both"/>
        <w:rPr>
          <w:rFonts w:hint="eastAsia"/>
          <w:b/>
          <w:sz w:val="28"/>
          <w:szCs w:val="28"/>
        </w:rPr>
      </w:pPr>
      <w:r>
        <w:rPr>
          <w:rFonts w:hint="eastAsia"/>
          <w:b/>
          <w:sz w:val="28"/>
          <w:szCs w:val="28"/>
        </w:rPr>
        <w:br w:type="page"/>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eastAsia="宋体"/>
          <w:b/>
          <w:sz w:val="28"/>
          <w:szCs w:val="28"/>
          <w:lang w:val="en-US" w:eastAsia="zh-CN"/>
        </w:rPr>
      </w:pPr>
      <w:r>
        <w:rPr>
          <w:rFonts w:hint="eastAsia"/>
          <w:b/>
          <w:sz w:val="28"/>
          <w:szCs w:val="28"/>
        </w:rPr>
        <w:t>表</w:t>
      </w:r>
      <w:r>
        <w:rPr>
          <w:rFonts w:hint="eastAsia"/>
          <w:b/>
          <w:sz w:val="28"/>
          <w:szCs w:val="28"/>
          <w:lang w:val="en-US" w:eastAsia="zh-CN"/>
        </w:rPr>
        <w:t>六</w:t>
      </w:r>
      <w:r>
        <w:rPr>
          <w:rFonts w:hint="eastAsia"/>
          <w:b/>
          <w:sz w:val="28"/>
          <w:szCs w:val="28"/>
        </w:rPr>
        <w:t xml:space="preserve">   </w:t>
      </w:r>
      <w:r>
        <w:rPr>
          <w:rFonts w:hint="eastAsia"/>
          <w:b/>
          <w:sz w:val="28"/>
          <w:szCs w:val="28"/>
          <w:lang w:val="en-US" w:eastAsia="zh-CN"/>
        </w:rPr>
        <w:t>验收监测内容</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7" w:hRule="atLeast"/>
          <w:jc w:val="center"/>
        </w:trPr>
        <w:tc>
          <w:tcPr>
            <w:tcW w:w="9167" w:type="dxa"/>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sz w:val="24"/>
                <w:szCs w:val="24"/>
              </w:rPr>
            </w:pPr>
            <w:r>
              <w:rPr>
                <w:rFonts w:hint="default" w:ascii="Times New Roman" w:hAnsi="Times New Roman" w:eastAsia="宋体" w:cs="Times New Roman"/>
                <w:color w:val="000000"/>
                <w:kern w:val="0"/>
                <w:sz w:val="24"/>
                <w:szCs w:val="24"/>
                <w:lang w:val="en-US" w:eastAsia="zh-CN" w:bidi="ar"/>
              </w:rPr>
              <w:t xml:space="preserve">根据《中华人民共和国环境保护法》（修订）（主席令第 9 号）、《关于修改&lt;建设项目环境保护管 理条例&gt;的决定》（国务院令第 682 号）、《建设项目竣工环境保护验收技术指南 污染影响类》，生态环境部办公厅[2018]9 </w:t>
            </w:r>
            <w:r>
              <w:rPr>
                <w:rFonts w:hint="eastAsia" w:ascii="宋体" w:hAnsi="宋体" w:eastAsia="宋体" w:cs="宋体"/>
                <w:color w:val="000000"/>
                <w:kern w:val="0"/>
                <w:sz w:val="24"/>
                <w:szCs w:val="24"/>
                <w:lang w:val="en-US" w:eastAsia="zh-CN" w:bidi="ar"/>
              </w:rPr>
              <w:t>号；并结合</w:t>
            </w:r>
            <w:r>
              <w:rPr>
                <w:rFonts w:hint="eastAsia" w:ascii="宋体" w:hAnsi="宋体" w:cs="宋体"/>
                <w:color w:val="000000"/>
                <w:kern w:val="0"/>
                <w:sz w:val="24"/>
                <w:szCs w:val="24"/>
                <w:lang w:val="en-US" w:eastAsia="zh-CN" w:bidi="ar"/>
              </w:rPr>
              <w:t>彭州市天彭镇农机管理服务站加油站设施设备改造项目</w:t>
            </w:r>
            <w:r>
              <w:rPr>
                <w:rFonts w:hint="eastAsia" w:ascii="宋体" w:hAnsi="宋体" w:eastAsia="宋体" w:cs="宋体"/>
                <w:color w:val="000000"/>
                <w:kern w:val="0"/>
                <w:sz w:val="24"/>
                <w:szCs w:val="24"/>
                <w:lang w:val="en-US" w:eastAsia="zh-CN" w:bidi="ar"/>
              </w:rPr>
              <w:t>的特点，确定建设项目竣工环境保护验收监测内容。</w:t>
            </w:r>
          </w:p>
          <w:p>
            <w:pPr>
              <w:numPr>
                <w:ilvl w:val="0"/>
                <w:numId w:val="0"/>
              </w:numPr>
              <w:ind w:firstLine="482" w:firstLineChars="200"/>
              <w:rPr>
                <w:rFonts w:hint="eastAsia"/>
                <w:b/>
                <w:bCs/>
                <w:lang w:val="en-US" w:eastAsia="zh-CN"/>
              </w:rPr>
            </w:pPr>
            <w:r>
              <w:rPr>
                <w:rFonts w:hint="eastAsia"/>
                <w:b/>
                <w:bCs/>
                <w:lang w:val="en-US" w:eastAsia="zh-CN"/>
              </w:rPr>
              <w:t>1、废气监测内容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eastAsia"/>
                <w:lang w:val="en-US" w:eastAsia="zh-CN"/>
              </w:rPr>
              <w:t>营运期</w:t>
            </w:r>
            <w:r>
              <w:rPr>
                <w:color w:val="auto"/>
                <w:sz w:val="24"/>
                <w:szCs w:val="24"/>
              </w:rPr>
              <w:t>废气主要</w:t>
            </w:r>
            <w:r>
              <w:t>来源于卸油、储油、加油过程中造成的油气排放过程中产生的非甲烷总</w:t>
            </w:r>
            <w:r>
              <w:rPr>
                <w:spacing w:val="-6"/>
              </w:rPr>
              <w:t>烃</w:t>
            </w:r>
            <w:r>
              <w:rPr>
                <w:rFonts w:hint="eastAsia"/>
                <w:lang w:val="en-US" w:eastAsia="zh-CN"/>
              </w:rPr>
              <w:t>。监测项目、点为及频次见表6-1。</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 xml:space="preserve">表 </w:t>
            </w:r>
            <w:r>
              <w:rPr>
                <w:rFonts w:hint="eastAsia" w:ascii="Times New Roman" w:hAnsi="Times New Roman" w:cs="Times New Roman"/>
                <w:b/>
                <w:bCs/>
                <w:lang w:val="en-US" w:eastAsia="zh-CN"/>
              </w:rPr>
              <w:t>6</w:t>
            </w:r>
            <w:r>
              <w:rPr>
                <w:rFonts w:hint="default" w:ascii="Times New Roman" w:hAnsi="Times New Roman" w:eastAsia="宋体" w:cs="Times New Roman"/>
                <w:b/>
                <w:bCs/>
              </w:rPr>
              <w:t>-</w:t>
            </w:r>
            <w:r>
              <w:rPr>
                <w:rFonts w:hint="eastAsia" w:cs="Times New Roman"/>
                <w:b/>
                <w:bCs/>
                <w:lang w:val="en-US" w:eastAsia="zh-CN"/>
              </w:rPr>
              <w:t>1</w:t>
            </w:r>
            <w:r>
              <w:rPr>
                <w:rFonts w:hint="default" w:ascii="Times New Roman" w:hAnsi="Times New Roman" w:eastAsia="宋体" w:cs="Times New Roman"/>
                <w:b/>
                <w:bCs/>
              </w:rPr>
              <w:t xml:space="preserve"> </w:t>
            </w:r>
            <w:r>
              <w:rPr>
                <w:rFonts w:hint="eastAsia" w:ascii="Times New Roman" w:hAnsi="Times New Roman" w:cs="Times New Roman"/>
                <w:b/>
                <w:bCs/>
                <w:lang w:eastAsia="zh-CN"/>
              </w:rPr>
              <w:t>废气</w:t>
            </w:r>
            <w:r>
              <w:rPr>
                <w:rFonts w:hint="default" w:ascii="Times New Roman" w:hAnsi="Times New Roman" w:eastAsia="宋体" w:cs="Times New Roman"/>
                <w:b/>
                <w:bCs/>
                <w:lang w:eastAsia="zh-CN"/>
              </w:rPr>
              <w:t>检测</w:t>
            </w:r>
            <w:r>
              <w:rPr>
                <w:rFonts w:hint="default" w:ascii="Times New Roman" w:hAnsi="Times New Roman" w:eastAsia="宋体" w:cs="Times New Roman"/>
                <w:b/>
                <w:bCs/>
              </w:rPr>
              <w:t>项目、点位及频次</w:t>
            </w:r>
          </w:p>
          <w:tbl>
            <w:tblPr>
              <w:tblStyle w:val="21"/>
              <w:tblW w:w="49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2503"/>
              <w:gridCol w:w="438"/>
              <w:gridCol w:w="3683"/>
              <w:gridCol w:w="107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59"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类别</w:t>
                  </w:r>
                </w:p>
              </w:tc>
              <w:tc>
                <w:tcPr>
                  <w:tcW w:w="250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项目</w:t>
                  </w:r>
                </w:p>
              </w:tc>
              <w:tc>
                <w:tcPr>
                  <w:tcW w:w="4121" w:type="dxa"/>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点位</w:t>
                  </w:r>
                </w:p>
              </w:tc>
              <w:tc>
                <w:tcPr>
                  <w:tcW w:w="1077"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59" w:type="dxa"/>
                  <w:vMerge w:val="restart"/>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sz w:val="21"/>
                      <w:szCs w:val="21"/>
                      <w:lang w:val="en-US"/>
                    </w:rPr>
                    <w:t>无组织废气</w:t>
                  </w:r>
                </w:p>
              </w:tc>
              <w:tc>
                <w:tcPr>
                  <w:tcW w:w="2503" w:type="dxa"/>
                  <w:vMerge w:val="restart"/>
                  <w:tcBorders>
                    <w:tl2br w:val="nil"/>
                    <w:tr2bl w:val="nil"/>
                  </w:tcBorders>
                  <w:vAlign w:val="center"/>
                </w:tcPr>
                <w:p>
                  <w:pPr>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rPr>
                    <w:t>非甲烷总烃</w:t>
                  </w:r>
                </w:p>
              </w:tc>
              <w:tc>
                <w:tcPr>
                  <w:tcW w:w="438" w:type="dxa"/>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default" w:ascii="Times New Roman" w:hAnsi="Times New Roman" w:eastAsia="Times New Roman" w:cs="Times New Roman"/>
                      <w:b w:val="0"/>
                      <w:bCs w:val="0"/>
                      <w:sz w:val="21"/>
                      <w:szCs w:val="21"/>
                      <w:lang w:val="en-US" w:eastAsia="zh-CN" w:bidi="zh-CN"/>
                    </w:rPr>
                  </w:pPr>
                  <w:r>
                    <w:rPr>
                      <w:rFonts w:eastAsia="宋体"/>
                      <w:sz w:val="21"/>
                      <w:szCs w:val="21"/>
                      <w:lang w:val="en-US"/>
                    </w:rPr>
                    <w:t>1#</w:t>
                  </w:r>
                </w:p>
              </w:tc>
              <w:tc>
                <w:tcPr>
                  <w:tcW w:w="3683"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sz w:val="21"/>
                      <w:szCs w:val="21"/>
                      <w:lang w:val="en-US"/>
                    </w:rPr>
                    <w:t>项目北侧厂界外3m处</w:t>
                  </w:r>
                </w:p>
              </w:tc>
              <w:tc>
                <w:tcPr>
                  <w:tcW w:w="1077"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bidi="zh-CN"/>
                    </w:rPr>
                  </w:pPr>
                  <w:r>
                    <w:rPr>
                      <w:rFonts w:hint="eastAsia" w:eastAsia="宋体" w:cs="Times New Roman"/>
                      <w:sz w:val="21"/>
                      <w:szCs w:val="21"/>
                      <w:lang w:val="en-US" w:eastAsia="zh-CN"/>
                    </w:rPr>
                    <w:t>4</w:t>
                  </w:r>
                  <w:r>
                    <w:rPr>
                      <w:rFonts w:hint="default" w:ascii="Times New Roman" w:hAnsi="Times New Roman" w:eastAsia="宋体" w:cs="Times New Roman"/>
                      <w:sz w:val="21"/>
                      <w:szCs w:val="21"/>
                      <w:lang w:val="en-US" w:eastAsia="zh-CN"/>
                    </w:rPr>
                    <w:t>次/天，</w:t>
                  </w:r>
                  <w:r>
                    <w:rPr>
                      <w:rFonts w:hint="eastAsia" w:eastAsia="宋体" w:cs="Times New Roman"/>
                      <w:sz w:val="21"/>
                      <w:szCs w:val="21"/>
                      <w:lang w:val="en-US" w:eastAsia="zh-CN"/>
                    </w:rPr>
                    <w:t>2</w:t>
                  </w:r>
                  <w:r>
                    <w:rPr>
                      <w:rFonts w:hint="default" w:ascii="Times New Roman" w:hAnsi="Times New Roman" w:eastAsia="宋体" w:cs="Times New Roman"/>
                      <w:sz w:val="21"/>
                      <w:szCs w:val="21"/>
                      <w:lang w:val="en-US" w:eastAsia="zh-CN"/>
                    </w:rPr>
                    <w:t>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59" w:type="dxa"/>
                  <w:vMerge w:val="continue"/>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pPr>
                </w:p>
              </w:tc>
              <w:tc>
                <w:tcPr>
                  <w:tcW w:w="2503" w:type="dxa"/>
                  <w:vMerge w:val="continue"/>
                  <w:tcBorders>
                    <w:tl2br w:val="nil"/>
                    <w:tr2bl w:val="nil"/>
                  </w:tcBorders>
                  <w:vAlign w:val="center"/>
                </w:tcPr>
                <w:p>
                  <w:pPr>
                    <w:keepNext w:val="0"/>
                    <w:keepLines w:val="0"/>
                    <w:pageBreakBefore w:val="0"/>
                    <w:kinsoku/>
                    <w:wordWrap/>
                    <w:overflowPunct/>
                    <w:topLinePunct w:val="0"/>
                    <w:bidi w:val="0"/>
                    <w:spacing w:after="0" w:line="240" w:lineRule="atLeast"/>
                    <w:ind w:firstLine="0" w:firstLineChars="0"/>
                    <w:jc w:val="center"/>
                    <w:textAlignment w:val="auto"/>
                  </w:pPr>
                </w:p>
              </w:tc>
              <w:tc>
                <w:tcPr>
                  <w:tcW w:w="438" w:type="dxa"/>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default" w:ascii="Times New Roman" w:hAnsi="Times New Roman" w:eastAsia="Times New Roman" w:cs="Times New Roman"/>
                      <w:b w:val="0"/>
                      <w:bCs w:val="0"/>
                      <w:sz w:val="21"/>
                      <w:szCs w:val="21"/>
                      <w:lang w:val="en-US" w:eastAsia="zh-CN" w:bidi="zh-CN"/>
                    </w:rPr>
                  </w:pPr>
                  <w:r>
                    <w:rPr>
                      <w:rFonts w:hint="eastAsia" w:eastAsia="宋体"/>
                      <w:sz w:val="21"/>
                      <w:szCs w:val="21"/>
                      <w:lang w:val="en-US"/>
                    </w:rPr>
                    <w:t>2</w:t>
                  </w:r>
                  <w:r>
                    <w:rPr>
                      <w:rFonts w:eastAsia="宋体"/>
                      <w:sz w:val="21"/>
                      <w:szCs w:val="21"/>
                      <w:lang w:val="en-US"/>
                    </w:rPr>
                    <w:t>#</w:t>
                  </w:r>
                </w:p>
              </w:tc>
              <w:tc>
                <w:tcPr>
                  <w:tcW w:w="3683"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sz w:val="21"/>
                      <w:szCs w:val="21"/>
                      <w:lang w:val="en-US"/>
                    </w:rPr>
                    <w:t>项目东侧厂界外3m处</w:t>
                  </w:r>
                </w:p>
              </w:tc>
              <w:tc>
                <w:tcPr>
                  <w:tcW w:w="1077"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59" w:type="dxa"/>
                  <w:vMerge w:val="continue"/>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eastAsia" w:ascii="Times New Roman" w:hAnsi="Times New Roman" w:cs="Times New Roman"/>
                      <w:b w:val="0"/>
                      <w:bCs w:val="0"/>
                      <w:sz w:val="21"/>
                      <w:szCs w:val="21"/>
                      <w:lang w:val="en-US" w:eastAsia="zh-CN"/>
                    </w:rPr>
                  </w:pPr>
                </w:p>
              </w:tc>
              <w:tc>
                <w:tcPr>
                  <w:tcW w:w="2503" w:type="dxa"/>
                  <w:vMerge w:val="continue"/>
                  <w:tcBorders>
                    <w:tl2br w:val="nil"/>
                    <w:tr2bl w:val="nil"/>
                  </w:tcBorders>
                  <w:vAlign w:val="center"/>
                </w:tcPr>
                <w:p>
                  <w:pPr>
                    <w:keepNext w:val="0"/>
                    <w:keepLines w:val="0"/>
                    <w:pageBreakBefore w:val="0"/>
                    <w:kinsoku/>
                    <w:wordWrap/>
                    <w:overflowPunct/>
                    <w:topLinePunct w:val="0"/>
                    <w:bidi w:val="0"/>
                    <w:spacing w:after="0" w:line="240" w:lineRule="atLeast"/>
                    <w:ind w:firstLine="0" w:firstLineChars="0"/>
                    <w:jc w:val="center"/>
                    <w:textAlignment w:val="auto"/>
                    <w:rPr>
                      <w:rFonts w:hint="eastAsia" w:ascii="Times New Roman" w:hAnsi="Times New Roman" w:cs="Times New Roman"/>
                      <w:b w:val="0"/>
                      <w:bCs w:val="0"/>
                      <w:sz w:val="21"/>
                      <w:szCs w:val="21"/>
                      <w:lang w:val="en-US" w:eastAsia="zh-CN"/>
                    </w:rPr>
                  </w:pPr>
                </w:p>
              </w:tc>
              <w:tc>
                <w:tcPr>
                  <w:tcW w:w="438" w:type="dxa"/>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default" w:ascii="Times New Roman" w:hAnsi="Times New Roman" w:eastAsia="Times New Roman" w:cs="Times New Roman"/>
                      <w:b w:val="0"/>
                      <w:bCs w:val="0"/>
                      <w:sz w:val="21"/>
                      <w:szCs w:val="21"/>
                      <w:lang w:val="en-US" w:eastAsia="zh-CN" w:bidi="zh-CN"/>
                    </w:rPr>
                  </w:pPr>
                  <w:r>
                    <w:rPr>
                      <w:rFonts w:hint="eastAsia" w:eastAsia="宋体"/>
                      <w:sz w:val="21"/>
                      <w:szCs w:val="21"/>
                      <w:lang w:val="en-US"/>
                    </w:rPr>
                    <w:t>3</w:t>
                  </w:r>
                  <w:r>
                    <w:rPr>
                      <w:rFonts w:eastAsia="宋体"/>
                      <w:sz w:val="21"/>
                      <w:szCs w:val="21"/>
                      <w:lang w:val="en-US"/>
                    </w:rPr>
                    <w:t>#</w:t>
                  </w:r>
                </w:p>
              </w:tc>
              <w:tc>
                <w:tcPr>
                  <w:tcW w:w="3683"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sz w:val="21"/>
                      <w:szCs w:val="21"/>
                      <w:lang w:val="en-US"/>
                    </w:rPr>
                    <w:t>项目西南侧厂界外3m处</w:t>
                  </w:r>
                </w:p>
              </w:tc>
              <w:tc>
                <w:tcPr>
                  <w:tcW w:w="1077"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59" w:type="dxa"/>
                  <w:vMerge w:val="continue"/>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eastAsia" w:ascii="Times New Roman" w:hAnsi="Times New Roman" w:cs="Times New Roman"/>
                      <w:b w:val="0"/>
                      <w:bCs w:val="0"/>
                      <w:sz w:val="21"/>
                      <w:szCs w:val="21"/>
                      <w:lang w:val="en-US" w:eastAsia="zh-CN"/>
                    </w:rPr>
                  </w:pPr>
                </w:p>
              </w:tc>
              <w:tc>
                <w:tcPr>
                  <w:tcW w:w="2503" w:type="dxa"/>
                  <w:vMerge w:val="continue"/>
                  <w:tcBorders>
                    <w:tl2br w:val="nil"/>
                    <w:tr2bl w:val="nil"/>
                  </w:tcBorders>
                  <w:vAlign w:val="center"/>
                </w:tcPr>
                <w:p>
                  <w:pPr>
                    <w:keepNext w:val="0"/>
                    <w:keepLines w:val="0"/>
                    <w:pageBreakBefore w:val="0"/>
                    <w:kinsoku/>
                    <w:wordWrap/>
                    <w:overflowPunct/>
                    <w:topLinePunct w:val="0"/>
                    <w:bidi w:val="0"/>
                    <w:spacing w:after="0" w:line="240" w:lineRule="atLeast"/>
                    <w:ind w:firstLine="0" w:firstLineChars="0"/>
                    <w:jc w:val="center"/>
                    <w:textAlignment w:val="auto"/>
                    <w:rPr>
                      <w:rFonts w:hint="eastAsia" w:ascii="Times New Roman" w:hAnsi="Times New Roman" w:cs="Times New Roman"/>
                      <w:b w:val="0"/>
                      <w:bCs w:val="0"/>
                      <w:sz w:val="21"/>
                      <w:szCs w:val="21"/>
                      <w:lang w:val="en-US" w:eastAsia="zh-CN"/>
                    </w:rPr>
                  </w:pPr>
                </w:p>
              </w:tc>
              <w:tc>
                <w:tcPr>
                  <w:tcW w:w="438" w:type="dxa"/>
                  <w:tcBorders>
                    <w:tl2br w:val="nil"/>
                    <w:tr2bl w:val="nil"/>
                  </w:tcBorders>
                  <w:vAlign w:val="center"/>
                </w:tcPr>
                <w:p>
                  <w:pPr>
                    <w:pStyle w:val="31"/>
                    <w:keepNext w:val="0"/>
                    <w:keepLines w:val="0"/>
                    <w:pageBreakBefore w:val="0"/>
                    <w:kinsoku/>
                    <w:wordWrap/>
                    <w:overflowPunct/>
                    <w:topLinePunct w:val="0"/>
                    <w:bidi w:val="0"/>
                    <w:spacing w:beforeLines="0" w:after="0" w:afterLines="0" w:line="240" w:lineRule="atLeast"/>
                    <w:ind w:firstLine="0" w:firstLineChars="0"/>
                    <w:jc w:val="center"/>
                    <w:textAlignment w:val="auto"/>
                    <w:rPr>
                      <w:rFonts w:hint="default" w:ascii="Times New Roman" w:hAnsi="Times New Roman" w:cs="Times New Roman"/>
                      <w:b w:val="0"/>
                      <w:bCs w:val="0"/>
                      <w:sz w:val="21"/>
                      <w:szCs w:val="21"/>
                      <w:lang w:val="en-US" w:eastAsia="zh-CN"/>
                    </w:rPr>
                  </w:pPr>
                  <w:r>
                    <w:rPr>
                      <w:rFonts w:hint="eastAsia" w:eastAsia="宋体"/>
                      <w:sz w:val="21"/>
                      <w:szCs w:val="21"/>
                      <w:lang w:val="en-US"/>
                    </w:rPr>
                    <w:t>4</w:t>
                  </w:r>
                  <w:r>
                    <w:rPr>
                      <w:rFonts w:eastAsia="宋体"/>
                      <w:sz w:val="21"/>
                      <w:szCs w:val="21"/>
                      <w:lang w:val="en-US"/>
                    </w:rPr>
                    <w:t>#</w:t>
                  </w:r>
                </w:p>
              </w:tc>
              <w:tc>
                <w:tcPr>
                  <w:tcW w:w="3683"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sz w:val="21"/>
                      <w:szCs w:val="21"/>
                      <w:lang w:val="en-US"/>
                    </w:rPr>
                    <w:t>项目西侧厂界外3m处</w:t>
                  </w:r>
                </w:p>
              </w:tc>
              <w:tc>
                <w:tcPr>
                  <w:tcW w:w="1077"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eastAsia" w:ascii="Times New Roman" w:hAnsi="Times New Roman" w:cs="Times New Roman"/>
                      <w:b w:val="0"/>
                      <w:bCs w:val="0"/>
                      <w:sz w:val="21"/>
                      <w:szCs w:val="21"/>
                      <w:lang w:val="en-US" w:eastAsia="zh-CN"/>
                    </w:rPr>
                  </w:pPr>
                </w:p>
              </w:tc>
            </w:tr>
          </w:tbl>
          <w:p>
            <w:pPr>
              <w:numPr>
                <w:ilvl w:val="0"/>
                <w:numId w:val="7"/>
              </w:numPr>
              <w:ind w:firstLine="482" w:firstLineChars="200"/>
              <w:rPr>
                <w:rFonts w:hint="eastAsia"/>
                <w:b/>
                <w:bCs/>
                <w:lang w:val="en-US" w:eastAsia="zh-CN"/>
              </w:rPr>
            </w:pPr>
            <w:r>
              <w:rPr>
                <w:rFonts w:hint="eastAsia"/>
                <w:b/>
                <w:bCs/>
                <w:lang w:val="en-US" w:eastAsia="zh-CN"/>
              </w:rPr>
              <w:t>地下水监测内容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eastAsia"/>
                <w:lang w:val="en-US" w:eastAsia="zh-CN"/>
              </w:rPr>
              <w:t>营运期项目用水主要为地下水。地下水监测项目、监测频次见表6-2。</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 xml:space="preserve">表 </w:t>
            </w:r>
            <w:r>
              <w:rPr>
                <w:rFonts w:hint="eastAsia" w:ascii="Times New Roman" w:hAnsi="Times New Roman" w:cs="Times New Roman"/>
                <w:b/>
                <w:bCs/>
                <w:lang w:val="en-US" w:eastAsia="zh-CN"/>
              </w:rPr>
              <w:t>6</w:t>
            </w:r>
            <w:r>
              <w:rPr>
                <w:rFonts w:hint="default" w:ascii="Times New Roman" w:hAnsi="Times New Roman" w:eastAsia="宋体" w:cs="Times New Roman"/>
                <w:b/>
                <w:bCs/>
              </w:rPr>
              <w:t>-</w:t>
            </w:r>
            <w:r>
              <w:rPr>
                <w:rFonts w:hint="eastAsia" w:cs="Times New Roman"/>
                <w:b/>
                <w:bCs/>
                <w:lang w:val="en-US" w:eastAsia="zh-CN"/>
              </w:rPr>
              <w:t>2</w:t>
            </w:r>
            <w:r>
              <w:rPr>
                <w:rFonts w:hint="eastAsia" w:ascii="Times New Roman" w:hAnsi="Times New Roman" w:cs="Times New Roman"/>
                <w:b/>
                <w:bCs/>
                <w:lang w:val="en-US" w:eastAsia="zh-CN"/>
              </w:rPr>
              <w:t xml:space="preserve"> </w:t>
            </w:r>
            <w:r>
              <w:rPr>
                <w:rFonts w:hint="eastAsia" w:cs="Times New Roman"/>
                <w:b/>
                <w:bCs/>
                <w:lang w:val="en-US" w:eastAsia="zh-CN"/>
              </w:rPr>
              <w:t>地下水</w:t>
            </w:r>
            <w:r>
              <w:rPr>
                <w:rFonts w:hint="default" w:ascii="Times New Roman" w:hAnsi="Times New Roman" w:eastAsia="宋体" w:cs="Times New Roman"/>
                <w:b/>
                <w:bCs/>
                <w:lang w:eastAsia="zh-CN"/>
              </w:rPr>
              <w:t>检测</w:t>
            </w:r>
            <w:r>
              <w:rPr>
                <w:rFonts w:hint="default" w:ascii="Times New Roman" w:hAnsi="Times New Roman" w:eastAsia="宋体" w:cs="Times New Roman"/>
                <w:b/>
                <w:bCs/>
              </w:rPr>
              <w:t>项目、点位及频次</w:t>
            </w:r>
          </w:p>
          <w:tbl>
            <w:tblPr>
              <w:tblStyle w:val="21"/>
              <w:tblW w:w="49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3782"/>
              <w:gridCol w:w="2462"/>
              <w:gridCol w:w="14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类别</w:t>
                  </w:r>
                </w:p>
              </w:tc>
              <w:tc>
                <w:tcPr>
                  <w:tcW w:w="378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项目</w:t>
                  </w:r>
                </w:p>
              </w:tc>
              <w:tc>
                <w:tcPr>
                  <w:tcW w:w="246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点位</w:t>
                  </w:r>
                </w:p>
              </w:tc>
              <w:tc>
                <w:tcPr>
                  <w:tcW w:w="1449"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rPr>
                    <w:t>地下水</w:t>
                  </w:r>
                </w:p>
              </w:tc>
              <w:tc>
                <w:tcPr>
                  <w:tcW w:w="3782"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rPr>
                    <w:t>耗氧量、石油类、氨氮、溶解性总固体</w:t>
                  </w:r>
                </w:p>
              </w:tc>
              <w:tc>
                <w:tcPr>
                  <w:tcW w:w="2462"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rPr>
                    <w:t>地下水出水口</w:t>
                  </w:r>
                </w:p>
              </w:tc>
              <w:tc>
                <w:tcPr>
                  <w:tcW w:w="1449" w:type="dxa"/>
                  <w:tcBorders>
                    <w:tl2br w:val="nil"/>
                    <w:tr2bl w:val="nil"/>
                  </w:tcBorders>
                  <w:vAlign w:val="center"/>
                </w:tcPr>
                <w:p>
                  <w:pPr>
                    <w:pStyle w:val="10"/>
                    <w:keepNext w:val="0"/>
                    <w:keepLines w:val="0"/>
                    <w:pageBreakBefore w:val="0"/>
                    <w:kinsoku/>
                    <w:wordWrap/>
                    <w:overflowPunct/>
                    <w:topLinePunct w:val="0"/>
                    <w:bidi w:val="0"/>
                    <w:spacing w:after="0"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rPr>
                    <w:t>1次/天，1天</w:t>
                  </w:r>
                </w:p>
              </w:tc>
            </w:tr>
          </w:tbl>
          <w:p>
            <w:pPr>
              <w:numPr>
                <w:ilvl w:val="0"/>
                <w:numId w:val="0"/>
              </w:numPr>
              <w:bidi w:val="0"/>
              <w:ind w:leftChars="200"/>
              <w:rPr>
                <w:rFonts w:hint="eastAsia"/>
                <w:b/>
                <w:bCs/>
                <w:lang w:val="en-US" w:eastAsia="zh-CN"/>
              </w:rPr>
            </w:pPr>
            <w:r>
              <w:rPr>
                <w:rFonts w:hint="eastAsia"/>
                <w:b/>
                <w:bCs/>
                <w:lang w:val="en-US" w:eastAsia="zh-CN"/>
              </w:rPr>
              <w:t>3、噪声监测内容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eastAsia"/>
                <w:lang w:val="en-US" w:eastAsia="zh-CN"/>
              </w:rPr>
              <w:t>营运期噪声</w:t>
            </w:r>
            <w:r>
              <w:rPr>
                <w:color w:val="auto"/>
              </w:rPr>
              <w:t>主要为站场设备噪声</w:t>
            </w:r>
            <w:r>
              <w:rPr>
                <w:rFonts w:hint="eastAsia"/>
                <w:color w:val="auto"/>
              </w:rPr>
              <w:t>、</w:t>
            </w:r>
            <w:r>
              <w:rPr>
                <w:color w:val="auto"/>
              </w:rPr>
              <w:t>进出</w:t>
            </w:r>
            <w:r>
              <w:rPr>
                <w:rFonts w:hint="eastAsia"/>
                <w:color w:val="auto"/>
              </w:rPr>
              <w:t>站场车辆</w:t>
            </w:r>
            <w:r>
              <w:rPr>
                <w:color w:val="auto"/>
              </w:rPr>
              <w:t>噪声</w:t>
            </w:r>
            <w:r>
              <w:rPr>
                <w:rFonts w:hint="eastAsia"/>
                <w:lang w:val="en-US" w:eastAsia="zh-CN"/>
              </w:rPr>
              <w:t>。噪声监测项目、监测频次见表6-3。</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 xml:space="preserve">表 </w:t>
            </w:r>
            <w:r>
              <w:rPr>
                <w:rFonts w:hint="eastAsia" w:ascii="Times New Roman" w:hAnsi="Times New Roman" w:cs="Times New Roman"/>
                <w:b/>
                <w:bCs/>
                <w:lang w:val="en-US" w:eastAsia="zh-CN"/>
              </w:rPr>
              <w:t>6</w:t>
            </w:r>
            <w:r>
              <w:rPr>
                <w:rFonts w:hint="default" w:ascii="Times New Roman" w:hAnsi="Times New Roman" w:eastAsia="宋体" w:cs="Times New Roman"/>
                <w:b/>
                <w:bCs/>
              </w:rPr>
              <w:t>-</w:t>
            </w:r>
            <w:r>
              <w:rPr>
                <w:rFonts w:hint="eastAsia" w:cs="Times New Roman"/>
                <w:b/>
                <w:bCs/>
                <w:lang w:val="en-US" w:eastAsia="zh-CN"/>
              </w:rPr>
              <w:t>3</w:t>
            </w:r>
            <w:r>
              <w:rPr>
                <w:rFonts w:hint="eastAsia" w:ascii="Times New Roman" w:hAnsi="Times New Roman" w:cs="Times New Roman"/>
                <w:b/>
                <w:bCs/>
                <w:lang w:val="en-US" w:eastAsia="zh-CN"/>
              </w:rPr>
              <w:t xml:space="preserve"> 噪声</w:t>
            </w:r>
            <w:r>
              <w:rPr>
                <w:rFonts w:hint="default" w:ascii="Times New Roman" w:hAnsi="Times New Roman" w:eastAsia="宋体" w:cs="Times New Roman"/>
                <w:b/>
                <w:bCs/>
                <w:lang w:eastAsia="zh-CN"/>
              </w:rPr>
              <w:t>检测</w:t>
            </w:r>
            <w:r>
              <w:rPr>
                <w:rFonts w:hint="default" w:ascii="Times New Roman" w:hAnsi="Times New Roman" w:eastAsia="宋体" w:cs="Times New Roman"/>
                <w:b/>
                <w:bCs/>
              </w:rPr>
              <w:t>项目、点位及频次</w:t>
            </w:r>
          </w:p>
          <w:tbl>
            <w:tblPr>
              <w:tblStyle w:val="21"/>
              <w:tblW w:w="49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2394"/>
              <w:gridCol w:w="450"/>
              <w:gridCol w:w="3400"/>
              <w:gridCol w:w="14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类别</w:t>
                  </w:r>
                </w:p>
              </w:tc>
              <w:tc>
                <w:tcPr>
                  <w:tcW w:w="239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项目</w:t>
                  </w:r>
                </w:p>
              </w:tc>
              <w:tc>
                <w:tcPr>
                  <w:tcW w:w="3850" w:type="dxa"/>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点位</w:t>
                  </w:r>
                </w:p>
              </w:tc>
              <w:tc>
                <w:tcPr>
                  <w:tcW w:w="1449"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2394"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w:t>
                  </w:r>
                </w:p>
              </w:tc>
              <w:tc>
                <w:tcPr>
                  <w:tcW w:w="4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val="0"/>
                      <w:sz w:val="21"/>
                      <w:szCs w:val="21"/>
                      <w:lang w:val="en-US" w:eastAsia="zh-CN" w:bidi="zh-CN"/>
                    </w:rPr>
                  </w:pPr>
                  <w:r>
                    <w:rPr>
                      <w:rFonts w:hint="default" w:ascii="Times New Roman" w:hAnsi="Times New Roman" w:cs="Times New Roman"/>
                      <w:b w:val="0"/>
                      <w:bCs w:val="0"/>
                      <w:sz w:val="21"/>
                      <w:szCs w:val="21"/>
                      <w:lang w:val="en-US" w:eastAsia="zh-CN"/>
                    </w:rPr>
                    <w:t>1</w:t>
                  </w:r>
                  <w:r>
                    <w:rPr>
                      <w:rFonts w:hint="default" w:ascii="Times New Roman" w:hAnsi="Times New Roman" w:eastAsia="宋体" w:cs="Times New Roman"/>
                      <w:b w:val="0"/>
                      <w:bCs w:val="0"/>
                      <w:sz w:val="21"/>
                      <w:szCs w:val="21"/>
                    </w:rPr>
                    <w:t>#</w:t>
                  </w:r>
                </w:p>
              </w:tc>
              <w:tc>
                <w:tcPr>
                  <w:tcW w:w="3400" w:type="dxa"/>
                  <w:tcBorders>
                    <w:tl2br w:val="nil"/>
                    <w:tr2bl w:val="nil"/>
                  </w:tcBorders>
                  <w:vAlign w:val="center"/>
                </w:tcPr>
                <w:p>
                  <w:pPr>
                    <w:pStyle w:val="10"/>
                    <w:spacing w:after="0" w:line="20" w:lineRule="atLeast"/>
                    <w:ind w:firstLine="0" w:firstLine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rPr>
                    <w:t>项目北侧厂界外1m，高1.3m</w:t>
                  </w:r>
                  <w:r>
                    <w:rPr>
                      <w:rFonts w:hint="eastAsia" w:ascii="Times New Roman" w:hAnsi="Times New Roman" w:cs="Times New Roman"/>
                      <w:sz w:val="21"/>
                      <w:szCs w:val="21"/>
                      <w:lang w:val="en-US" w:eastAsia="zh-CN"/>
                    </w:rPr>
                    <w:t>处</w:t>
                  </w:r>
                </w:p>
              </w:tc>
              <w:tc>
                <w:tcPr>
                  <w:tcW w:w="1449" w:type="dxa"/>
                  <w:vMerge w:val="restart"/>
                  <w:tcBorders>
                    <w:tl2br w:val="nil"/>
                    <w:tr2bl w:val="nil"/>
                  </w:tcBorders>
                  <w:vAlign w:val="center"/>
                </w:tcPr>
                <w:p>
                  <w:pPr>
                    <w:spacing w:line="20" w:lineRule="atLeast"/>
                    <w:ind w:firstLine="0" w:firstLineChars="0"/>
                    <w:jc w:val="center"/>
                    <w:rPr>
                      <w:rFonts w:hint="default"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rPr>
                    <w:t>2</w:t>
                  </w:r>
                  <w:r>
                    <w:rPr>
                      <w:rFonts w:ascii="Times New Roman" w:hAnsi="Times New Roman" w:cs="Times New Roman"/>
                      <w:sz w:val="21"/>
                      <w:szCs w:val="21"/>
                      <w:lang w:val="en-US"/>
                    </w:rPr>
                    <w:t>次/天</w:t>
                  </w:r>
                  <w:r>
                    <w:rPr>
                      <w:rFonts w:hint="eastAsia" w:ascii="Times New Roman" w:hAnsi="Times New Roman" w:cs="Times New Roman"/>
                      <w:sz w:val="21"/>
                      <w:szCs w:val="21"/>
                      <w:lang w:val="en-US"/>
                    </w:rPr>
                    <w:t>（昼夜各一次）</w:t>
                  </w:r>
                  <w:r>
                    <w:rPr>
                      <w:rFonts w:ascii="Times New Roman" w:hAnsi="Times New Roman" w:cs="Times New Roman"/>
                      <w:sz w:val="21"/>
                      <w:szCs w:val="21"/>
                      <w:lang w:val="en-US"/>
                    </w:rPr>
                    <w:t>，</w:t>
                  </w:r>
                  <w:r>
                    <w:rPr>
                      <w:rFonts w:hint="eastAsia" w:ascii="Times New Roman" w:hAnsi="Times New Roman" w:cs="Times New Roman"/>
                      <w:sz w:val="21"/>
                      <w:szCs w:val="21"/>
                      <w:lang w:val="en-US"/>
                    </w:rPr>
                    <w:t>2</w:t>
                  </w:r>
                  <w:r>
                    <w:rPr>
                      <w:rFonts w:ascii="Times New Roman" w:hAnsi="Times New Roman" w:cs="Times New Roman"/>
                      <w:sz w:val="21"/>
                      <w:szCs w:val="21"/>
                      <w:lang w:val="en-US"/>
                    </w:rPr>
                    <w:t>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2394"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4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val="0"/>
                      <w:sz w:val="21"/>
                      <w:szCs w:val="21"/>
                      <w:lang w:val="en-US" w:eastAsia="zh-CN" w:bidi="zh-CN"/>
                    </w:rPr>
                  </w:pPr>
                  <w:r>
                    <w:rPr>
                      <w:rFonts w:hint="default" w:ascii="Times New Roman" w:hAnsi="Times New Roman" w:cs="Times New Roman"/>
                      <w:b w:val="0"/>
                      <w:bCs w:val="0"/>
                      <w:sz w:val="21"/>
                      <w:szCs w:val="21"/>
                      <w:lang w:val="en-US" w:eastAsia="zh-CN"/>
                    </w:rPr>
                    <w:t>2#</w:t>
                  </w:r>
                </w:p>
              </w:tc>
              <w:tc>
                <w:tcPr>
                  <w:tcW w:w="3400" w:type="dxa"/>
                  <w:tcBorders>
                    <w:tl2br w:val="nil"/>
                    <w:tr2bl w:val="nil"/>
                  </w:tcBorders>
                  <w:vAlign w:val="center"/>
                </w:tcPr>
                <w:p>
                  <w:pPr>
                    <w:pStyle w:val="10"/>
                    <w:spacing w:after="0" w:line="20" w:lineRule="atLeast"/>
                    <w:ind w:firstLine="0" w:firstLineChars="0"/>
                    <w:jc w:val="center"/>
                    <w:rPr>
                      <w:rFonts w:hint="eastAsia" w:ascii="Times New Roman" w:hAnsi="Times New Roman" w:eastAsia="宋体" w:cs="Times New Roman"/>
                      <w:b w:val="0"/>
                      <w:bCs w:val="0"/>
                      <w:sz w:val="21"/>
                      <w:szCs w:val="21"/>
                      <w:lang w:val="en-US" w:eastAsia="zh-CN" w:bidi="zh-CN"/>
                    </w:rPr>
                  </w:pPr>
                  <w:r>
                    <w:rPr>
                      <w:rFonts w:hint="eastAsia" w:ascii="Times New Roman" w:hAnsi="Times New Roman" w:cs="Times New Roman"/>
                      <w:sz w:val="21"/>
                      <w:szCs w:val="21"/>
                      <w:lang w:val="en-US"/>
                    </w:rPr>
                    <w:t>项目东侧厂界外1m，高1.3m</w:t>
                  </w:r>
                  <w:r>
                    <w:rPr>
                      <w:rFonts w:hint="eastAsia" w:ascii="Times New Roman" w:hAnsi="Times New Roman" w:cs="Times New Roman"/>
                      <w:sz w:val="21"/>
                      <w:szCs w:val="21"/>
                      <w:lang w:val="en-US" w:eastAsia="zh-CN"/>
                    </w:rPr>
                    <w:t>处</w:t>
                  </w:r>
                </w:p>
              </w:tc>
              <w:tc>
                <w:tcPr>
                  <w:tcW w:w="1449"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2394"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4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val="0"/>
                      <w:sz w:val="21"/>
                      <w:szCs w:val="21"/>
                      <w:lang w:val="en-US" w:eastAsia="zh-CN" w:bidi="zh-CN"/>
                    </w:rPr>
                  </w:pPr>
                  <w:r>
                    <w:rPr>
                      <w:rFonts w:hint="default" w:ascii="Times New Roman" w:hAnsi="Times New Roman" w:cs="Times New Roman"/>
                      <w:b w:val="0"/>
                      <w:bCs w:val="0"/>
                      <w:sz w:val="21"/>
                      <w:szCs w:val="21"/>
                      <w:lang w:val="en-US" w:eastAsia="zh-CN"/>
                    </w:rPr>
                    <w:t>3#</w:t>
                  </w:r>
                </w:p>
              </w:tc>
              <w:tc>
                <w:tcPr>
                  <w:tcW w:w="3400" w:type="dxa"/>
                  <w:tcBorders>
                    <w:tl2br w:val="nil"/>
                    <w:tr2bl w:val="nil"/>
                  </w:tcBorders>
                  <w:vAlign w:val="center"/>
                </w:tcPr>
                <w:p>
                  <w:pPr>
                    <w:pStyle w:val="10"/>
                    <w:spacing w:after="0" w:line="20" w:lineRule="atLeast"/>
                    <w:ind w:firstLine="0" w:firstLineChars="0"/>
                    <w:jc w:val="center"/>
                    <w:rPr>
                      <w:rFonts w:hint="eastAsia" w:ascii="Times New Roman" w:hAnsi="Times New Roman" w:eastAsia="宋体" w:cs="Times New Roman"/>
                      <w:b w:val="0"/>
                      <w:bCs w:val="0"/>
                      <w:sz w:val="21"/>
                      <w:szCs w:val="21"/>
                      <w:lang w:val="en-US" w:eastAsia="zh-CN" w:bidi="zh-CN"/>
                    </w:rPr>
                  </w:pPr>
                  <w:r>
                    <w:rPr>
                      <w:rFonts w:hint="eastAsia" w:ascii="Times New Roman" w:hAnsi="Times New Roman" w:cs="Times New Roman"/>
                      <w:sz w:val="21"/>
                      <w:szCs w:val="21"/>
                      <w:lang w:val="en-US"/>
                    </w:rPr>
                    <w:t>项目西侧厂界外1m，高1.3m</w:t>
                  </w:r>
                  <w:r>
                    <w:rPr>
                      <w:rFonts w:hint="eastAsia" w:ascii="Times New Roman" w:hAnsi="Times New Roman" w:cs="Times New Roman"/>
                      <w:sz w:val="21"/>
                      <w:szCs w:val="21"/>
                      <w:lang w:val="en-US" w:eastAsia="zh-CN"/>
                    </w:rPr>
                    <w:t>处</w:t>
                  </w:r>
                </w:p>
              </w:tc>
              <w:tc>
                <w:tcPr>
                  <w:tcW w:w="1449"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68"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2394"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4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val="0"/>
                      <w:sz w:val="21"/>
                      <w:szCs w:val="21"/>
                      <w:lang w:val="en-US" w:eastAsia="zh-CN" w:bidi="zh-CN"/>
                    </w:rPr>
                  </w:pPr>
                  <w:r>
                    <w:rPr>
                      <w:rFonts w:hint="default" w:ascii="Times New Roman" w:hAnsi="Times New Roman" w:cs="Times New Roman"/>
                      <w:b w:val="0"/>
                      <w:bCs w:val="0"/>
                      <w:sz w:val="21"/>
                      <w:szCs w:val="21"/>
                      <w:lang w:val="en-US" w:eastAsia="zh-CN"/>
                    </w:rPr>
                    <w:t>4#</w:t>
                  </w:r>
                </w:p>
              </w:tc>
              <w:tc>
                <w:tcPr>
                  <w:tcW w:w="3400" w:type="dxa"/>
                  <w:tcBorders>
                    <w:tl2br w:val="nil"/>
                    <w:tr2bl w:val="nil"/>
                  </w:tcBorders>
                  <w:vAlign w:val="center"/>
                </w:tcPr>
                <w:p>
                  <w:pPr>
                    <w:pStyle w:val="10"/>
                    <w:spacing w:after="0" w:line="20" w:lineRule="atLeast"/>
                    <w:ind w:firstLine="0" w:firstLine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rPr>
                    <w:t>项目西南侧厂界外1m，高1.3m</w:t>
                  </w:r>
                  <w:r>
                    <w:rPr>
                      <w:rFonts w:hint="eastAsia" w:ascii="Times New Roman" w:hAnsi="Times New Roman" w:cs="Times New Roman"/>
                      <w:sz w:val="21"/>
                      <w:szCs w:val="21"/>
                      <w:lang w:val="en-US" w:eastAsia="zh-CN"/>
                    </w:rPr>
                    <w:t>处</w:t>
                  </w:r>
                </w:p>
              </w:tc>
              <w:tc>
                <w:tcPr>
                  <w:tcW w:w="1449"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Lines="0" w:after="0" w:afterLines="0" w:line="240" w:lineRule="atLeast"/>
                    <w:ind w:left="0" w:right="0" w:firstLine="0" w:firstLineChars="0"/>
                    <w:jc w:val="center"/>
                    <w:textAlignment w:val="auto"/>
                    <w:rPr>
                      <w:rFonts w:hint="default" w:ascii="Times New Roman" w:hAnsi="Times New Roman" w:eastAsia="宋体" w:cs="Times New Roman"/>
                      <w:sz w:val="21"/>
                      <w:szCs w:val="21"/>
                      <w:lang w:val="en-US" w:eastAsia="zh-CN"/>
                    </w:rPr>
                  </w:pPr>
                </w:p>
              </w:tc>
            </w:tr>
          </w:tbl>
          <w:p>
            <w:pPr>
              <w:ind w:firstLine="480"/>
              <w:rPr>
                <w:rFonts w:ascii="宋体" w:hAnsi="宋体" w:cs="宋体"/>
                <w:szCs w:val="28"/>
              </w:rPr>
            </w:pPr>
            <w:r>
              <w:rPr>
                <w:rFonts w:hint="eastAsia" w:ascii="宋体" w:hAnsi="宋体" w:cs="宋体"/>
                <w:szCs w:val="28"/>
              </w:rPr>
              <w:t>监测点位如下</w:t>
            </w:r>
            <w:r>
              <w:rPr>
                <w:rFonts w:hint="default" w:ascii="Times New Roman" w:hAnsi="Times New Roman" w:cs="Times New Roman"/>
                <w:szCs w:val="28"/>
              </w:rPr>
              <w:t>图</w:t>
            </w:r>
            <w:r>
              <w:rPr>
                <w:rFonts w:hint="eastAsia" w:cs="Times New Roman"/>
                <w:szCs w:val="28"/>
                <w:lang w:val="en-US" w:eastAsia="zh-CN"/>
              </w:rPr>
              <w:t>6</w:t>
            </w:r>
            <w:r>
              <w:rPr>
                <w:rFonts w:hint="default" w:ascii="Times New Roman" w:hAnsi="Times New Roman" w:cs="Times New Roman"/>
                <w:szCs w:val="28"/>
              </w:rPr>
              <w:t>-1</w:t>
            </w:r>
            <w:r>
              <w:rPr>
                <w:rFonts w:hint="eastAsia" w:ascii="宋体" w:hAnsi="宋体" w:cs="宋体"/>
                <w:szCs w:val="28"/>
              </w:rPr>
              <w:t>所示：</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b/>
                <w:bCs/>
                <w:color w:val="auto"/>
                <w:lang w:val="en-US" w:eastAsia="zh-CN"/>
              </w:rPr>
            </w:pPr>
            <w:r>
              <w:rPr>
                <w:rFonts w:hint="eastAsia"/>
                <w:b/>
                <w:bCs/>
                <w:color w:val="auto"/>
                <w:lang w:val="en-US" w:eastAsia="zh-CN"/>
              </w:rPr>
              <w:drawing>
                <wp:inline distT="0" distB="0" distL="114300" distR="114300">
                  <wp:extent cx="5078095" cy="3217545"/>
                  <wp:effectExtent l="0" t="0" r="8255" b="1905"/>
                  <wp:docPr id="6" name="图片 6" descr="1612323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2323753(1)"/>
                          <pic:cNvPicPr>
                            <a:picLocks noChangeAspect="1"/>
                          </pic:cNvPicPr>
                        </pic:nvPicPr>
                        <pic:blipFill>
                          <a:blip r:embed="rId17"/>
                          <a:stretch>
                            <a:fillRect/>
                          </a:stretch>
                        </pic:blipFill>
                        <pic:spPr>
                          <a:xfrm>
                            <a:off x="0" y="0"/>
                            <a:ext cx="5078095" cy="3217545"/>
                          </a:xfrm>
                          <a:prstGeom prst="rect">
                            <a:avLst/>
                          </a:prstGeom>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val="0"/>
              <w:snapToGrid w:val="0"/>
              <w:spacing w:before="0" w:beforeLines="0" w:after="0" w:line="240" w:lineRule="atLeast"/>
              <w:ind w:right="0" w:rightChars="0"/>
              <w:jc w:val="center"/>
              <w:textAlignment w:val="auto"/>
              <w:rPr>
                <w:rFonts w:hint="eastAsia" w:ascii="Times New Roman" w:hAnsi="Times New Roman" w:eastAsia="宋体" w:cs="Times New Roman"/>
                <w:b/>
                <w:bCs/>
                <w:sz w:val="24"/>
                <w:szCs w:val="22"/>
                <w:lang w:val="en-US" w:eastAsia="zh-CN" w:bidi="ar-SA"/>
              </w:rPr>
            </w:pPr>
            <w:r>
              <w:rPr>
                <w:rFonts w:hint="eastAsia" w:ascii="Times New Roman" w:hAnsi="Times New Roman" w:eastAsia="宋体" w:cs="Times New Roman"/>
                <w:b/>
                <w:bCs/>
                <w:sz w:val="24"/>
                <w:szCs w:val="22"/>
                <w:lang w:val="en-US" w:eastAsia="zh-CN" w:bidi="ar-SA"/>
              </w:rPr>
              <w:t xml:space="preserve">图6-1 </w:t>
            </w:r>
            <w:r>
              <w:rPr>
                <w:rFonts w:hint="default" w:ascii="Times New Roman" w:hAnsi="Times New Roman" w:eastAsia="宋体" w:cs="Times New Roman"/>
                <w:b/>
                <w:bCs/>
                <w:sz w:val="24"/>
                <w:szCs w:val="22"/>
                <w:lang w:val="en-US" w:eastAsia="zh-CN" w:bidi="ar-SA"/>
              </w:rPr>
              <w:t>检测布点示意图</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b/>
                <w:bCs/>
                <w:color w:val="auto"/>
                <w:lang w:val="en-US" w:eastAsia="zh-CN"/>
              </w:rPr>
            </w:pPr>
            <w:r>
              <w:rPr>
                <w:rFonts w:hint="eastAsia"/>
                <w:b/>
                <w:bCs/>
                <w:color w:val="auto"/>
                <w:lang w:val="en-US" w:eastAsia="zh-CN"/>
              </w:rPr>
              <w:t>4、环评、验收监测标准限值对照</w:t>
            </w:r>
          </w:p>
          <w:p>
            <w:pPr>
              <w:pStyle w:val="43"/>
              <w:spacing w:after="0" w:line="360" w:lineRule="auto"/>
              <w:ind w:firstLine="480"/>
              <w:rPr>
                <w:rFonts w:ascii="Times New Roman" w:hAnsi="Times New Roman" w:cs="Times New Roman"/>
                <w:color w:val="FF0000"/>
                <w:sz w:val="21"/>
                <w:szCs w:val="21"/>
                <w:highlight w:val="none"/>
              </w:rPr>
            </w:pPr>
            <w:r>
              <w:rPr>
                <w:rFonts w:ascii="Times New Roman" w:hAnsi="Times New Roman" w:cs="Times New Roman"/>
                <w:szCs w:val="24"/>
                <w:highlight w:val="none"/>
              </w:rPr>
              <w:t>验收监测标准与</w:t>
            </w:r>
            <w:r>
              <w:rPr>
                <w:rFonts w:hint="eastAsia" w:ascii="Times New Roman" w:hAnsi="Times New Roman" w:cs="Times New Roman"/>
                <w:szCs w:val="24"/>
                <w:highlight w:val="none"/>
              </w:rPr>
              <w:t>环评</w:t>
            </w:r>
            <w:r>
              <w:rPr>
                <w:rFonts w:ascii="Times New Roman" w:hAnsi="Times New Roman" w:cs="Times New Roman"/>
                <w:szCs w:val="24"/>
                <w:highlight w:val="none"/>
              </w:rPr>
              <w:t>标准限值见表6-</w:t>
            </w:r>
            <w:r>
              <w:rPr>
                <w:rFonts w:hint="eastAsia" w:cs="Times New Roman"/>
                <w:szCs w:val="24"/>
                <w:highlight w:val="none"/>
                <w:lang w:val="en-US" w:eastAsia="zh-CN"/>
              </w:rPr>
              <w:t>4</w:t>
            </w:r>
            <w:r>
              <w:rPr>
                <w:rFonts w:ascii="Times New Roman" w:hAnsi="Times New Roman" w:cs="Times New Roman"/>
                <w:szCs w:val="24"/>
                <w:highlight w:val="none"/>
              </w:rPr>
              <w:t>。</w:t>
            </w:r>
          </w:p>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ascii="Times New Roman" w:hAnsi="Times New Roman" w:cs="Times New Roman"/>
                <w:b/>
                <w:bCs/>
                <w:szCs w:val="24"/>
                <w:highlight w:val="none"/>
              </w:rPr>
            </w:pPr>
            <w:r>
              <w:rPr>
                <w:rFonts w:ascii="Times New Roman" w:hAnsi="Times New Roman" w:cs="Times New Roman"/>
                <w:b/>
                <w:bCs/>
                <w:szCs w:val="24"/>
                <w:highlight w:val="none"/>
              </w:rPr>
              <w:t>表6-</w:t>
            </w:r>
            <w:r>
              <w:rPr>
                <w:rFonts w:hint="eastAsia" w:cs="Times New Roman"/>
                <w:b/>
                <w:bCs/>
                <w:szCs w:val="24"/>
                <w:highlight w:val="none"/>
                <w:lang w:val="en-US" w:eastAsia="zh-CN"/>
              </w:rPr>
              <w:t>4</w:t>
            </w:r>
            <w:r>
              <w:rPr>
                <w:rFonts w:hint="eastAsia" w:ascii="Times New Roman" w:hAnsi="Times New Roman" w:cs="Times New Roman"/>
                <w:b/>
                <w:bCs/>
                <w:szCs w:val="24"/>
                <w:highlight w:val="none"/>
              </w:rPr>
              <w:t>环评</w:t>
            </w:r>
            <w:r>
              <w:rPr>
                <w:rFonts w:ascii="Times New Roman" w:hAnsi="Times New Roman" w:cs="Times New Roman"/>
                <w:b/>
                <w:bCs/>
                <w:szCs w:val="24"/>
                <w:highlight w:val="none"/>
              </w:rPr>
              <w:t>、验收监测执行标准对照表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2"/>
              <w:gridCol w:w="695"/>
              <w:gridCol w:w="269"/>
              <w:gridCol w:w="459"/>
              <w:gridCol w:w="137"/>
              <w:gridCol w:w="865"/>
              <w:gridCol w:w="421"/>
              <w:gridCol w:w="444"/>
              <w:gridCol w:w="865"/>
              <w:gridCol w:w="1"/>
              <w:gridCol w:w="115"/>
              <w:gridCol w:w="587"/>
              <w:gridCol w:w="351"/>
              <w:gridCol w:w="411"/>
              <w:gridCol w:w="103"/>
              <w:gridCol w:w="865"/>
              <w:gridCol w:w="381"/>
              <w:gridCol w:w="484"/>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类别</w:t>
                  </w:r>
                </w:p>
              </w:tc>
              <w:tc>
                <w:tcPr>
                  <w:tcW w:w="2345" w:type="pct"/>
                  <w:gridSpan w:val="9"/>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环评标准</w:t>
                  </w:r>
                </w:p>
              </w:tc>
              <w:tc>
                <w:tcPr>
                  <w:tcW w:w="2349" w:type="pct"/>
                  <w:gridSpan w:val="9"/>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eastAsia="zh-CN"/>
                    </w:rPr>
                    <w:t>无组织</w:t>
                  </w:r>
                  <w:r>
                    <w:rPr>
                      <w:rFonts w:hint="default" w:ascii="Times New Roman" w:hAnsi="Times New Roman" w:cs="Times New Roman" w:eastAsiaTheme="minorEastAsia"/>
                      <w:sz w:val="21"/>
                      <w:szCs w:val="21"/>
                      <w:highlight w:val="none"/>
                    </w:rPr>
                    <w:t>废气</w:t>
                  </w:r>
                </w:p>
              </w:tc>
              <w:tc>
                <w:tcPr>
                  <w:tcW w:w="2345" w:type="pct"/>
                  <w:gridSpan w:val="9"/>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pacing w:val="4"/>
                      <w:sz w:val="21"/>
                      <w:szCs w:val="21"/>
                    </w:rPr>
                    <w:t>《大气污染物综合排放标准》</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GB16297-1996</w:t>
                  </w:r>
                  <w:r>
                    <w:rPr>
                      <w:rFonts w:hint="default" w:ascii="Times New Roman" w:hAnsi="Times New Roman" w:cs="Times New Roman"/>
                      <w:sz w:val="21"/>
                      <w:szCs w:val="21"/>
                    </w:rPr>
                    <w:t>）</w:t>
                  </w:r>
                  <w:r>
                    <w:rPr>
                      <w:rFonts w:hint="eastAsia" w:cs="Times New Roman"/>
                      <w:sz w:val="21"/>
                      <w:szCs w:val="21"/>
                      <w:lang w:eastAsia="zh-CN"/>
                    </w:rPr>
                    <w:t>表</w:t>
                  </w:r>
                  <w:r>
                    <w:rPr>
                      <w:rFonts w:hint="eastAsia" w:cs="Times New Roman"/>
                      <w:sz w:val="21"/>
                      <w:szCs w:val="21"/>
                      <w:lang w:val="en-US" w:eastAsia="zh-CN"/>
                    </w:rPr>
                    <w:t>2中二级标准</w:t>
                  </w:r>
                </w:p>
              </w:tc>
              <w:tc>
                <w:tcPr>
                  <w:tcW w:w="2349" w:type="pct"/>
                  <w:gridSpan w:val="9"/>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spacing w:val="4"/>
                      <w:sz w:val="21"/>
                      <w:szCs w:val="21"/>
                    </w:rPr>
                    <w:t>《大气污染物综合排放标准》</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GB16297-1996</w:t>
                  </w:r>
                  <w:r>
                    <w:rPr>
                      <w:rFonts w:hint="default" w:ascii="Times New Roman" w:hAnsi="Times New Roman" w:cs="Times New Roman"/>
                      <w:sz w:val="21"/>
                      <w:szCs w:val="21"/>
                    </w:rPr>
                    <w:t>）</w:t>
                  </w:r>
                  <w:r>
                    <w:rPr>
                      <w:rFonts w:hint="eastAsia" w:cs="Times New Roman"/>
                      <w:sz w:val="21"/>
                      <w:szCs w:val="21"/>
                      <w:lang w:eastAsia="zh-CN"/>
                    </w:rPr>
                    <w:t>表</w:t>
                  </w:r>
                  <w:r>
                    <w:rPr>
                      <w:rFonts w:hint="eastAsia" w:cs="Times New Roman"/>
                      <w:sz w:val="21"/>
                      <w:szCs w:val="21"/>
                      <w:lang w:val="en-US" w:eastAsia="zh-CN"/>
                    </w:rPr>
                    <w:t>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eastAsiaTheme="minorEastAsia"/>
                      <w:sz w:val="21"/>
                      <w:szCs w:val="21"/>
                      <w:highlight w:val="none"/>
                    </w:rPr>
                  </w:pPr>
                </w:p>
              </w:tc>
              <w:tc>
                <w:tcPr>
                  <w:tcW w:w="543"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项目</w:t>
                  </w:r>
                </w:p>
              </w:tc>
              <w:tc>
                <w:tcPr>
                  <w:tcW w:w="1801" w:type="pct"/>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eastAsia" w:cs="Times New Roman" w:eastAsiaTheme="minorEastAsia"/>
                      <w:kern w:val="2"/>
                      <w:sz w:val="21"/>
                      <w:szCs w:val="21"/>
                      <w:highlight w:val="none"/>
                      <w:lang w:val="en-US" w:eastAsia="zh-CN" w:bidi="ar-SA"/>
                    </w:rPr>
                    <w:t>非甲烷总烃</w:t>
                  </w:r>
                </w:p>
              </w:tc>
              <w:tc>
                <w:tcPr>
                  <w:tcW w:w="59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项目</w:t>
                  </w:r>
                </w:p>
              </w:tc>
              <w:tc>
                <w:tcPr>
                  <w:tcW w:w="1754" w:type="pct"/>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cs="Times New Roman" w:eastAsiaTheme="minorEastAsia"/>
                      <w:kern w:val="2"/>
                      <w:sz w:val="21"/>
                      <w:szCs w:val="21"/>
                      <w:highlight w:val="none"/>
                      <w:lang w:val="en-US" w:eastAsia="zh-CN" w:bidi="ar-S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eastAsiaTheme="minorEastAsia"/>
                      <w:sz w:val="21"/>
                      <w:szCs w:val="21"/>
                      <w:highlight w:val="none"/>
                    </w:rPr>
                  </w:pPr>
                </w:p>
              </w:tc>
              <w:tc>
                <w:tcPr>
                  <w:tcW w:w="543"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pacing w:val="4"/>
                      <w:sz w:val="21"/>
                      <w:szCs w:val="21"/>
                      <w:lang w:val="en-US" w:eastAsia="zh-CN" w:bidi="ar-SA"/>
                    </w:rPr>
                  </w:pPr>
                  <w:r>
                    <w:rPr>
                      <w:rFonts w:hint="eastAsia" w:ascii="Times New Roman" w:hAnsi="Times New Roman" w:cs="Times New Roman"/>
                      <w:spacing w:val="4"/>
                      <w:sz w:val="21"/>
                      <w:szCs w:val="21"/>
                      <w:lang w:eastAsia="zh-CN"/>
                    </w:rPr>
                    <w:t>浓度限值</w:t>
                  </w:r>
                </w:p>
              </w:tc>
              <w:tc>
                <w:tcPr>
                  <w:tcW w:w="1801" w:type="pct"/>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b w:val="0"/>
                      <w:bCs/>
                      <w:color w:val="000000" w:themeColor="text1"/>
                      <w:sz w:val="21"/>
                      <w:szCs w:val="21"/>
                      <w:lang w:val="en-US" w:eastAsia="zh-CN"/>
                      <w14:textFill>
                        <w14:solidFill>
                          <w14:schemeClr w14:val="tx1"/>
                        </w14:solidFill>
                      </w14:textFill>
                    </w:rPr>
                    <w:t>4</w:t>
                  </w:r>
                  <w:r>
                    <w:rPr>
                      <w:rFonts w:ascii="Times New Roman" w:hAnsi="Times New Roman" w:cs="Times New Roman"/>
                      <w:sz w:val="21"/>
                      <w:szCs w:val="21"/>
                      <w:lang w:val="en-US"/>
                    </w:rPr>
                    <w:t>mg/m³</w:t>
                  </w:r>
                </w:p>
              </w:tc>
              <w:tc>
                <w:tcPr>
                  <w:tcW w:w="59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pacing w:val="4"/>
                      <w:sz w:val="21"/>
                      <w:szCs w:val="21"/>
                      <w:lang w:val="en-US" w:eastAsia="zh-CN" w:bidi="ar-SA"/>
                    </w:rPr>
                  </w:pPr>
                  <w:r>
                    <w:rPr>
                      <w:rFonts w:hint="eastAsia" w:ascii="Times New Roman" w:hAnsi="Times New Roman" w:cs="Times New Roman"/>
                      <w:spacing w:val="4"/>
                      <w:sz w:val="21"/>
                      <w:szCs w:val="21"/>
                      <w:lang w:eastAsia="zh-CN"/>
                    </w:rPr>
                    <w:t>浓度限值</w:t>
                  </w:r>
                </w:p>
              </w:tc>
              <w:tc>
                <w:tcPr>
                  <w:tcW w:w="1754" w:type="pct"/>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b w:val="0"/>
                      <w:bCs/>
                      <w:color w:val="000000" w:themeColor="text1"/>
                      <w:sz w:val="21"/>
                      <w:szCs w:val="21"/>
                      <w:lang w:val="en-US" w:eastAsia="zh-CN"/>
                      <w14:textFill>
                        <w14:solidFill>
                          <w14:schemeClr w14:val="tx1"/>
                        </w14:solidFill>
                      </w14:textFill>
                    </w:rPr>
                    <w:t>4</w:t>
                  </w:r>
                  <w:r>
                    <w:rPr>
                      <w:rFonts w:ascii="Times New Roman" w:hAnsi="Times New Roman" w:cs="Times New Roman"/>
                      <w:sz w:val="21"/>
                      <w:szCs w:val="21"/>
                      <w:lang w:val="en-US"/>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噪声</w:t>
                  </w:r>
                </w:p>
              </w:tc>
              <w:tc>
                <w:tcPr>
                  <w:tcW w:w="2345" w:type="pct"/>
                  <w:gridSpan w:val="9"/>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r>
                    <w:rPr>
                      <w:rFonts w:hint="eastAsia" w:ascii="Times New Roman" w:hAnsi="Times New Roman" w:cs="Times New Roman"/>
                      <w:color w:val="auto"/>
                      <w:sz w:val="21"/>
                      <w:szCs w:val="21"/>
                      <w:highlight w:val="none"/>
                      <w:lang w:val="en-US" w:eastAsia="zh-CN"/>
                    </w:rPr>
                    <w:t>工业企业厂界环境噪声排放标准</w:t>
                  </w:r>
                  <w:r>
                    <w:rPr>
                      <w:rFonts w:hint="default" w:ascii="Times New Roman" w:hAnsi="Times New Roman" w:cs="Times New Roman" w:eastAsiaTheme="minorEastAsia"/>
                      <w:sz w:val="21"/>
                      <w:szCs w:val="21"/>
                      <w:highlight w:val="none"/>
                    </w:rPr>
                    <w:t>》(GB12348-2008)</w:t>
                  </w:r>
                  <w:r>
                    <w:rPr>
                      <w:rFonts w:hint="eastAsia" w:cs="Times New Roman" w:eastAsiaTheme="minorEastAsia"/>
                      <w:sz w:val="21"/>
                      <w:szCs w:val="21"/>
                      <w:highlight w:val="none"/>
                      <w:lang w:val="en-US" w:eastAsia="zh-CN"/>
                    </w:rPr>
                    <w:t>2</w:t>
                  </w:r>
                  <w:r>
                    <w:rPr>
                      <w:rFonts w:hint="default" w:ascii="Times New Roman" w:hAnsi="Times New Roman" w:cs="Times New Roman" w:eastAsiaTheme="minorEastAsia"/>
                      <w:sz w:val="21"/>
                      <w:szCs w:val="21"/>
                      <w:highlight w:val="none"/>
                    </w:rPr>
                    <w:t>类</w:t>
                  </w:r>
                  <w:r>
                    <w:rPr>
                      <w:rFonts w:hint="eastAsia" w:cs="Times New Roman" w:eastAsiaTheme="minorEastAsia"/>
                      <w:sz w:val="21"/>
                      <w:szCs w:val="21"/>
                      <w:highlight w:val="none"/>
                      <w:lang w:eastAsia="zh-CN"/>
                    </w:rPr>
                    <w:t>、</w:t>
                  </w:r>
                  <w:r>
                    <w:rPr>
                      <w:rFonts w:hint="eastAsia" w:cs="Times New Roman" w:eastAsiaTheme="minorEastAsia"/>
                      <w:sz w:val="21"/>
                      <w:szCs w:val="21"/>
                      <w:highlight w:val="none"/>
                      <w:lang w:val="en-US" w:eastAsia="zh-CN"/>
                    </w:rPr>
                    <w:t>4a类</w:t>
                  </w:r>
                  <w:r>
                    <w:rPr>
                      <w:rFonts w:hint="default" w:ascii="Times New Roman" w:hAnsi="Times New Roman" w:cs="Times New Roman" w:eastAsiaTheme="minorEastAsia"/>
                      <w:sz w:val="21"/>
                      <w:szCs w:val="21"/>
                      <w:highlight w:val="none"/>
                    </w:rPr>
                    <w:t>标准</w:t>
                  </w:r>
                </w:p>
              </w:tc>
              <w:tc>
                <w:tcPr>
                  <w:tcW w:w="2349" w:type="pct"/>
                  <w:gridSpan w:val="9"/>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rPr>
                    <w:t>《</w:t>
                  </w:r>
                  <w:r>
                    <w:rPr>
                      <w:rFonts w:hint="eastAsia" w:ascii="Times New Roman" w:hAnsi="Times New Roman" w:cs="Times New Roman"/>
                      <w:color w:val="auto"/>
                      <w:sz w:val="21"/>
                      <w:szCs w:val="21"/>
                      <w:highlight w:val="none"/>
                      <w:lang w:val="en-US" w:eastAsia="zh-CN"/>
                    </w:rPr>
                    <w:t>工业企业厂界环境噪声排放标准</w:t>
                  </w:r>
                  <w:r>
                    <w:rPr>
                      <w:rFonts w:hint="default" w:ascii="Times New Roman" w:hAnsi="Times New Roman" w:cs="Times New Roman" w:eastAsiaTheme="minorEastAsia"/>
                      <w:sz w:val="21"/>
                      <w:szCs w:val="21"/>
                      <w:highlight w:val="none"/>
                    </w:rPr>
                    <w:t>》(GB12348-2008)</w:t>
                  </w:r>
                  <w:r>
                    <w:rPr>
                      <w:rFonts w:hint="eastAsia" w:cs="Times New Roman" w:eastAsiaTheme="minorEastAsia"/>
                      <w:sz w:val="21"/>
                      <w:szCs w:val="21"/>
                      <w:highlight w:val="none"/>
                      <w:lang w:val="en-US" w:eastAsia="zh-CN"/>
                    </w:rPr>
                    <w:t>2</w:t>
                  </w:r>
                  <w:r>
                    <w:rPr>
                      <w:rFonts w:hint="default" w:ascii="Times New Roman" w:hAnsi="Times New Roman" w:cs="Times New Roman" w:eastAsiaTheme="minorEastAsia"/>
                      <w:sz w:val="21"/>
                      <w:szCs w:val="21"/>
                      <w:highlight w:val="none"/>
                    </w:rPr>
                    <w:t>类</w:t>
                  </w:r>
                  <w:r>
                    <w:rPr>
                      <w:rFonts w:hint="eastAsia" w:cs="Times New Roman" w:eastAsiaTheme="minorEastAsia"/>
                      <w:sz w:val="21"/>
                      <w:szCs w:val="21"/>
                      <w:highlight w:val="none"/>
                      <w:lang w:eastAsia="zh-CN"/>
                    </w:rPr>
                    <w:t>、</w:t>
                  </w:r>
                  <w:r>
                    <w:rPr>
                      <w:rFonts w:hint="eastAsia" w:cs="Times New Roman" w:eastAsiaTheme="minorEastAsia"/>
                      <w:sz w:val="21"/>
                      <w:szCs w:val="21"/>
                      <w:highlight w:val="none"/>
                      <w:lang w:val="en-US" w:eastAsia="zh-CN"/>
                    </w:rPr>
                    <w:t>4a类</w:t>
                  </w:r>
                  <w:r>
                    <w:rPr>
                      <w:rFonts w:hint="default" w:ascii="Times New Roman" w:hAnsi="Times New Roman" w:cs="Times New Roman" w:eastAsiaTheme="minorEastAsia"/>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项目</w:t>
                  </w: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昼间噪声</w:t>
                  </w:r>
                </w:p>
              </w:tc>
              <w:tc>
                <w:tcPr>
                  <w:tcW w:w="739"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夜间噪声</w:t>
                  </w:r>
                </w:p>
              </w:tc>
              <w:tc>
                <w:tcPr>
                  <w:tcW w:w="826" w:type="pct"/>
                  <w:gridSpan w:val="4"/>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项目</w:t>
                  </w:r>
                </w:p>
              </w:tc>
              <w:tc>
                <w:tcPr>
                  <w:tcW w:w="761"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昼间噪声</w:t>
                  </w:r>
                </w:p>
              </w:tc>
              <w:tc>
                <w:tcPr>
                  <w:tcW w:w="761"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夜间噪声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lang w:val="en-US"/>
                    </w:rPr>
                  </w:pPr>
                  <w:r>
                    <w:rPr>
                      <w:rFonts w:hint="eastAsia" w:cs="Times New Roman" w:eastAsiaTheme="minorEastAsia"/>
                      <w:sz w:val="21"/>
                      <w:szCs w:val="21"/>
                      <w:highlight w:val="none"/>
                      <w:lang w:val="en-US" w:eastAsia="zh-CN"/>
                    </w:rPr>
                    <w:t>2类</w:t>
                  </w: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6</w:t>
                  </w:r>
                  <w:r>
                    <w:rPr>
                      <w:rFonts w:hint="eastAsia" w:cs="Times New Roman" w:eastAsiaTheme="minorEastAsia"/>
                      <w:sz w:val="21"/>
                      <w:szCs w:val="21"/>
                      <w:highlight w:val="none"/>
                      <w:lang w:val="en-US" w:eastAsia="zh-CN"/>
                    </w:rPr>
                    <w:t>0</w:t>
                  </w:r>
                  <w:r>
                    <w:rPr>
                      <w:rFonts w:hint="default" w:ascii="Times New Roman" w:hAnsi="Times New Roman" w:cs="Times New Roman" w:eastAsiaTheme="minorEastAsia"/>
                      <w:sz w:val="21"/>
                      <w:szCs w:val="21"/>
                      <w:highlight w:val="none"/>
                    </w:rPr>
                    <w:t>dB（A）</w:t>
                  </w:r>
                </w:p>
              </w:tc>
              <w:tc>
                <w:tcPr>
                  <w:tcW w:w="739"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w:t>
                  </w:r>
                  <w:r>
                    <w:rPr>
                      <w:rFonts w:hint="eastAsia" w:cs="Times New Roman" w:eastAsiaTheme="minorEastAsia"/>
                      <w:sz w:val="21"/>
                      <w:szCs w:val="21"/>
                      <w:highlight w:val="none"/>
                      <w:lang w:val="en-US" w:eastAsia="zh-CN"/>
                    </w:rPr>
                    <w:t>0</w:t>
                  </w:r>
                  <w:r>
                    <w:rPr>
                      <w:rFonts w:hint="default" w:ascii="Times New Roman" w:hAnsi="Times New Roman" w:cs="Times New Roman" w:eastAsiaTheme="minorEastAsia"/>
                      <w:sz w:val="21"/>
                      <w:szCs w:val="21"/>
                      <w:highlight w:val="none"/>
                    </w:rPr>
                    <w:t>dB（A）</w:t>
                  </w:r>
                </w:p>
              </w:tc>
              <w:tc>
                <w:tcPr>
                  <w:tcW w:w="826" w:type="pct"/>
                  <w:gridSpan w:val="4"/>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eastAsia" w:cs="Times New Roman" w:eastAsiaTheme="minorEastAsia"/>
                      <w:sz w:val="21"/>
                      <w:szCs w:val="21"/>
                      <w:highlight w:val="none"/>
                      <w:lang w:val="en-US" w:eastAsia="zh-CN"/>
                    </w:rPr>
                    <w:t>2类</w:t>
                  </w:r>
                </w:p>
              </w:tc>
              <w:tc>
                <w:tcPr>
                  <w:tcW w:w="761"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6</w:t>
                  </w:r>
                  <w:r>
                    <w:rPr>
                      <w:rFonts w:hint="eastAsia" w:cs="Times New Roman" w:eastAsiaTheme="minorEastAsia"/>
                      <w:sz w:val="21"/>
                      <w:szCs w:val="21"/>
                      <w:highlight w:val="none"/>
                      <w:lang w:val="en-US" w:eastAsia="zh-CN"/>
                    </w:rPr>
                    <w:t>5</w:t>
                  </w:r>
                  <w:r>
                    <w:rPr>
                      <w:rFonts w:hint="default" w:ascii="Times New Roman" w:hAnsi="Times New Roman" w:cs="Times New Roman" w:eastAsiaTheme="minorEastAsia"/>
                      <w:sz w:val="21"/>
                      <w:szCs w:val="21"/>
                      <w:highlight w:val="none"/>
                    </w:rPr>
                    <w:t>dB（A）</w:t>
                  </w:r>
                </w:p>
              </w:tc>
              <w:tc>
                <w:tcPr>
                  <w:tcW w:w="761"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5</w:t>
                  </w:r>
                  <w:r>
                    <w:rPr>
                      <w:rFonts w:hint="eastAsia" w:cs="Times New Roman" w:eastAsiaTheme="minorEastAsia"/>
                      <w:sz w:val="21"/>
                      <w:szCs w:val="21"/>
                      <w:highlight w:val="none"/>
                      <w:lang w:val="en-US" w:eastAsia="zh-CN"/>
                    </w:rPr>
                    <w:t>5</w:t>
                  </w:r>
                  <w:r>
                    <w:rPr>
                      <w:rFonts w:hint="default" w:ascii="Times New Roman" w:hAnsi="Times New Roman" w:cs="Times New Roman" w:eastAsiaTheme="minorEastAsia"/>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4a类</w:t>
                  </w:r>
                </w:p>
              </w:tc>
              <w:tc>
                <w:tcPr>
                  <w:tcW w:w="802"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70</w:t>
                  </w:r>
                  <w:r>
                    <w:rPr>
                      <w:rFonts w:hint="default" w:ascii="Times New Roman" w:hAnsi="Times New Roman" w:cs="Times New Roman" w:eastAsiaTheme="minorEastAsia"/>
                      <w:sz w:val="21"/>
                      <w:szCs w:val="21"/>
                      <w:highlight w:val="none"/>
                    </w:rPr>
                    <w:t>dB（A）</w:t>
                  </w:r>
                </w:p>
              </w:tc>
              <w:tc>
                <w:tcPr>
                  <w:tcW w:w="739"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55</w:t>
                  </w:r>
                  <w:r>
                    <w:rPr>
                      <w:rFonts w:hint="default" w:ascii="Times New Roman" w:hAnsi="Times New Roman" w:cs="Times New Roman" w:eastAsiaTheme="minorEastAsia"/>
                      <w:sz w:val="21"/>
                      <w:szCs w:val="21"/>
                      <w:highlight w:val="none"/>
                    </w:rPr>
                    <w:t>dB（A）</w:t>
                  </w:r>
                </w:p>
              </w:tc>
              <w:tc>
                <w:tcPr>
                  <w:tcW w:w="826" w:type="pct"/>
                  <w:gridSpan w:val="4"/>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4a类</w:t>
                  </w:r>
                </w:p>
              </w:tc>
              <w:tc>
                <w:tcPr>
                  <w:tcW w:w="761"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rPr>
                  </w:pPr>
                  <w:r>
                    <w:rPr>
                      <w:rFonts w:hint="eastAsia" w:cs="Times New Roman" w:eastAsiaTheme="minorEastAsia"/>
                      <w:sz w:val="21"/>
                      <w:szCs w:val="21"/>
                      <w:highlight w:val="none"/>
                      <w:lang w:val="en-US" w:eastAsia="zh-CN"/>
                    </w:rPr>
                    <w:t>70</w:t>
                  </w:r>
                  <w:r>
                    <w:rPr>
                      <w:rFonts w:hint="default" w:ascii="Times New Roman" w:hAnsi="Times New Roman" w:cs="Times New Roman" w:eastAsiaTheme="minorEastAsia"/>
                      <w:sz w:val="21"/>
                      <w:szCs w:val="21"/>
                      <w:highlight w:val="none"/>
                    </w:rPr>
                    <w:t>dB（A）</w:t>
                  </w:r>
                </w:p>
              </w:tc>
              <w:tc>
                <w:tcPr>
                  <w:tcW w:w="761"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highlight w:val="none"/>
                    </w:rPr>
                  </w:pPr>
                  <w:r>
                    <w:rPr>
                      <w:rFonts w:hint="eastAsia" w:cs="Times New Roman" w:eastAsiaTheme="minorEastAsia"/>
                      <w:sz w:val="21"/>
                      <w:szCs w:val="21"/>
                      <w:highlight w:val="none"/>
                      <w:lang w:val="en-US" w:eastAsia="zh-CN"/>
                    </w:rPr>
                    <w:t>55</w:t>
                  </w:r>
                  <w:r>
                    <w:rPr>
                      <w:rFonts w:hint="default" w:ascii="Times New Roman" w:hAnsi="Times New Roman" w:cs="Times New Roman" w:eastAsiaTheme="minorEastAsia"/>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地下水</w:t>
                  </w:r>
                </w:p>
              </w:tc>
              <w:tc>
                <w:tcPr>
                  <w:tcW w:w="2345" w:type="pct"/>
                  <w:gridSpan w:val="9"/>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《地下水质量标准》（GB/T14848-2017）中Ⅲ类</w:t>
                  </w:r>
                </w:p>
              </w:tc>
              <w:tc>
                <w:tcPr>
                  <w:tcW w:w="2349" w:type="pct"/>
                  <w:gridSpan w:val="9"/>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《地下水质量标准》（GB/T14848-2017）中Ⅲ类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eastAsiaTheme="minorEastAsia"/>
                      <w:sz w:val="21"/>
                      <w:szCs w:val="21"/>
                      <w:highlight w:val="none"/>
                      <w:lang w:val="en-US" w:eastAsia="zh-CN"/>
                    </w:rPr>
                  </w:pPr>
                </w:p>
              </w:tc>
              <w:tc>
                <w:tcPr>
                  <w:tcW w:w="392"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default" w:cs="Times New Roman" w:eastAsiaTheme="minorEastAsia"/>
                      <w:sz w:val="21"/>
                      <w:szCs w:val="21"/>
                      <w:highlight w:val="none"/>
                      <w:lang w:val="en-US" w:eastAsia="zh-CN"/>
                    </w:rPr>
                    <w:t>项目</w:t>
                  </w:r>
                </w:p>
              </w:tc>
              <w:tc>
                <w:tcPr>
                  <w:tcW w:w="488"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氨氮</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石油类</w:t>
                  </w:r>
                </w:p>
              </w:tc>
              <w:tc>
                <w:tcPr>
                  <w:tcW w:w="488"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耗氧量</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溶解性总固体</w:t>
                  </w:r>
                </w:p>
              </w:tc>
              <w:tc>
                <w:tcPr>
                  <w:tcW w:w="396"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default" w:cs="Times New Roman" w:eastAsiaTheme="minorEastAsia"/>
                      <w:sz w:val="21"/>
                      <w:szCs w:val="21"/>
                      <w:highlight w:val="none"/>
                      <w:lang w:val="en-US" w:eastAsia="zh-CN"/>
                    </w:rPr>
                    <w:t>项目</w:t>
                  </w:r>
                </w:p>
              </w:tc>
              <w:tc>
                <w:tcPr>
                  <w:tcW w:w="488"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氨氮</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石油类</w:t>
                  </w:r>
                </w:p>
              </w:tc>
              <w:tc>
                <w:tcPr>
                  <w:tcW w:w="488"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耗氧量</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溶解性总固体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eastAsiaTheme="minorEastAsia"/>
                      <w:sz w:val="21"/>
                      <w:szCs w:val="21"/>
                      <w:highlight w:val="none"/>
                      <w:lang w:val="en-US" w:eastAsia="zh-CN"/>
                    </w:rPr>
                  </w:pPr>
                </w:p>
              </w:tc>
              <w:tc>
                <w:tcPr>
                  <w:tcW w:w="392"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浓度限值</w:t>
                  </w:r>
                </w:p>
              </w:tc>
              <w:tc>
                <w:tcPr>
                  <w:tcW w:w="488"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0.05</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mg/L</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c>
                <w:tcPr>
                  <w:tcW w:w="488"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0.3</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mg/L</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1000</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mg/L</w:t>
                  </w:r>
                </w:p>
              </w:tc>
              <w:tc>
                <w:tcPr>
                  <w:tcW w:w="396"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浓度限值</w:t>
                  </w:r>
                </w:p>
              </w:tc>
              <w:tc>
                <w:tcPr>
                  <w:tcW w:w="488" w:type="pct"/>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0.05</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mg/L</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w:t>
                  </w:r>
                </w:p>
              </w:tc>
              <w:tc>
                <w:tcPr>
                  <w:tcW w:w="488" w:type="pct"/>
                  <w:gridSpan w:val="2"/>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0.3</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mg/L</w:t>
                  </w:r>
                </w:p>
              </w:tc>
              <w:tc>
                <w:tcPr>
                  <w:tcW w:w="488"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1000</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cs="Times New Roman" w:eastAsiaTheme="minorEastAsia"/>
                      <w:sz w:val="21"/>
                      <w:szCs w:val="21"/>
                      <w:highlight w:val="no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2409" w:type="pct"/>
                  <w:gridSpan w:val="10"/>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《一般工业固体废物贮存、处置场污染控制标准》（GB18599-2001）危险废物执行《危险废物贮存污染控制标准》（GB18597-2001)</w:t>
                  </w:r>
                  <w:r>
                    <w:rPr>
                      <w:rFonts w:hint="eastAsia" w:ascii="Times New Roman" w:hAnsi="Times New Roman" w:cs="Times New Roman" w:eastAsiaTheme="minorEastAsia"/>
                      <w:sz w:val="21"/>
                      <w:szCs w:val="21"/>
                      <w:highlight w:val="none"/>
                    </w:rPr>
                    <w:t>，2013年修订</w:t>
                  </w:r>
                  <w:r>
                    <w:rPr>
                      <w:rFonts w:hint="default" w:ascii="Times New Roman" w:hAnsi="Times New Roman" w:cs="Times New Roman" w:eastAsiaTheme="minorEastAsia"/>
                      <w:sz w:val="21"/>
                      <w:szCs w:val="21"/>
                      <w:highlight w:val="none"/>
                    </w:rPr>
                    <w:t>。</w:t>
                  </w:r>
                </w:p>
              </w:tc>
              <w:tc>
                <w:tcPr>
                  <w:tcW w:w="2284" w:type="pct"/>
                  <w:gridSpan w:val="8"/>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《一般工业固体废物贮存、处置场污染控制标准》（GB18599-2001）危险废物执行《危险废物贮存污染控制标准》（GB18597-2001)</w:t>
                  </w:r>
                  <w:r>
                    <w:rPr>
                      <w:rFonts w:hint="eastAsia" w:ascii="Times New Roman" w:hAnsi="Times New Roman" w:cs="Times New Roman" w:eastAsiaTheme="minorEastAsia"/>
                      <w:sz w:val="21"/>
                      <w:szCs w:val="21"/>
                      <w:highlight w:val="none"/>
                    </w:rPr>
                    <w:t>，2013年修订</w:t>
                  </w:r>
                  <w:r>
                    <w:rPr>
                      <w:rFonts w:hint="default" w:ascii="Times New Roman" w:hAnsi="Times New Roman" w:cs="Times New Roman" w:eastAsiaTheme="minorEastAsia"/>
                      <w:sz w:val="21"/>
                      <w:szCs w:val="21"/>
                      <w:highlight w:val="none"/>
                    </w:rPr>
                    <w:t>。</w:t>
                  </w:r>
                </w:p>
              </w:tc>
            </w:tr>
          </w:tbl>
          <w:p>
            <w:pPr>
              <w:pStyle w:val="10"/>
              <w:rPr>
                <w:rFonts w:hint="default"/>
                <w:lang w:val="en-US" w:eastAsia="zh-CN"/>
              </w:rPr>
            </w:pPr>
          </w:p>
        </w:tc>
      </w:tr>
    </w:tbl>
    <w:p>
      <w:pPr>
        <w:spacing w:line="220" w:lineRule="atLeast"/>
        <w:jc w:val="right"/>
        <w:rPr>
          <w:sz w:val="21"/>
          <w:szCs w:val="21"/>
        </w:rPr>
        <w:sectPr>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eastAsia="宋体"/>
          <w:b/>
          <w:sz w:val="28"/>
          <w:szCs w:val="28"/>
          <w:lang w:val="en-US" w:eastAsia="zh-CN"/>
        </w:rPr>
      </w:pPr>
      <w:r>
        <w:rPr>
          <w:rFonts w:hint="eastAsia"/>
          <w:b/>
          <w:sz w:val="28"/>
          <w:szCs w:val="28"/>
        </w:rPr>
        <w:t>表</w:t>
      </w:r>
      <w:r>
        <w:rPr>
          <w:rFonts w:hint="eastAsia"/>
          <w:b/>
          <w:sz w:val="28"/>
          <w:szCs w:val="28"/>
          <w:lang w:val="en-US" w:eastAsia="zh-CN"/>
        </w:rPr>
        <w:t>七 验收监测结果</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334" w:hRule="atLeast"/>
          <w:jc w:val="center"/>
        </w:trPr>
        <w:tc>
          <w:tcPr>
            <w:tcW w:w="8960" w:type="dxa"/>
            <w:vAlign w:val="top"/>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eastAsia"/>
                <w:b/>
                <w:bCs/>
                <w:lang w:val="en-US" w:eastAsia="zh-CN"/>
              </w:rPr>
            </w:pPr>
            <w:r>
              <w:rPr>
                <w:rFonts w:hint="eastAsia"/>
                <w:b/>
                <w:bCs/>
                <w:lang w:val="en-US" w:eastAsia="zh-CN"/>
              </w:rPr>
              <w:t>验收监测期间生产工况记录：</w:t>
            </w:r>
          </w:p>
          <w:p>
            <w:pPr>
              <w:pStyle w:val="14"/>
              <w:keepNext w:val="0"/>
              <w:keepLines w:val="0"/>
              <w:pageBreakBefore w:val="0"/>
              <w:widowControl/>
              <w:kinsoku/>
              <w:wordWrap/>
              <w:overflowPunct/>
              <w:topLinePunct w:val="0"/>
              <w:autoSpaceDE/>
              <w:autoSpaceDN/>
              <w:bidi w:val="0"/>
              <w:adjustRightInd w:val="0"/>
              <w:snapToGrid w:val="0"/>
              <w:spacing w:after="0" w:line="360" w:lineRule="auto"/>
              <w:ind w:left="0" w:leftChars="0" w:firstLine="482"/>
              <w:textAlignment w:val="auto"/>
              <w:rPr>
                <w:rFonts w:hint="default"/>
                <w:lang w:val="en-US" w:eastAsia="zh-CN"/>
              </w:rPr>
            </w:pPr>
            <w:r>
              <w:t>验收监测期间，</w:t>
            </w:r>
            <w:r>
              <w:rPr>
                <w:rFonts w:hint="eastAsia"/>
                <w:lang w:val="en-US" w:eastAsia="zh-CN"/>
              </w:rPr>
              <w:t>项目</w:t>
            </w:r>
            <w:r>
              <w:t>进行正常</w:t>
            </w:r>
            <w:r>
              <w:rPr>
                <w:rFonts w:hint="eastAsia"/>
              </w:rPr>
              <w:t>生产</w:t>
            </w:r>
            <w:r>
              <w:t>，主体设施和环保设施正常运行，生产负荷满足验收要求。</w:t>
            </w:r>
            <w:r>
              <w:rPr>
                <w:rFonts w:hint="eastAsia"/>
                <w:lang w:val="en-US" w:eastAsia="zh-CN"/>
              </w:rPr>
              <w:t>详见表7-1。</w:t>
            </w:r>
          </w:p>
          <w:p>
            <w:pPr>
              <w:pStyle w:val="10"/>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表7-1 验收监测期间生产工况</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2969"/>
              <w:gridCol w:w="2273"/>
              <w:gridCol w:w="2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bCs/>
                      <w:sz w:val="21"/>
                      <w:szCs w:val="21"/>
                      <w:vertAlign w:val="baseline"/>
                      <w:lang w:eastAsia="zh-CN"/>
                    </w:rPr>
                  </w:pPr>
                  <w:r>
                    <w:rPr>
                      <w:rFonts w:hint="default" w:ascii="Times New Roman" w:hAnsi="Times New Roman" w:cs="Times New Roman" w:eastAsiaTheme="minorEastAsia"/>
                      <w:b/>
                      <w:bCs/>
                      <w:sz w:val="21"/>
                      <w:szCs w:val="21"/>
                      <w:vertAlign w:val="baseline"/>
                      <w:lang w:eastAsia="zh-CN"/>
                    </w:rPr>
                    <w:t>产品名称</w:t>
                  </w:r>
                </w:p>
              </w:tc>
              <w:tc>
                <w:tcPr>
                  <w:tcW w:w="157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eastAsia" w:ascii="Times New Roman" w:hAnsi="Times New Roman" w:cs="Times New Roman" w:eastAsiaTheme="minorEastAsia"/>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环评</w:t>
                  </w:r>
                  <w:r>
                    <w:rPr>
                      <w:rFonts w:hint="eastAsia" w:cs="Times New Roman"/>
                      <w:b/>
                      <w:bCs/>
                      <w:sz w:val="21"/>
                      <w:szCs w:val="21"/>
                      <w:vertAlign w:val="baseline"/>
                      <w:lang w:val="en-US" w:eastAsia="zh-CN"/>
                    </w:rPr>
                    <w:t>设计产品及</w:t>
                  </w:r>
                  <w:r>
                    <w:rPr>
                      <w:rFonts w:hint="eastAsia" w:ascii="Times New Roman" w:hAnsi="Times New Roman" w:cs="Times New Roman"/>
                      <w:b/>
                      <w:bCs/>
                      <w:sz w:val="21"/>
                      <w:szCs w:val="21"/>
                      <w:vertAlign w:val="baseline"/>
                      <w:lang w:val="en-US" w:eastAsia="zh-CN"/>
                    </w:rPr>
                    <w:t>产能</w:t>
                  </w:r>
                </w:p>
              </w:tc>
              <w:tc>
                <w:tcPr>
                  <w:tcW w:w="2412" w:type="pct"/>
                  <w:gridSpan w:val="2"/>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实际确认产品及产能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bCs/>
                      <w:sz w:val="21"/>
                      <w:szCs w:val="21"/>
                      <w:vertAlign w:val="baseline"/>
                      <w:lang w:eastAsia="zh-CN"/>
                    </w:rPr>
                  </w:pPr>
                </w:p>
              </w:tc>
              <w:tc>
                <w:tcPr>
                  <w:tcW w:w="157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eastAsia"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lang w:eastAsia="zh-CN"/>
                    </w:rPr>
                    <w:t>环评设计</w:t>
                  </w:r>
                  <w:r>
                    <w:rPr>
                      <w:rFonts w:hint="eastAsia" w:cs="Times New Roman" w:eastAsiaTheme="minorEastAsia"/>
                      <w:b w:val="0"/>
                      <w:bCs w:val="0"/>
                      <w:color w:val="auto"/>
                      <w:sz w:val="21"/>
                      <w:szCs w:val="21"/>
                      <w:lang w:val="en-US" w:eastAsia="zh-CN"/>
                    </w:rPr>
                    <w:t>日</w:t>
                  </w:r>
                  <w:r>
                    <w:rPr>
                      <w:rFonts w:hint="eastAsia" w:ascii="Times New Roman" w:hAnsi="Times New Roman" w:cs="Times New Roman"/>
                      <w:b w:val="0"/>
                      <w:bCs w:val="0"/>
                      <w:color w:val="auto"/>
                      <w:sz w:val="21"/>
                      <w:szCs w:val="21"/>
                      <w:lang w:eastAsia="zh-CN"/>
                    </w:rPr>
                    <w:t>产能</w:t>
                  </w:r>
                </w:p>
              </w:tc>
              <w:tc>
                <w:tcPr>
                  <w:tcW w:w="2412" w:type="pct"/>
                  <w:gridSpan w:val="2"/>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val="0"/>
                      <w:bCs w:val="0"/>
                      <w:color w:val="auto"/>
                      <w:sz w:val="21"/>
                      <w:szCs w:val="21"/>
                      <w:vertAlign w:val="baseline"/>
                    </w:rPr>
                  </w:pPr>
                  <w:r>
                    <w:rPr>
                      <w:rFonts w:hint="eastAsia" w:ascii="Times New Roman" w:hAnsi="Times New Roman" w:cs="Times New Roman"/>
                      <w:b w:val="0"/>
                      <w:bCs w:val="0"/>
                      <w:color w:val="auto"/>
                      <w:sz w:val="21"/>
                      <w:szCs w:val="21"/>
                      <w:vertAlign w:val="baseline"/>
                      <w:lang w:eastAsia="zh-CN"/>
                    </w:rPr>
                    <w:t>本次验收监测日产能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bCs/>
                      <w:sz w:val="21"/>
                      <w:szCs w:val="21"/>
                      <w:vertAlign w:val="baseline"/>
                    </w:rPr>
                  </w:pPr>
                </w:p>
              </w:tc>
              <w:tc>
                <w:tcPr>
                  <w:tcW w:w="157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val="0"/>
                      <w:bCs w:val="0"/>
                      <w:color w:val="auto"/>
                      <w:sz w:val="21"/>
                      <w:szCs w:val="21"/>
                      <w:vertAlign w:val="baseline"/>
                    </w:rPr>
                  </w:pPr>
                </w:p>
              </w:tc>
              <w:tc>
                <w:tcPr>
                  <w:tcW w:w="12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eastAsia" w:ascii="Times New Roman" w:hAnsi="Times New Roman" w:cs="Times New Roman" w:eastAsiaTheme="minor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w:t>
                  </w:r>
                  <w:r>
                    <w:rPr>
                      <w:rFonts w:hint="eastAsia" w:ascii="Times New Roman" w:hAnsi="Times New Roman"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30</w:t>
                  </w:r>
                  <w:r>
                    <w:rPr>
                      <w:rFonts w:hint="eastAsia" w:ascii="Times New Roman" w:hAnsi="Times New Roman" w:cs="Times New Roman"/>
                      <w:b w:val="0"/>
                      <w:bCs w:val="0"/>
                      <w:color w:val="auto"/>
                      <w:sz w:val="21"/>
                      <w:szCs w:val="21"/>
                      <w:vertAlign w:val="baseline"/>
                      <w:lang w:val="en-US" w:eastAsia="zh-CN"/>
                    </w:rPr>
                    <w:t>日</w:t>
                  </w:r>
                </w:p>
              </w:tc>
              <w:tc>
                <w:tcPr>
                  <w:tcW w:w="120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eastAsia" w:ascii="Times New Roman" w:hAnsi="Times New Roman" w:cs="Times New Roman" w:eastAsiaTheme="minor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w:t>
                  </w:r>
                  <w:r>
                    <w:rPr>
                      <w:rFonts w:hint="eastAsia" w:ascii="Times New Roman" w:hAnsi="Times New Roman"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1</w:t>
                  </w:r>
                  <w:r>
                    <w:rPr>
                      <w:rFonts w:hint="eastAsia" w:ascii="Times New Roman" w:hAnsi="Times New Roman" w:cs="Times New Roman"/>
                      <w:b w:val="0"/>
                      <w:bCs w:val="0"/>
                      <w:color w:val="auto"/>
                      <w:sz w:val="21"/>
                      <w:szCs w:val="21"/>
                      <w:vertAlign w:val="baseline"/>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eastAsia" w:cs="Times New Roman" w:eastAsiaTheme="minorEastAsia"/>
                      <w:b w:val="0"/>
                      <w:bCs w:val="0"/>
                      <w:sz w:val="21"/>
                      <w:szCs w:val="21"/>
                      <w:vertAlign w:val="baseline"/>
                      <w:lang w:val="en-US" w:eastAsia="zh-CN"/>
                    </w:rPr>
                    <w:t>销售汽油</w:t>
                  </w:r>
                </w:p>
              </w:tc>
              <w:tc>
                <w:tcPr>
                  <w:tcW w:w="15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4t</w:t>
                  </w:r>
                </w:p>
              </w:tc>
              <w:tc>
                <w:tcPr>
                  <w:tcW w:w="12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3.85t</w:t>
                  </w:r>
                </w:p>
              </w:tc>
              <w:tc>
                <w:tcPr>
                  <w:tcW w:w="120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eastAsiaTheme="minorEastAsia"/>
                      <w:b w:val="0"/>
                      <w:bCs w:val="0"/>
                      <w:sz w:val="21"/>
                      <w:szCs w:val="21"/>
                      <w:vertAlign w:val="baseline"/>
                      <w:lang w:val="en-US" w:eastAsia="zh-CN"/>
                    </w:rPr>
                  </w:pPr>
                  <w:r>
                    <w:rPr>
                      <w:rFonts w:hint="eastAsia" w:cs="Times New Roman" w:eastAsiaTheme="minorEastAsia"/>
                      <w:b w:val="0"/>
                      <w:bCs w:val="0"/>
                      <w:sz w:val="21"/>
                      <w:szCs w:val="21"/>
                      <w:vertAlign w:val="baseline"/>
                      <w:lang w:val="en-US" w:eastAsia="zh-CN"/>
                    </w:rPr>
                    <w:t>销售柴油</w:t>
                  </w:r>
                </w:p>
              </w:tc>
              <w:tc>
                <w:tcPr>
                  <w:tcW w:w="15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1t</w:t>
                  </w:r>
                </w:p>
              </w:tc>
              <w:tc>
                <w:tcPr>
                  <w:tcW w:w="12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1t</w:t>
                  </w:r>
                </w:p>
              </w:tc>
              <w:tc>
                <w:tcPr>
                  <w:tcW w:w="120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1"/>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1t</w:t>
                  </w:r>
                </w:p>
              </w:tc>
            </w:tr>
          </w:tbl>
          <w:p>
            <w:pPr>
              <w:rPr>
                <w:rFonts w:hint="default"/>
                <w:b/>
                <w:bCs/>
                <w:lang w:val="en-US" w:eastAsia="zh-CN"/>
              </w:rPr>
            </w:pPr>
            <w:r>
              <w:rPr>
                <w:rFonts w:hint="eastAsia"/>
                <w:b/>
                <w:bCs/>
                <w:lang w:val="en-US" w:eastAsia="zh-CN"/>
              </w:rPr>
              <w:t>验收监测结果：</w:t>
            </w:r>
          </w:p>
          <w:p>
            <w:pPr>
              <w:pStyle w:val="10"/>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firstLine="482" w:firstLineChars="200"/>
              <w:textAlignment w:val="auto"/>
              <w:rPr>
                <w:rFonts w:hint="eastAsia"/>
                <w:b/>
                <w:bCs/>
                <w:lang w:val="en-US" w:eastAsia="zh-CN"/>
              </w:rPr>
            </w:pPr>
            <w:r>
              <w:rPr>
                <w:rFonts w:hint="eastAsia"/>
                <w:b/>
                <w:bCs/>
                <w:lang w:val="en-US" w:eastAsia="zh-CN"/>
              </w:rPr>
              <w:t>废气监测结果</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eastAsia"/>
                <w:lang w:val="en-US" w:eastAsia="zh-CN"/>
              </w:rPr>
              <w:t>废气监测结果见表7-2。</w:t>
            </w:r>
          </w:p>
          <w:p>
            <w:pPr>
              <w:keepNext w:val="0"/>
              <w:keepLines w:val="0"/>
              <w:pageBreakBefore w:val="0"/>
              <w:widowControl/>
              <w:numPr>
                <w:ilvl w:val="0"/>
                <w:numId w:val="0"/>
              </w:numPr>
              <w:kinsoku/>
              <w:wordWrap/>
              <w:overflowPunct/>
              <w:topLinePunct w:val="0"/>
              <w:autoSpaceDE/>
              <w:autoSpaceDN/>
              <w:bidi w:val="0"/>
              <w:adjustRightInd w:val="0"/>
              <w:snapToGrid w:val="0"/>
              <w:spacing w:after="0"/>
              <w:jc w:val="center"/>
              <w:textAlignment w:val="auto"/>
              <w:rPr>
                <w:rFonts w:hint="default"/>
                <w:b/>
                <w:bCs/>
                <w:lang w:val="en-US" w:eastAsia="zh-CN"/>
              </w:rPr>
            </w:pPr>
            <w:r>
              <w:rPr>
                <w:rFonts w:hint="eastAsia"/>
                <w:b/>
                <w:bCs/>
                <w:lang w:val="en-US" w:eastAsia="zh-CN"/>
              </w:rPr>
              <w:t>表7-2 无组织废气监测结果</w:t>
            </w:r>
          </w:p>
          <w:p>
            <w:pPr>
              <w:pStyle w:val="10"/>
              <w:keepNext w:val="0"/>
              <w:keepLines w:val="0"/>
              <w:pageBreakBefore w:val="0"/>
              <w:widowControl w:val="0"/>
              <w:kinsoku/>
              <w:wordWrap/>
              <w:overflowPunct/>
              <w:topLinePunct w:val="0"/>
              <w:autoSpaceDE w:val="0"/>
              <w:autoSpaceDN w:val="0"/>
              <w:bidi w:val="0"/>
              <w:adjustRightInd/>
              <w:snapToGrid/>
              <w:spacing w:after="0" w:line="240" w:lineRule="auto"/>
              <w:jc w:val="righ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单位：mg/m³</w:t>
            </w:r>
          </w:p>
          <w:tbl>
            <w:tblPr>
              <w:tblStyle w:val="52"/>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6"/>
              <w:gridCol w:w="2278"/>
              <w:gridCol w:w="1417"/>
              <w:gridCol w:w="1315"/>
              <w:gridCol w:w="661"/>
              <w:gridCol w:w="661"/>
              <w:gridCol w:w="661"/>
              <w:gridCol w:w="661"/>
              <w:gridCol w:w="661"/>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5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检测点位</w:t>
                  </w:r>
                </w:p>
              </w:tc>
              <w:tc>
                <w:tcPr>
                  <w:tcW w:w="14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现场检测日期</w:t>
                  </w:r>
                </w:p>
              </w:tc>
              <w:tc>
                <w:tcPr>
                  <w:tcW w:w="13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检测项目</w:t>
                  </w:r>
                </w:p>
              </w:tc>
              <w:tc>
                <w:tcPr>
                  <w:tcW w:w="26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b/>
                      <w:bCs/>
                      <w:sz w:val="21"/>
                      <w:szCs w:val="21"/>
                      <w:lang w:val="en-US" w:eastAsia="zh-CN"/>
                    </w:rPr>
                  </w:pPr>
                  <w:r>
                    <w:rPr>
                      <w:rFonts w:ascii="Times New Roman" w:hAnsi="Times New Roman" w:cs="Times New Roman"/>
                      <w:b/>
                      <w:bCs/>
                      <w:sz w:val="21"/>
                      <w:szCs w:val="21"/>
                      <w:lang w:val="en-US"/>
                    </w:rPr>
                    <w:t>检测结果</w:t>
                  </w:r>
                </w:p>
              </w:tc>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标准</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限值</w:t>
                  </w:r>
                </w:p>
              </w:tc>
              <w:tc>
                <w:tcPr>
                  <w:tcW w:w="66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结果</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5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4</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c>
                <w:tcPr>
                  <w:tcW w:w="6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eastAsia="宋体"/>
                      <w:sz w:val="21"/>
                      <w:szCs w:val="21"/>
                      <w:lang w:val="en-US"/>
                    </w:rPr>
                    <w:t>1#</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项目北侧厂界外3m处</w:t>
                  </w:r>
                </w:p>
              </w:tc>
              <w:tc>
                <w:tcPr>
                  <w:tcW w:w="14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eastAsiaTheme="minorEastAsia"/>
                      <w:sz w:val="21"/>
                      <w:szCs w:val="21"/>
                      <w:lang w:val="en-US"/>
                    </w:rPr>
                    <w:t>2020.11.30</w:t>
                  </w:r>
                </w:p>
              </w:tc>
              <w:tc>
                <w:tcPr>
                  <w:tcW w:w="13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color w:val="000000"/>
                      <w:sz w:val="21"/>
                      <w:szCs w:val="21"/>
                    </w:rPr>
                    <w:t>非甲烷总烃</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4.0</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2</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项目东侧厂界外3m处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0.46</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0.42</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0.42</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3</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项目西南侧厂界外3m处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0.47</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0.49</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0.51</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4</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项目西侧厂界外3m处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0.44</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0.47</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0.49</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eastAsia="宋体"/>
                      <w:sz w:val="21"/>
                      <w:szCs w:val="21"/>
                      <w:lang w:val="en-US"/>
                    </w:rPr>
                    <w:t>1#</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项目北侧厂界外3m处</w:t>
                  </w:r>
                </w:p>
              </w:tc>
              <w:tc>
                <w:tcPr>
                  <w:tcW w:w="14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eastAsiaTheme="minorEastAsia"/>
                      <w:sz w:val="21"/>
                      <w:szCs w:val="21"/>
                      <w:lang w:val="en-US"/>
                    </w:rPr>
                    <w:t>2020.12.01</w:t>
                  </w: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0.31</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0.31</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2</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项目东侧厂界外3m处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0.48</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0.46</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0.47</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3</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项目西南侧厂界外3m处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0.54</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0.51</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0.49</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6"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both"/>
                    <w:textAlignment w:val="auto"/>
                    <w:rPr>
                      <w:rFonts w:eastAsia="宋体"/>
                      <w:sz w:val="21"/>
                      <w:szCs w:val="21"/>
                      <w:lang w:val="en-US"/>
                    </w:rPr>
                  </w:pPr>
                  <w:r>
                    <w:rPr>
                      <w:rFonts w:hint="eastAsia" w:eastAsia="宋体"/>
                      <w:sz w:val="21"/>
                      <w:szCs w:val="21"/>
                      <w:lang w:val="en-US"/>
                    </w:rPr>
                    <w:t>4</w:t>
                  </w:r>
                  <w:r>
                    <w:rPr>
                      <w:rFonts w:eastAsia="宋体"/>
                      <w:sz w:val="21"/>
                      <w:szCs w:val="21"/>
                      <w:lang w:val="en-US"/>
                    </w:rPr>
                    <w:t>#</w:t>
                  </w:r>
                </w:p>
              </w:tc>
              <w:tc>
                <w:tcPr>
                  <w:tcW w:w="227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sz w:val="21"/>
                      <w:szCs w:val="21"/>
                      <w:lang w:val="en-US"/>
                    </w:rPr>
                  </w:pPr>
                  <w:r>
                    <w:rPr>
                      <w:rFonts w:hint="eastAsia" w:ascii="Times New Roman" w:hAnsi="Times New Roman" w:cs="Times New Roman"/>
                      <w:sz w:val="21"/>
                      <w:szCs w:val="21"/>
                      <w:lang w:val="en-US"/>
                    </w:rPr>
                    <w:t>项目西侧厂界外3m处</w:t>
                  </w:r>
                </w:p>
              </w:tc>
              <w:tc>
                <w:tcPr>
                  <w:tcW w:w="14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3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0.51</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0.50</w:t>
                  </w:r>
                </w:p>
              </w:tc>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监测结论：验收监测期间</w:t>
            </w:r>
            <w:r>
              <w:rPr>
                <w:rFonts w:ascii="Times New Roman" w:hAnsi="Times New Roman" w:cs="Times New Roman" w:eastAsiaTheme="minorEastAsia"/>
                <w:bCs/>
                <w:color w:val="auto"/>
                <w:sz w:val="24"/>
                <w:szCs w:val="24"/>
              </w:rPr>
              <w:t>无组织</w:t>
            </w:r>
            <w:r>
              <w:rPr>
                <w:rFonts w:hint="eastAsia" w:cs="Times New Roman" w:eastAsiaTheme="minorEastAsia"/>
                <w:bCs/>
                <w:color w:val="auto"/>
                <w:sz w:val="24"/>
                <w:szCs w:val="24"/>
                <w:lang w:eastAsia="zh-CN"/>
              </w:rPr>
              <w:t>非甲烷总烃</w:t>
            </w:r>
            <w:r>
              <w:rPr>
                <w:rFonts w:ascii="Times New Roman" w:hAnsi="Times New Roman" w:cs="Times New Roman" w:eastAsiaTheme="minorEastAsia"/>
                <w:bCs/>
                <w:color w:val="auto"/>
                <w:sz w:val="24"/>
                <w:szCs w:val="24"/>
              </w:rPr>
              <w:t>结果符合</w:t>
            </w:r>
            <w:r>
              <w:rPr>
                <w:rFonts w:hint="eastAsia" w:ascii="Times New Roman" w:hAnsi="Times New Roman" w:eastAsia="宋体" w:cs="Times New Roman"/>
                <w:i w:val="0"/>
                <w:color w:val="000000"/>
                <w:kern w:val="0"/>
                <w:sz w:val="24"/>
                <w:szCs w:val="24"/>
                <w:u w:val="none"/>
                <w:lang w:val="en-US" w:eastAsia="zh-CN" w:bidi="ar"/>
              </w:rPr>
              <w:t>《</w:t>
            </w:r>
            <w:r>
              <w:rPr>
                <w:rFonts w:hint="eastAsia"/>
                <w:color w:val="auto"/>
                <w:sz w:val="24"/>
                <w:szCs w:val="24"/>
                <w:lang w:val="en-US" w:eastAsia="zh-CN"/>
              </w:rPr>
              <w:t>大气污染物综合排放标准》（</w:t>
            </w:r>
            <w:r>
              <w:rPr>
                <w:rFonts w:hint="eastAsia" w:ascii="Times New Roman" w:hAnsi="Times New Roman" w:cs="Times New Roman"/>
                <w:color w:val="auto"/>
                <w:sz w:val="24"/>
                <w:szCs w:val="24"/>
                <w:lang w:val="en-US" w:eastAsia="zh-CN"/>
              </w:rPr>
              <w:t>GB16297-1996</w:t>
            </w:r>
            <w:r>
              <w:rPr>
                <w:rFonts w:hint="eastAsia"/>
                <w:color w:val="auto"/>
                <w:sz w:val="24"/>
                <w:szCs w:val="24"/>
                <w:lang w:val="en-US" w:eastAsia="zh-CN"/>
              </w:rPr>
              <w:t>）</w:t>
            </w:r>
            <w:r>
              <w:rPr>
                <w:rFonts w:hint="default" w:ascii="Times New Roman" w:hAnsi="Times New Roman" w:cs="Times New Roman"/>
                <w:color w:val="auto"/>
                <w:sz w:val="24"/>
                <w:szCs w:val="24"/>
                <w:lang w:val="en-US" w:eastAsia="zh-CN"/>
              </w:rPr>
              <w:t>表2</w:t>
            </w:r>
            <w:r>
              <w:rPr>
                <w:rFonts w:hint="eastAsia" w:ascii="Times New Roman" w:hAnsi="Times New Roman" w:eastAsia="宋体" w:cs="Times New Roman"/>
                <w:i w:val="0"/>
                <w:color w:val="000000"/>
                <w:kern w:val="0"/>
                <w:sz w:val="24"/>
                <w:szCs w:val="24"/>
                <w:u w:val="none"/>
                <w:lang w:val="en-US" w:eastAsia="zh-CN" w:bidi="ar"/>
              </w:rPr>
              <w:t>中</w:t>
            </w:r>
            <w:r>
              <w:rPr>
                <w:rFonts w:ascii="Times New Roman" w:hAnsi="Times New Roman" w:cs="Times New Roman" w:eastAsiaTheme="minorEastAsia"/>
                <w:color w:val="auto"/>
                <w:sz w:val="24"/>
                <w:szCs w:val="24"/>
              </w:rPr>
              <w:t>标准限值要求</w:t>
            </w:r>
            <w:r>
              <w:rPr>
                <w:rFonts w:hint="eastAsia" w:cs="Times New Roman" w:eastAsiaTheme="minorEastAsia"/>
                <w:color w:val="auto"/>
                <w:sz w:val="24"/>
                <w:szCs w:val="24"/>
                <w:lang w:eastAsia="zh-CN"/>
              </w:rPr>
              <w:t>，</w:t>
            </w:r>
            <w:r>
              <w:rPr>
                <w:rFonts w:ascii="Times New Roman" w:hAnsi="Times New Roman" w:cs="Times New Roman" w:eastAsiaTheme="minorEastAsia"/>
                <w:color w:val="auto"/>
                <w:sz w:val="24"/>
                <w:szCs w:val="24"/>
              </w:rPr>
              <w:t>实现达标排放</w:t>
            </w:r>
            <w:r>
              <w:rPr>
                <w:rFonts w:ascii="Times New Roman" w:hAnsi="Times New Roman" w:cs="Times New Roman" w:eastAsiaTheme="minorEastAsia"/>
                <w:bCs/>
                <w:color w:val="auto"/>
                <w:sz w:val="24"/>
                <w:szCs w:val="24"/>
              </w:rPr>
              <w:t>。</w:t>
            </w:r>
          </w:p>
          <w:p>
            <w:pPr>
              <w:pStyle w:val="10"/>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left="0" w:leftChars="0" w:firstLine="482" w:firstLineChars="200"/>
              <w:textAlignment w:val="auto"/>
              <w:rPr>
                <w:rFonts w:hint="eastAsia"/>
                <w:b/>
                <w:bCs/>
                <w:lang w:val="en-US" w:eastAsia="zh-CN"/>
              </w:rPr>
            </w:pPr>
            <w:r>
              <w:rPr>
                <w:rFonts w:hint="eastAsia"/>
                <w:b/>
                <w:bCs/>
                <w:lang w:val="en-US" w:eastAsia="zh-CN"/>
              </w:rPr>
              <w:t>地下水监测结果</w:t>
            </w:r>
          </w:p>
          <w:p>
            <w:pPr>
              <w:keepNext w:val="0"/>
              <w:keepLines w:val="0"/>
              <w:pageBreakBefore w:val="0"/>
              <w:widowControl/>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b/>
                <w:bCs/>
                <w:lang w:val="en-US" w:eastAsia="zh-CN"/>
              </w:rPr>
            </w:pPr>
            <w:r>
              <w:rPr>
                <w:rFonts w:hint="default" w:ascii="Times New Roman" w:hAnsi="Times New Roman"/>
                <w:b/>
                <w:bCs/>
                <w:lang w:val="en-US" w:eastAsia="zh-CN"/>
              </w:rPr>
              <w:t>表</w:t>
            </w:r>
            <w:r>
              <w:rPr>
                <w:rFonts w:hint="eastAsia" w:ascii="Times New Roman" w:hAnsi="Times New Roman"/>
                <w:b/>
                <w:bCs/>
                <w:lang w:val="en-US" w:eastAsia="zh-CN"/>
              </w:rPr>
              <w:t xml:space="preserve"> 7</w:t>
            </w:r>
            <w:r>
              <w:rPr>
                <w:rFonts w:hint="default" w:ascii="Times New Roman" w:hAnsi="Times New Roman"/>
                <w:b/>
                <w:bCs/>
                <w:lang w:val="en-US" w:eastAsia="zh-CN"/>
              </w:rPr>
              <w:t>-</w:t>
            </w:r>
            <w:r>
              <w:rPr>
                <w:rFonts w:hint="eastAsia"/>
                <w:b/>
                <w:bCs/>
                <w:lang w:val="en-US" w:eastAsia="zh-CN"/>
              </w:rPr>
              <w:t>3</w:t>
            </w:r>
            <w:r>
              <w:rPr>
                <w:rFonts w:hint="default" w:ascii="Times New Roman" w:hAnsi="Times New Roman"/>
                <w:b/>
                <w:bCs/>
                <w:lang w:val="en-US" w:eastAsia="zh-CN"/>
              </w:rPr>
              <w:t xml:space="preserve"> 废水检测结果</w:t>
            </w:r>
          </w:p>
          <w:tbl>
            <w:tblPr>
              <w:tblStyle w:val="22"/>
              <w:tblW w:w="93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2"/>
              <w:gridCol w:w="1561"/>
              <w:gridCol w:w="1418"/>
              <w:gridCol w:w="1419"/>
              <w:gridCol w:w="871"/>
              <w:gridCol w:w="1236"/>
              <w:gridCol w:w="1236"/>
              <w:gridCol w:w="1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3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eastAsiaTheme="minorEastAsia"/>
                      <w:b/>
                      <w:bCs/>
                      <w:sz w:val="21"/>
                      <w:szCs w:val="21"/>
                      <w:lang w:val="en-US"/>
                    </w:rPr>
                    <w:t>检测点位</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r>
                    <w:rPr>
                      <w:rFonts w:ascii="Times New Roman" w:hAnsi="Times New Roman" w:cs="Times New Roman" w:eastAsiaTheme="minorEastAsia"/>
                      <w:b/>
                      <w:bCs/>
                      <w:sz w:val="21"/>
                      <w:szCs w:val="21"/>
                      <w:lang w:val="en-US"/>
                    </w:rPr>
                    <w:t>现场检测日期</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rPr>
                  </w:pPr>
                  <w:r>
                    <w:rPr>
                      <w:rFonts w:ascii="Times New Roman" w:hAnsi="Times New Roman" w:cs="Times New Roman" w:eastAsiaTheme="minorEastAsia"/>
                      <w:b/>
                      <w:bCs/>
                      <w:sz w:val="21"/>
                      <w:szCs w:val="21"/>
                      <w:lang w:val="en-US"/>
                    </w:rPr>
                    <w:t>检测项目</w:t>
                  </w:r>
                </w:p>
              </w:tc>
              <w:tc>
                <w:tcPr>
                  <w:tcW w:w="8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单位</w:t>
                  </w: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eastAsiaTheme="minorEastAsia"/>
                      <w:b/>
                      <w:bCs/>
                      <w:sz w:val="21"/>
                      <w:szCs w:val="21"/>
                      <w:lang w:val="en-US"/>
                    </w:rPr>
                    <w:t>检测结果</w:t>
                  </w: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标准限值</w:t>
                  </w:r>
                </w:p>
              </w:tc>
              <w:tc>
                <w:tcPr>
                  <w:tcW w:w="12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结果评价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restart"/>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textAlignment w:val="auto"/>
                    <w:rPr>
                      <w:sz w:val="21"/>
                      <w:szCs w:val="21"/>
                      <w:lang w:val="en-US"/>
                    </w:rPr>
                  </w:pPr>
                  <w:r>
                    <w:rPr>
                      <w:rFonts w:eastAsia="宋体"/>
                      <w:sz w:val="21"/>
                      <w:szCs w:val="21"/>
                      <w:lang w:val="en-US"/>
                    </w:rPr>
                    <w:t>1#</w:t>
                  </w:r>
                </w:p>
              </w:tc>
              <w:tc>
                <w:tcPr>
                  <w:tcW w:w="1561"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lang w:val="en-US"/>
                    </w:rPr>
                  </w:pPr>
                  <w:r>
                    <w:rPr>
                      <w:rFonts w:hint="eastAsia" w:ascii="Times New Roman" w:hAnsi="Times New Roman" w:cs="Times New Roman"/>
                      <w:sz w:val="21"/>
                      <w:szCs w:val="21"/>
                      <w:lang w:val="en-US"/>
                    </w:rPr>
                    <w:t>地下水出水口</w:t>
                  </w:r>
                </w:p>
              </w:tc>
              <w:tc>
                <w:tcPr>
                  <w:tcW w:w="141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rPr>
                    <w:t>2020.11.30</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氨氮</w:t>
                  </w:r>
                </w:p>
              </w:tc>
              <w:tc>
                <w:tcPr>
                  <w:tcW w:w="87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cs="Times New Roman"/>
                      <w:sz w:val="21"/>
                      <w:szCs w:val="21"/>
                      <w:lang w:val="en-US"/>
                    </w:rPr>
                  </w:pPr>
                  <w:r>
                    <w:rPr>
                      <w:rFonts w:hint="default" w:ascii="Times New Roman" w:hAnsi="Times New Roman" w:eastAsia="宋体" w:cs="Times New Roman"/>
                      <w:b w:val="0"/>
                      <w:bCs w:val="0"/>
                      <w:sz w:val="21"/>
                      <w:szCs w:val="21"/>
                      <w:lang w:val="en-US" w:eastAsia="zh-CN"/>
                    </w:rPr>
                    <w:t>mg/L</w:t>
                  </w: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0.260</w:t>
                  </w:r>
                </w:p>
              </w:tc>
              <w:tc>
                <w:tcPr>
                  <w:tcW w:w="123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0.50</w:t>
                  </w:r>
                </w:p>
              </w:tc>
              <w:tc>
                <w:tcPr>
                  <w:tcW w:w="12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5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41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sz w:val="21"/>
                      <w:szCs w:val="21"/>
                      <w:lang w:val="en-US"/>
                    </w:rPr>
                  </w:pPr>
                  <w:r>
                    <w:rPr>
                      <w:rFonts w:hint="eastAsia" w:ascii="宋体" w:hAnsi="宋体" w:eastAsia="宋体" w:cs="宋体"/>
                      <w:sz w:val="21"/>
                      <w:szCs w:val="21"/>
                      <w:lang w:val="en-US"/>
                    </w:rPr>
                    <w:t>石油类</w:t>
                  </w:r>
                </w:p>
              </w:tc>
              <w:tc>
                <w:tcPr>
                  <w:tcW w:w="871"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hint="eastAsia" w:ascii="宋体" w:hAnsi="宋体" w:eastAsia="宋体" w:cs="宋体"/>
                      <w:sz w:val="21"/>
                      <w:szCs w:val="21"/>
                      <w:lang w:val="en-US"/>
                    </w:rPr>
                  </w:pP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0.02</w:t>
                  </w:r>
                </w:p>
              </w:tc>
              <w:tc>
                <w:tcPr>
                  <w:tcW w:w="123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2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5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耗氧量</w:t>
                  </w:r>
                </w:p>
              </w:tc>
              <w:tc>
                <w:tcPr>
                  <w:tcW w:w="87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hint="eastAsia" w:ascii="Times New Roman" w:hAnsi="Times New Roman" w:cs="Times New Roman"/>
                      <w:sz w:val="21"/>
                      <w:szCs w:val="21"/>
                      <w:lang w:val="en-US"/>
                    </w:rPr>
                  </w:pP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1.1</w:t>
                  </w:r>
                </w:p>
              </w:tc>
              <w:tc>
                <w:tcPr>
                  <w:tcW w:w="123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12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5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eastAsiaTheme="minorEastAsia"/>
                      <w:sz w:val="21"/>
                      <w:szCs w:val="21"/>
                      <w:lang w:val="en-US"/>
                    </w:rPr>
                  </w:pPr>
                </w:p>
              </w:tc>
              <w:tc>
                <w:tcPr>
                  <w:tcW w:w="1419"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asciiTheme="minorEastAsia" w:hAnsiTheme="minorEastAsia" w:eastAsiaTheme="minorEastAsia"/>
                      <w:sz w:val="21"/>
                      <w:szCs w:val="21"/>
                      <w:lang w:val="en-US"/>
                    </w:rPr>
                    <w:t>溶解性总固体</w:t>
                  </w:r>
                </w:p>
              </w:tc>
              <w:tc>
                <w:tcPr>
                  <w:tcW w:w="871" w:type="dxa"/>
                  <w:vMerge w:val="continue"/>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textAlignment w:val="auto"/>
                    <w:rPr>
                      <w:rFonts w:hint="eastAsia" w:asciiTheme="minorEastAsia" w:hAnsiTheme="minorEastAsia" w:eastAsiaTheme="minorEastAsia"/>
                      <w:sz w:val="21"/>
                      <w:szCs w:val="21"/>
                      <w:lang w:val="en-US"/>
                    </w:rPr>
                  </w:pPr>
                </w:p>
              </w:tc>
              <w:tc>
                <w:tcPr>
                  <w:tcW w:w="12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172</w:t>
                  </w:r>
                </w:p>
              </w:tc>
              <w:tc>
                <w:tcPr>
                  <w:tcW w:w="123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1000</w:t>
                  </w:r>
                </w:p>
              </w:tc>
              <w:tc>
                <w:tcPr>
                  <w:tcW w:w="12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eastAsiaTheme="minorEastAsia"/>
                <w:lang w:val="en-US" w:eastAsia="zh-CN"/>
              </w:rPr>
            </w:pPr>
            <w:r>
              <w:rPr>
                <w:rFonts w:hint="eastAsia" w:ascii="宋体" w:hAnsi="宋体" w:cs="宋体"/>
                <w:color w:val="auto"/>
                <w:sz w:val="24"/>
                <w:szCs w:val="24"/>
              </w:rPr>
              <w:t>监测结论：验收监测期间</w:t>
            </w:r>
            <w:r>
              <w:rPr>
                <w:rFonts w:hint="eastAsia" w:cs="Times New Roman" w:eastAsiaTheme="minorEastAsia"/>
                <w:bCs/>
                <w:color w:val="auto"/>
                <w:sz w:val="24"/>
                <w:szCs w:val="24"/>
                <w:lang w:eastAsia="zh-CN"/>
              </w:rPr>
              <w:t>地下水</w:t>
            </w:r>
            <w:r>
              <w:rPr>
                <w:rFonts w:ascii="Times New Roman" w:hAnsi="Times New Roman" w:cs="Times New Roman" w:eastAsiaTheme="minorEastAsia"/>
                <w:bCs/>
                <w:color w:val="auto"/>
                <w:sz w:val="24"/>
                <w:szCs w:val="24"/>
              </w:rPr>
              <w:t>结果符合</w:t>
            </w:r>
            <w:r>
              <w:rPr>
                <w:rFonts w:hint="eastAsia" w:ascii="Times New Roman" w:hAnsi="Times New Roman" w:cs="Times New Roman" w:eastAsiaTheme="minorEastAsia"/>
                <w:bCs/>
                <w:color w:val="auto"/>
                <w:sz w:val="24"/>
                <w:szCs w:val="24"/>
              </w:rPr>
              <w:t>《地下水质量标准》（GB/T14848-2017）中Ⅲ类标准</w:t>
            </w:r>
            <w:r>
              <w:rPr>
                <w:rFonts w:ascii="Times New Roman" w:hAnsi="Times New Roman" w:cs="Times New Roman" w:eastAsiaTheme="minorEastAsia"/>
                <w:bCs/>
                <w:color w:val="auto"/>
                <w:sz w:val="24"/>
                <w:szCs w:val="24"/>
              </w:rPr>
              <w:t>。</w:t>
            </w:r>
          </w:p>
          <w:p>
            <w:pPr>
              <w:pStyle w:val="10"/>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left="0" w:leftChars="0" w:firstLine="482" w:firstLineChars="200"/>
              <w:textAlignment w:val="auto"/>
              <w:rPr>
                <w:rFonts w:hint="eastAsia"/>
                <w:b/>
                <w:bCs/>
                <w:lang w:val="en-US" w:eastAsia="zh-CN"/>
              </w:rPr>
            </w:pPr>
            <w:r>
              <w:rPr>
                <w:rFonts w:hint="eastAsia"/>
                <w:b/>
                <w:bCs/>
                <w:lang w:val="en-US" w:eastAsia="zh-CN"/>
              </w:rPr>
              <w:t>噪声监测结果</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200"/>
              <w:textAlignment w:val="auto"/>
              <w:rPr>
                <w:rFonts w:hint="default" w:ascii="Times New Roman" w:hAnsi="Times New Roman" w:eastAsia="宋体" w:cs="Times New Roman"/>
                <w:b/>
                <w:bCs/>
                <w:lang w:val="en-US" w:eastAsia="zh-CN"/>
              </w:rPr>
            </w:pPr>
            <w:r>
              <w:rPr>
                <w:rFonts w:hint="eastAsia"/>
                <w:lang w:val="en-US" w:eastAsia="zh-CN"/>
              </w:rPr>
              <w:t>噪声监测结果见表7-4。</w:t>
            </w:r>
          </w:p>
          <w:p>
            <w:pPr>
              <w:pStyle w:val="10"/>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b/>
                <w:bCs/>
                <w:lang w:val="en-US" w:eastAsia="zh-CN"/>
              </w:rPr>
            </w:pPr>
            <w:r>
              <w:rPr>
                <w:rFonts w:hint="default" w:ascii="Times New Roman" w:hAnsi="Times New Roman" w:eastAsia="宋体" w:cs="Times New Roman"/>
                <w:b/>
                <w:bCs/>
                <w:lang w:val="en-US" w:eastAsia="zh-CN"/>
              </w:rPr>
              <w:t>表</w:t>
            </w:r>
            <w:r>
              <w:rPr>
                <w:rFonts w:hint="default" w:ascii="Times New Roman" w:hAnsi="Times New Roman" w:cs="Times New Roman"/>
                <w:b/>
                <w:bCs/>
                <w:lang w:val="en-US" w:eastAsia="zh-CN"/>
              </w:rPr>
              <w:t xml:space="preserve"> </w:t>
            </w:r>
            <w:r>
              <w:rPr>
                <w:rFonts w:hint="eastAsia" w:cs="Times New Roman"/>
                <w:b/>
                <w:bCs/>
                <w:lang w:val="en-US" w:eastAsia="zh-CN"/>
              </w:rPr>
              <w:t>7</w:t>
            </w:r>
            <w:r>
              <w:rPr>
                <w:rFonts w:hint="default" w:ascii="Times New Roman" w:hAnsi="Times New Roman" w:eastAsia="宋体" w:cs="Times New Roman"/>
                <w:b/>
                <w:bCs/>
                <w:lang w:val="en-US" w:eastAsia="zh-CN"/>
              </w:rPr>
              <w:t>-</w:t>
            </w:r>
            <w:r>
              <w:rPr>
                <w:rFonts w:hint="eastAsia" w:cs="Times New Roman"/>
                <w:b/>
                <w:bCs/>
                <w:lang w:val="en-US" w:eastAsia="zh-CN"/>
              </w:rPr>
              <w:t>4</w:t>
            </w:r>
            <w:r>
              <w:rPr>
                <w:rFonts w:hint="default" w:ascii="Times New Roman" w:hAnsi="Times New Roman" w:eastAsia="宋体" w:cs="Times New Roman"/>
                <w:b/>
                <w:bCs/>
                <w:lang w:val="en-US" w:eastAsia="zh-CN"/>
              </w:rPr>
              <w:t xml:space="preserve"> 噪声检测结果</w:t>
            </w:r>
          </w:p>
          <w:p>
            <w:pPr>
              <w:pStyle w:val="10"/>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righ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单位：dB（A）</w:t>
            </w:r>
          </w:p>
          <w:tbl>
            <w:tblPr>
              <w:tblStyle w:val="22"/>
              <w:tblW w:w="94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5"/>
              <w:gridCol w:w="3222"/>
              <w:gridCol w:w="1337"/>
              <w:gridCol w:w="1076"/>
              <w:gridCol w:w="676"/>
              <w:gridCol w:w="676"/>
              <w:gridCol w:w="676"/>
              <w:gridCol w:w="676"/>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07" w:type="dxa"/>
                  <w:gridSpan w:val="2"/>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b/>
                      <w:bCs/>
                      <w:sz w:val="21"/>
                      <w:szCs w:val="21"/>
                      <w:lang w:val="en-US"/>
                    </w:rPr>
                    <w:t>检测点位</w:t>
                  </w:r>
                </w:p>
              </w:tc>
              <w:tc>
                <w:tcPr>
                  <w:tcW w:w="1337"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b/>
                      <w:bCs/>
                      <w:sz w:val="21"/>
                      <w:szCs w:val="21"/>
                      <w:lang w:val="en-US"/>
                    </w:rPr>
                    <w:t>现场检测日期</w:t>
                  </w:r>
                </w:p>
              </w:tc>
              <w:tc>
                <w:tcPr>
                  <w:tcW w:w="1076"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b/>
                      <w:bCs/>
                      <w:sz w:val="21"/>
                      <w:szCs w:val="21"/>
                      <w:lang w:val="en-US"/>
                    </w:rPr>
                    <w:t>检测项目</w:t>
                  </w:r>
                </w:p>
              </w:tc>
              <w:tc>
                <w:tcPr>
                  <w:tcW w:w="135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检测结果L</w:t>
                  </w:r>
                  <w:r>
                    <w:rPr>
                      <w:rFonts w:ascii="Times New Roman" w:hAnsi="Times New Roman" w:cs="Times New Roman"/>
                      <w:b/>
                      <w:bCs/>
                      <w:sz w:val="21"/>
                      <w:szCs w:val="21"/>
                      <w:vertAlign w:val="subscript"/>
                      <w:lang w:val="en-US"/>
                    </w:rPr>
                    <w:t>Aeq</w:t>
                  </w:r>
                </w:p>
              </w:tc>
              <w:tc>
                <w:tcPr>
                  <w:tcW w:w="135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cs="Times New Roman"/>
                      <w:b/>
                      <w:bCs/>
                      <w:sz w:val="21"/>
                      <w:szCs w:val="21"/>
                      <w:lang w:val="en-US"/>
                    </w:rPr>
                  </w:pPr>
                  <w:r>
                    <w:rPr>
                      <w:rFonts w:hint="eastAsia" w:ascii="Times New Roman" w:hAnsi="Times New Roman" w:cs="Times New Roman"/>
                      <w:b/>
                      <w:bCs/>
                      <w:sz w:val="21"/>
                      <w:szCs w:val="21"/>
                      <w:lang w:val="en-US"/>
                    </w:rPr>
                    <w:t>标准限值</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结果</w:t>
                  </w:r>
                </w:p>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b/>
                      <w:bCs/>
                      <w:sz w:val="21"/>
                      <w:szCs w:val="21"/>
                      <w:lang w:val="en-US"/>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0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pPr>
                </w:p>
              </w:tc>
              <w:tc>
                <w:tcPr>
                  <w:tcW w:w="13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pPr>
                </w:p>
              </w:tc>
              <w:tc>
                <w:tcPr>
                  <w:tcW w:w="10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昼间</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夜间</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ascii="Times New Roman" w:hAnsi="Times New Roman" w:cs="Times New Roman"/>
                      <w:b/>
                      <w:bCs/>
                      <w:sz w:val="21"/>
                      <w:szCs w:val="21"/>
                      <w:lang w:val="en-US"/>
                    </w:rPr>
                    <w:t>昼间</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夜间</w:t>
                  </w: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b/>
                      <w:bCs/>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eastAsia="宋体"/>
                      <w:sz w:val="21"/>
                      <w:szCs w:val="21"/>
                      <w:lang w:val="en-US"/>
                    </w:rPr>
                    <w:t>1#</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项目北侧厂界外1m，高1.3m</w:t>
                  </w:r>
                  <w:r>
                    <w:rPr>
                      <w:rFonts w:hint="eastAsia" w:ascii="Times New Roman" w:hAnsi="Times New Roman" w:cs="Times New Roman"/>
                      <w:sz w:val="21"/>
                      <w:szCs w:val="21"/>
                      <w:lang w:val="en-US" w:eastAsia="zh-CN"/>
                    </w:rPr>
                    <w:t>处</w:t>
                  </w:r>
                </w:p>
              </w:tc>
              <w:tc>
                <w:tcPr>
                  <w:tcW w:w="13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eastAsiaTheme="minorEastAsia"/>
                      <w:sz w:val="21"/>
                      <w:szCs w:val="21"/>
                      <w:lang w:val="en-US"/>
                    </w:rPr>
                    <w:t>2020.11.30</w:t>
                  </w:r>
                </w:p>
              </w:tc>
              <w:tc>
                <w:tcPr>
                  <w:tcW w:w="1076"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sz w:val="21"/>
                      <w:szCs w:val="21"/>
                      <w:lang w:val="en-US"/>
                    </w:rPr>
                    <w:t>工业企业厂界</w:t>
                  </w:r>
                  <w:r>
                    <w:rPr>
                      <w:rFonts w:hint="eastAsia"/>
                      <w:sz w:val="21"/>
                      <w:szCs w:val="21"/>
                      <w:lang w:val="en-US"/>
                    </w:rPr>
                    <w:t>环境</w:t>
                  </w:r>
                  <w:r>
                    <w:rPr>
                      <w:sz w:val="21"/>
                      <w:szCs w:val="21"/>
                      <w:lang w:val="en-US"/>
                    </w:rPr>
                    <w:t>噪声</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56</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47</w:t>
                  </w:r>
                </w:p>
              </w:tc>
              <w:tc>
                <w:tcPr>
                  <w:tcW w:w="6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cs="Times New Roman"/>
                      <w:sz w:val="21"/>
                      <w:szCs w:val="21"/>
                      <w:lang w:val="en-US"/>
                    </w:rPr>
                  </w:pPr>
                  <w:r>
                    <w:rPr>
                      <w:rFonts w:hint="eastAsia" w:ascii="Times New Roman" w:cs="Times New Roman"/>
                      <w:sz w:val="21"/>
                      <w:szCs w:val="21"/>
                      <w:lang w:val="en-US"/>
                    </w:rPr>
                    <w:t>60</w:t>
                  </w:r>
                </w:p>
              </w:tc>
              <w:tc>
                <w:tcPr>
                  <w:tcW w:w="6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cs="Times New Roman"/>
                      <w:sz w:val="21"/>
                      <w:szCs w:val="21"/>
                      <w:lang w:val="en-US"/>
                    </w:rPr>
                  </w:pPr>
                  <w:r>
                    <w:rPr>
                      <w:rFonts w:hint="eastAsia" w:ascii="Times New Roman" w:cs="Times New Roman"/>
                      <w:sz w:val="21"/>
                      <w:szCs w:val="21"/>
                      <w:lang w:val="en-US"/>
                    </w:rPr>
                    <w:t>50</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2</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项目东侧厂界外1m，高1.3m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56</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47</w:t>
                  </w: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4</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项目西侧厂界外1m，高1.3m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54</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46</w:t>
                  </w: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3</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项目西南侧厂界外1m，高1.3m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63</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53</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70</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55</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eastAsia="宋体"/>
                      <w:sz w:val="21"/>
                      <w:szCs w:val="21"/>
                      <w:lang w:val="en-US"/>
                    </w:rPr>
                    <w:t>1#</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项目北侧厂界外1m，高1.3m</w:t>
                  </w:r>
                  <w:r>
                    <w:rPr>
                      <w:rFonts w:hint="eastAsia" w:ascii="Times New Roman" w:hAnsi="Times New Roman" w:cs="Times New Roman"/>
                      <w:sz w:val="21"/>
                      <w:szCs w:val="21"/>
                      <w:lang w:val="en-US" w:eastAsia="zh-CN"/>
                    </w:rPr>
                    <w:t>处</w:t>
                  </w:r>
                </w:p>
              </w:tc>
              <w:tc>
                <w:tcPr>
                  <w:tcW w:w="13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eastAsiaTheme="minorEastAsia"/>
                      <w:sz w:val="21"/>
                      <w:szCs w:val="21"/>
                      <w:lang w:val="en-US"/>
                    </w:rPr>
                    <w:t>2020.12.01</w:t>
                  </w: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57</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48</w:t>
                  </w:r>
                </w:p>
              </w:tc>
              <w:tc>
                <w:tcPr>
                  <w:tcW w:w="6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cs="Times New Roman"/>
                      <w:sz w:val="21"/>
                      <w:szCs w:val="21"/>
                      <w:lang w:val="en-US"/>
                    </w:rPr>
                  </w:pPr>
                  <w:r>
                    <w:rPr>
                      <w:rFonts w:hint="eastAsia" w:ascii="Times New Roman" w:cs="Times New Roman"/>
                      <w:sz w:val="21"/>
                      <w:szCs w:val="21"/>
                      <w:lang w:val="en-US"/>
                    </w:rPr>
                    <w:t>60</w:t>
                  </w:r>
                </w:p>
              </w:tc>
              <w:tc>
                <w:tcPr>
                  <w:tcW w:w="6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contextualSpacing/>
                    <w:jc w:val="center"/>
                    <w:textAlignment w:val="auto"/>
                    <w:rPr>
                      <w:rFonts w:ascii="Times New Roman" w:cs="Times New Roman"/>
                      <w:sz w:val="21"/>
                      <w:szCs w:val="21"/>
                      <w:lang w:val="en-US"/>
                    </w:rPr>
                  </w:pPr>
                  <w:r>
                    <w:rPr>
                      <w:rFonts w:hint="eastAsia" w:ascii="Times New Roman" w:cs="Times New Roman"/>
                      <w:sz w:val="21"/>
                      <w:szCs w:val="21"/>
                      <w:lang w:val="en-US"/>
                    </w:rPr>
                    <w:t>50</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2</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项目东侧厂界外1m，高1.3m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57</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47</w:t>
                  </w: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4</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项目西侧厂界外1m，高1.3m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55</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45</w:t>
                  </w: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5"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val="0"/>
                    <w:snapToGrid w:val="0"/>
                    <w:spacing w:beforeLines="0" w:after="0" w:afterLines="0" w:line="240" w:lineRule="atLeast"/>
                    <w:ind w:firstLine="0" w:firstLineChars="0"/>
                    <w:jc w:val="center"/>
                    <w:textAlignment w:val="auto"/>
                    <w:rPr>
                      <w:rFonts w:eastAsia="宋体"/>
                      <w:sz w:val="21"/>
                      <w:szCs w:val="21"/>
                      <w:lang w:val="en-US"/>
                    </w:rPr>
                  </w:pPr>
                  <w:r>
                    <w:rPr>
                      <w:rFonts w:hint="eastAsia" w:eastAsia="宋体"/>
                      <w:sz w:val="21"/>
                      <w:szCs w:val="21"/>
                      <w:lang w:val="en-US"/>
                    </w:rPr>
                    <w:t>3</w:t>
                  </w:r>
                  <w:r>
                    <w:rPr>
                      <w:rFonts w:eastAsia="宋体"/>
                      <w:sz w:val="21"/>
                      <w:szCs w:val="21"/>
                      <w:lang w:val="en-US"/>
                    </w:rPr>
                    <w:t>#</w:t>
                  </w:r>
                </w:p>
              </w:tc>
              <w:tc>
                <w:tcPr>
                  <w:tcW w:w="32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项目西南侧厂界外1m，高1.3m</w:t>
                  </w:r>
                  <w:r>
                    <w:rPr>
                      <w:rFonts w:hint="eastAsia" w:ascii="Times New Roman" w:hAnsi="Times New Roman" w:cs="Times New Roman"/>
                      <w:sz w:val="21"/>
                      <w:szCs w:val="21"/>
                      <w:lang w:val="en-US" w:eastAsia="zh-CN"/>
                    </w:rPr>
                    <w:t>处</w:t>
                  </w:r>
                </w:p>
              </w:tc>
              <w:tc>
                <w:tcPr>
                  <w:tcW w:w="133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107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62</w:t>
                  </w:r>
                </w:p>
              </w:tc>
              <w:tc>
                <w:tcPr>
                  <w:tcW w:w="67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53</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70</w:t>
                  </w:r>
                </w:p>
              </w:tc>
              <w:tc>
                <w:tcPr>
                  <w:tcW w:w="6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55</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firstLine="0" w:firstLineChars="0"/>
                    <w:jc w:val="center"/>
                    <w:textAlignment w:val="auto"/>
                    <w:rPr>
                      <w:rFonts w:ascii="Times New Roman" w:hAnsi="Times New Roman" w:cs="Times New Roman"/>
                      <w:sz w:val="21"/>
                      <w:szCs w:val="21"/>
                      <w:lang w:val="en-US"/>
                    </w:rPr>
                  </w:pPr>
                  <w:r>
                    <w:rPr>
                      <w:rFonts w:ascii="Times New Roman" w:hAnsi="Times New Roman" w:cs="Times New Roman"/>
                      <w:sz w:val="21"/>
                      <w:szCs w:val="21"/>
                      <w:lang w:val="en-US"/>
                    </w:rPr>
                    <w:t>达标</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ascii="Times New Roman" w:hAnsi="Times New Roman" w:cs="Times New Roman"/>
                <w:color w:val="auto"/>
                <w:sz w:val="24"/>
                <w:szCs w:val="24"/>
              </w:rPr>
              <w:t>监测结论：验收监测期间</w:t>
            </w:r>
            <w:r>
              <w:rPr>
                <w:rFonts w:ascii="Times New Roman" w:hAnsi="Times New Roman" w:cs="Times New Roman"/>
                <w:bCs/>
                <w:color w:val="auto"/>
                <w:sz w:val="24"/>
                <w:szCs w:val="24"/>
              </w:rPr>
              <w:t>昼间噪声</w:t>
            </w:r>
            <w:r>
              <w:rPr>
                <w:rFonts w:hint="eastAsia" w:ascii="Times New Roman" w:hAnsi="Times New Roman" w:cs="Times New Roman"/>
                <w:bCs/>
                <w:color w:val="auto"/>
                <w:sz w:val="24"/>
                <w:szCs w:val="24"/>
                <w:lang w:val="en-US" w:eastAsia="zh-CN"/>
              </w:rPr>
              <w:t>监测点</w:t>
            </w:r>
            <w:r>
              <w:rPr>
                <w:rFonts w:ascii="Times New Roman" w:hAnsi="Times New Roman" w:cs="Times New Roman"/>
                <w:bCs/>
                <w:color w:val="auto"/>
                <w:sz w:val="24"/>
                <w:szCs w:val="24"/>
              </w:rPr>
              <w:t>均满足《</w:t>
            </w:r>
            <w:r>
              <w:rPr>
                <w:rFonts w:hint="eastAsia" w:ascii="Times New Roman" w:hAnsi="Times New Roman" w:cs="Times New Roman"/>
                <w:sz w:val="24"/>
                <w:szCs w:val="24"/>
                <w:lang w:val="en-US" w:eastAsia="zh-CN"/>
              </w:rPr>
              <w:t>工业企业厂界</w:t>
            </w:r>
            <w:r>
              <w:rPr>
                <w:rFonts w:hint="eastAsia" w:ascii="Times New Roman" w:hAnsi="Times New Roman" w:eastAsia="宋体" w:cs="Times New Roman"/>
                <w:sz w:val="24"/>
                <w:szCs w:val="24"/>
                <w:lang w:val="en-US" w:eastAsia="zh-CN"/>
              </w:rPr>
              <w:t>环境噪声</w:t>
            </w:r>
            <w:r>
              <w:rPr>
                <w:rFonts w:hint="default" w:ascii="Times New Roman" w:hAnsi="Times New Roman" w:eastAsia="宋体" w:cs="Times New Roman"/>
                <w:color w:val="auto"/>
                <w:sz w:val="24"/>
              </w:rPr>
              <w:t>排放标准</w:t>
            </w:r>
            <w:r>
              <w:rPr>
                <w:rFonts w:ascii="Times New Roman" w:hAnsi="Times New Roman" w:cs="Times New Roman"/>
                <w:bCs/>
                <w:color w:val="auto"/>
                <w:sz w:val="24"/>
                <w:szCs w:val="24"/>
              </w:rPr>
              <w:t>》（GB</w:t>
            </w:r>
            <w:r>
              <w:rPr>
                <w:rFonts w:hint="eastAsia" w:ascii="Times New Roman" w:hAnsi="Times New Roman" w:cs="Times New Roman"/>
                <w:bCs/>
                <w:color w:val="auto"/>
                <w:sz w:val="24"/>
                <w:szCs w:val="24"/>
                <w:lang w:val="en-US" w:eastAsia="zh-CN"/>
              </w:rPr>
              <w:t>12348</w:t>
            </w:r>
            <w:r>
              <w:rPr>
                <w:rFonts w:ascii="Times New Roman" w:hAnsi="Times New Roman" w:cs="Times New Roman"/>
                <w:bCs/>
                <w:color w:val="auto"/>
                <w:sz w:val="24"/>
                <w:szCs w:val="24"/>
              </w:rPr>
              <w:t>-2008）</w:t>
            </w:r>
            <w:r>
              <w:rPr>
                <w:rFonts w:hint="eastAsia" w:cs="Times New Roman"/>
                <w:bCs/>
                <w:color w:val="auto"/>
                <w:sz w:val="24"/>
                <w:szCs w:val="24"/>
                <w:lang w:val="en-US" w:eastAsia="zh-CN"/>
              </w:rPr>
              <w:t>2</w:t>
            </w:r>
            <w:r>
              <w:rPr>
                <w:rFonts w:ascii="Times New Roman" w:hAnsi="Times New Roman" w:cs="Times New Roman"/>
                <w:bCs/>
                <w:color w:val="auto"/>
                <w:sz w:val="24"/>
                <w:szCs w:val="24"/>
              </w:rPr>
              <w:t>类</w:t>
            </w:r>
            <w:r>
              <w:rPr>
                <w:rFonts w:hint="eastAsia" w:cs="Times New Roman"/>
                <w:bCs/>
                <w:color w:val="auto"/>
                <w:sz w:val="24"/>
                <w:szCs w:val="24"/>
                <w:lang w:eastAsia="zh-CN"/>
              </w:rPr>
              <w:t>和</w:t>
            </w:r>
            <w:r>
              <w:rPr>
                <w:rFonts w:hint="eastAsia" w:cs="Times New Roman"/>
                <w:bCs/>
                <w:color w:val="auto"/>
                <w:sz w:val="24"/>
                <w:szCs w:val="24"/>
                <w:lang w:val="en-US" w:eastAsia="zh-CN"/>
              </w:rPr>
              <w:t>4a类</w:t>
            </w:r>
            <w:r>
              <w:rPr>
                <w:rFonts w:ascii="Times New Roman" w:hAnsi="Times New Roman" w:cs="Times New Roman"/>
                <w:bCs/>
                <w:color w:val="auto"/>
                <w:sz w:val="24"/>
                <w:szCs w:val="24"/>
              </w:rPr>
              <w:t>标准</w:t>
            </w:r>
            <w:r>
              <w:rPr>
                <w:rFonts w:hint="default" w:ascii="Times New Roman" w:hAnsi="Times New Roman" w:eastAsia="宋体" w:cs="Times New Roman"/>
                <w:color w:val="auto"/>
                <w:sz w:val="24"/>
              </w:rPr>
              <w:t>限值</w:t>
            </w:r>
            <w:r>
              <w:rPr>
                <w:rFonts w:ascii="Times New Roman" w:hAnsi="Times New Roman" w:cs="Times New Roman"/>
                <w:bCs/>
                <w:color w:val="auto"/>
                <w:sz w:val="24"/>
                <w:szCs w:val="24"/>
              </w:rPr>
              <w:t>要求。</w:t>
            </w:r>
            <w:r>
              <w:rPr>
                <w:rFonts w:hint="eastAsia" w:ascii="Times New Roman" w:hAnsi="Times New Roman" w:cs="Times New Roman"/>
                <w:bCs/>
                <w:color w:val="auto"/>
                <w:sz w:val="24"/>
                <w:szCs w:val="24"/>
                <w:lang w:val="en-US" w:eastAsia="zh-CN"/>
              </w:rPr>
              <w:t>噪声实现达标排放。</w:t>
            </w:r>
          </w:p>
          <w:p>
            <w:pPr>
              <w:numPr>
                <w:ilvl w:val="0"/>
                <w:numId w:val="8"/>
              </w:numPr>
              <w:ind w:left="0" w:leftChars="0" w:firstLine="482" w:firstLineChars="200"/>
              <w:rPr>
                <w:rFonts w:ascii="Times New Roman" w:hAnsi="Times New Roman" w:cs="Times New Roman"/>
                <w:b/>
                <w:bCs/>
              </w:rPr>
            </w:pPr>
            <w:r>
              <w:rPr>
                <w:rFonts w:ascii="Times New Roman" w:hAnsi="Times New Roman" w:cs="Times New Roman"/>
                <w:b/>
                <w:bCs/>
              </w:rPr>
              <w:t>固废</w:t>
            </w:r>
            <w:r>
              <w:rPr>
                <w:rFonts w:hint="eastAsia" w:cs="Times New Roman"/>
                <w:b/>
                <w:bCs/>
                <w:lang w:val="en-US" w:eastAsia="zh-CN"/>
              </w:rPr>
              <w:t>检查</w:t>
            </w:r>
            <w:r>
              <w:rPr>
                <w:rFonts w:ascii="Times New Roman" w:hAnsi="Times New Roman" w:cs="Times New Roman"/>
                <w:b/>
                <w:bCs/>
              </w:rPr>
              <w:t>情</w:t>
            </w:r>
            <w:r>
              <w:rPr>
                <w:rFonts w:hint="eastAsia" w:cs="Times New Roman"/>
                <w:b/>
                <w:bCs/>
                <w:lang w:val="en-US" w:eastAsia="zh-CN"/>
              </w:rPr>
              <w:t>况</w:t>
            </w:r>
          </w:p>
          <w:p>
            <w:pPr>
              <w:pStyle w:val="10"/>
              <w:numPr>
                <w:ilvl w:val="0"/>
                <w:numId w:val="0"/>
              </w:numPr>
              <w:ind w:leftChars="200"/>
            </w:pPr>
            <w:r>
              <w:rPr>
                <w:rFonts w:ascii="Times New Roman" w:hAnsi="Times New Roman" w:cs="Times New Roman"/>
              </w:rPr>
              <w:t>固废处置情况见表</w:t>
            </w:r>
            <w:r>
              <w:rPr>
                <w:rFonts w:hint="eastAsia" w:cs="Times New Roman"/>
                <w:lang w:val="en-US" w:eastAsia="zh-CN"/>
              </w:rPr>
              <w:t>7</w:t>
            </w:r>
            <w:r>
              <w:rPr>
                <w:rFonts w:ascii="Times New Roman" w:hAnsi="Times New Roman" w:cs="Times New Roman"/>
              </w:rPr>
              <w:t>-</w:t>
            </w:r>
            <w:r>
              <w:rPr>
                <w:rFonts w:hint="eastAsia" w:cs="Times New Roman"/>
                <w:lang w:val="en-US" w:eastAsia="zh-CN"/>
              </w:rPr>
              <w:t>5</w:t>
            </w:r>
            <w:r>
              <w:rPr>
                <w:rFonts w:ascii="Times New Roman" w:hAnsi="Times New Roman" w:cs="Times New Roman"/>
              </w:rPr>
              <w:t>。</w:t>
            </w:r>
          </w:p>
          <w:p>
            <w:pPr>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ascii="Times New Roman" w:hAnsi="Times New Roman" w:cs="Times New Roman"/>
                <w:b/>
                <w:bCs/>
              </w:rPr>
            </w:pPr>
            <w:r>
              <w:rPr>
                <w:rFonts w:ascii="Times New Roman" w:hAnsi="Times New Roman" w:cs="Times New Roman"/>
                <w:b/>
                <w:bCs/>
              </w:rPr>
              <w:t>表</w:t>
            </w:r>
            <w:r>
              <w:rPr>
                <w:rFonts w:hint="eastAsia" w:cs="Times New Roman"/>
                <w:b/>
                <w:bCs/>
                <w:lang w:val="en-US" w:eastAsia="zh-CN"/>
              </w:rPr>
              <w:t>7</w:t>
            </w:r>
            <w:r>
              <w:rPr>
                <w:rFonts w:ascii="Times New Roman" w:hAnsi="Times New Roman" w:cs="Times New Roman"/>
                <w:b/>
                <w:bCs/>
              </w:rPr>
              <w:t>-</w:t>
            </w:r>
            <w:r>
              <w:rPr>
                <w:rFonts w:hint="eastAsia" w:cs="Times New Roman"/>
                <w:b/>
                <w:bCs/>
                <w:lang w:val="en-US" w:eastAsia="zh-CN"/>
              </w:rPr>
              <w:t>5</w:t>
            </w:r>
            <w:r>
              <w:rPr>
                <w:rFonts w:ascii="Times New Roman" w:hAnsi="Times New Roman" w:cs="Times New Roman"/>
                <w:b/>
                <w:bCs/>
              </w:rPr>
              <w:t>固废处置情况检查</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0" w:type="dxa"/>
                <w:bottom w:w="0" w:type="dxa"/>
                <w:right w:w="0" w:type="dxa"/>
              </w:tblCellMar>
            </w:tblPr>
            <w:tblGrid>
              <w:gridCol w:w="478"/>
              <w:gridCol w:w="1953"/>
              <w:gridCol w:w="682"/>
              <w:gridCol w:w="1801"/>
              <w:gridCol w:w="1154"/>
              <w:gridCol w:w="3328"/>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tblHeader/>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名称</w:t>
                  </w:r>
                </w:p>
              </w:tc>
              <w:tc>
                <w:tcPr>
                  <w:tcW w:w="363"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性质</w:t>
                  </w: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废物代码</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实际产生量</w:t>
                  </w:r>
                </w:p>
              </w:tc>
              <w:tc>
                <w:tcPr>
                  <w:tcW w:w="1770"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验收时实际处理方式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油罐清洗油渣</w:t>
                  </w:r>
                </w:p>
              </w:tc>
              <w:tc>
                <w:tcPr>
                  <w:tcW w:w="363"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危险</w:t>
                  </w:r>
                </w:p>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废物</w:t>
                  </w: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0.18t/次</w:t>
                  </w:r>
                </w:p>
              </w:tc>
              <w:tc>
                <w:tcPr>
                  <w:tcW w:w="1770"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暂存危废暂存间，最终交有相应危废资质的单位处置（目前交什邡开源环保科技有限公司处置）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废含油擦拭物及消防沙</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0.0</w:t>
                  </w:r>
                  <w:r>
                    <w:rPr>
                      <w:rFonts w:hint="eastAsia" w:ascii="Times New Roman" w:hAnsi="Times New Roman" w:cs="Times New Roman"/>
                      <w:b w:val="0"/>
                      <w:bCs/>
                      <w:color w:val="auto"/>
                      <w:sz w:val="21"/>
                      <w:szCs w:val="21"/>
                    </w:rPr>
                    <w:t>2</w:t>
                  </w:r>
                  <w:r>
                    <w:rPr>
                      <w:rFonts w:hint="default" w:ascii="Times New Roman" w:hAnsi="Times New Roman" w:cs="Times New Roman"/>
                      <w:b w:val="0"/>
                      <w:bCs/>
                      <w:color w:val="auto"/>
                      <w:sz w:val="21"/>
                      <w:szCs w:val="21"/>
                    </w:rPr>
                    <w:t>t/a</w:t>
                  </w:r>
                </w:p>
              </w:tc>
              <w:tc>
                <w:tcPr>
                  <w:tcW w:w="1770"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隔油池浮油、污泥</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HW08</w:t>
                  </w:r>
                  <w:r>
                    <w:rPr>
                      <w:rFonts w:hint="eastAsia" w:cs="Times New Roman"/>
                      <w:b w:val="0"/>
                      <w:bCs/>
                      <w:color w:val="auto"/>
                      <w:sz w:val="21"/>
                      <w:szCs w:val="21"/>
                      <w:lang w:val="en-US" w:eastAsia="zh-CN"/>
                    </w:rPr>
                    <w:t xml:space="preserve"> </w:t>
                  </w:r>
                  <w:r>
                    <w:rPr>
                      <w:rFonts w:ascii="Times New Roman"/>
                    </w:rPr>
                    <w:t>900-201-08</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0.05</w:t>
                  </w:r>
                  <w:r>
                    <w:rPr>
                      <w:rFonts w:hint="default" w:ascii="Times New Roman" w:hAnsi="Times New Roman" w:cs="Times New Roman"/>
                      <w:b w:val="0"/>
                      <w:bCs/>
                      <w:color w:val="auto"/>
                      <w:sz w:val="21"/>
                      <w:szCs w:val="21"/>
                    </w:rPr>
                    <w:t>t/a</w:t>
                  </w:r>
                </w:p>
              </w:tc>
              <w:tc>
                <w:tcPr>
                  <w:tcW w:w="1770"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 xml:space="preserve">暂存危废暂存间，最终交有相应危废资质的单位处置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石英砂</w:t>
                  </w:r>
                </w:p>
              </w:tc>
              <w:tc>
                <w:tcPr>
                  <w:tcW w:w="363"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p>
              </w:tc>
              <w:tc>
                <w:tcPr>
                  <w:tcW w:w="958"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rPr>
                    <w:t>HW49</w:t>
                  </w:r>
                  <w:r>
                    <w:rPr>
                      <w:rFonts w:hint="eastAsia" w:cs="Times New Roman"/>
                      <w:b w:val="0"/>
                      <w:bCs/>
                      <w:color w:val="auto"/>
                      <w:sz w:val="21"/>
                      <w:szCs w:val="21"/>
                      <w:lang w:val="en-US" w:eastAsia="zh-CN"/>
                    </w:rPr>
                    <w:t xml:space="preserve"> </w:t>
                  </w:r>
                  <w:r>
                    <w:rPr>
                      <w:rFonts w:ascii="Times New Roman"/>
                    </w:rPr>
                    <w:t>900-041-49</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0.1t/a</w:t>
                  </w:r>
                </w:p>
              </w:tc>
              <w:tc>
                <w:tcPr>
                  <w:tcW w:w="1770" w:type="pct"/>
                  <w:vMerge w:val="continue"/>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13</w:t>
                  </w:r>
                </w:p>
              </w:tc>
              <w:tc>
                <w:tcPr>
                  <w:tcW w:w="1039"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办公生活垃圾</w:t>
                  </w:r>
                </w:p>
              </w:tc>
              <w:tc>
                <w:tcPr>
                  <w:tcW w:w="363"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一般</w:t>
                  </w:r>
                </w:p>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固废</w:t>
                  </w:r>
                </w:p>
              </w:tc>
              <w:tc>
                <w:tcPr>
                  <w:tcW w:w="958"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614" w:type="pct"/>
                  <w:tcBorders>
                    <w:tl2br w:val="nil"/>
                    <w:tr2bl w:val="nil"/>
                  </w:tcBorders>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2.55t/a</w:t>
                  </w:r>
                </w:p>
              </w:tc>
              <w:tc>
                <w:tcPr>
                  <w:tcW w:w="1770" w:type="pct"/>
                  <w:vMerge w:val="restart"/>
                  <w:tcBorders>
                    <w:tl2br w:val="nil"/>
                    <w:tr2bl w:val="nil"/>
                  </w:tcBorders>
                  <w:vAlign w:val="center"/>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254"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14</w:t>
                  </w:r>
                </w:p>
              </w:tc>
              <w:tc>
                <w:tcPr>
                  <w:tcW w:w="1039"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预处理池污泥</w:t>
                  </w:r>
                </w:p>
              </w:tc>
              <w:tc>
                <w:tcPr>
                  <w:tcW w:w="363" w:type="pct"/>
                  <w:vMerge w:val="continue"/>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p>
              </w:tc>
              <w:tc>
                <w:tcPr>
                  <w:tcW w:w="958" w:type="pct"/>
                  <w:vMerge w:val="continue"/>
                </w:tcPr>
                <w:p>
                  <w:pPr>
                    <w:pStyle w:val="37"/>
                    <w:keepNext w:val="0"/>
                    <w:keepLines w:val="0"/>
                    <w:suppressLineNumbers w:val="0"/>
                    <w:spacing w:before="0" w:beforeAutospacing="0" w:after="0" w:afterAutospacing="0"/>
                    <w:ind w:left="0" w:right="0"/>
                    <w:rPr>
                      <w:rFonts w:hint="eastAsia" w:ascii="Times New Roman" w:hAnsi="Times New Roman" w:cs="Times New Roman"/>
                      <w:b w:val="0"/>
                      <w:bCs/>
                      <w:color w:val="auto"/>
                      <w:sz w:val="21"/>
                      <w:szCs w:val="21"/>
                      <w:lang w:val="en-US" w:eastAsia="zh-CN"/>
                    </w:rPr>
                  </w:pPr>
                </w:p>
              </w:tc>
              <w:tc>
                <w:tcPr>
                  <w:tcW w:w="614" w:type="pct"/>
                  <w:vAlign w:val="center"/>
                </w:tcPr>
                <w:p>
                  <w:pPr>
                    <w:pStyle w:val="37"/>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rPr>
                    <w:t>0.93t/a</w:t>
                  </w:r>
                </w:p>
              </w:tc>
              <w:tc>
                <w:tcPr>
                  <w:tcW w:w="1770" w:type="pct"/>
                  <w:vMerge w:val="continue"/>
                  <w:vAlign w:val="center"/>
                </w:tcPr>
                <w:p>
                  <w:pPr>
                    <w:keepNext w:val="0"/>
                    <w:keepLines w:val="0"/>
                    <w:pageBreakBefore w:val="0"/>
                    <w:widowControl/>
                    <w:kinsoku/>
                    <w:wordWrap/>
                    <w:overflowPunct/>
                    <w:topLinePunct w:val="0"/>
                    <w:bidi w:val="0"/>
                    <w:adjustRightInd w:val="0"/>
                    <w:snapToGrid w:val="0"/>
                    <w:spacing w:after="0" w:line="240" w:lineRule="atLeast"/>
                    <w:ind w:left="0" w:leftChars="0" w:right="0" w:rightChars="0"/>
                    <w:jc w:val="center"/>
                    <w:textAlignment w:val="auto"/>
                    <w:rPr>
                      <w:rFonts w:hint="eastAsia"/>
                      <w:b w:val="0"/>
                      <w:bCs/>
                      <w:color w:val="auto"/>
                      <w:sz w:val="21"/>
                      <w:szCs w:val="21"/>
                      <w:lang w:val="en-US" w:eastAsia="zh-CN"/>
                    </w:rPr>
                  </w:pPr>
                </w:p>
              </w:tc>
            </w:tr>
          </w:tbl>
          <w:p>
            <w:pPr>
              <w:pStyle w:val="10"/>
              <w:ind w:firstLine="480" w:firstLineChars="200"/>
              <w:rPr>
                <w:rFonts w:hint="default"/>
                <w:lang w:val="en-US" w:eastAsia="zh-CN"/>
              </w:rPr>
            </w:pPr>
            <w:r>
              <w:rPr>
                <w:rFonts w:hint="eastAsia" w:ascii="宋体" w:hAnsi="宋体" w:cs="宋体"/>
              </w:rPr>
              <w:t>检查结论：项目所有固废均得到</w:t>
            </w:r>
            <w:r>
              <w:rPr>
                <w:rFonts w:hint="eastAsia" w:ascii="宋体" w:hAnsi="宋体" w:cs="宋体"/>
                <w:lang w:val="en-US" w:eastAsia="zh-CN"/>
              </w:rPr>
              <w:t>妥善</w:t>
            </w:r>
            <w:r>
              <w:rPr>
                <w:rFonts w:hint="eastAsia" w:ascii="宋体" w:hAnsi="宋体" w:cs="宋体"/>
              </w:rPr>
              <w:t>处置，未造成二次污染，满足环保要求。</w:t>
            </w:r>
          </w:p>
        </w:tc>
      </w:tr>
    </w:tbl>
    <w:p>
      <w:pPr>
        <w:spacing w:line="220" w:lineRule="atLeast"/>
        <w:jc w:val="both"/>
        <w:rPr>
          <w:rFonts w:hint="eastAsia" w:eastAsia="宋体"/>
          <w:b/>
          <w:sz w:val="21"/>
          <w:szCs w:val="21"/>
          <w:lang w:eastAsia="zh-CN"/>
        </w:rPr>
        <w:sectPr>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b/>
          <w:color w:val="auto"/>
          <w:sz w:val="28"/>
          <w:szCs w:val="28"/>
        </w:rPr>
      </w:pPr>
      <w:r>
        <w:rPr>
          <w:rFonts w:hint="eastAsia"/>
          <w:b/>
          <w:color w:val="auto"/>
          <w:sz w:val="28"/>
          <w:szCs w:val="28"/>
        </w:rPr>
        <w:t>表</w:t>
      </w:r>
      <w:r>
        <w:rPr>
          <w:rFonts w:hint="eastAsia"/>
          <w:b/>
          <w:color w:val="auto"/>
          <w:sz w:val="28"/>
          <w:szCs w:val="28"/>
          <w:lang w:val="en-US" w:eastAsia="zh-CN"/>
        </w:rPr>
        <w:t>八</w:t>
      </w:r>
      <w:r>
        <w:rPr>
          <w:rFonts w:hint="eastAsia"/>
          <w:b/>
          <w:color w:val="auto"/>
          <w:sz w:val="28"/>
          <w:szCs w:val="28"/>
        </w:rPr>
        <w:t xml:space="preserve">   </w:t>
      </w:r>
      <w:r>
        <w:rPr>
          <w:rFonts w:hint="eastAsia"/>
          <w:b/>
          <w:color w:val="auto"/>
          <w:w w:val="95"/>
          <w:sz w:val="29"/>
        </w:rPr>
        <w:t>环境管理检查</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50" w:hRule="atLeast"/>
          <w:jc w:val="center"/>
        </w:trPr>
        <w:tc>
          <w:tcPr>
            <w:tcW w:w="8522" w:type="dxa"/>
            <w:vAlign w:val="top"/>
          </w:tcPr>
          <w:p>
            <w:pPr>
              <w:keepNext w:val="0"/>
              <w:keepLines w:val="0"/>
              <w:pageBreakBefore w:val="0"/>
              <w:numPr>
                <w:ilvl w:val="0"/>
                <w:numId w:val="9"/>
              </w:numPr>
              <w:kinsoku/>
              <w:wordWrap/>
              <w:overflowPunct/>
              <w:topLinePunct w:val="0"/>
              <w:autoSpaceDE/>
              <w:autoSpaceDN/>
              <w:bidi w:val="0"/>
              <w:spacing w:after="0" w:line="360" w:lineRule="auto"/>
              <w:ind w:left="0" w:leftChars="0" w:firstLine="482"/>
              <w:textAlignment w:val="auto"/>
              <w:rPr>
                <w:rFonts w:ascii="宋体" w:hAnsi="宋体" w:cs="宋体"/>
              </w:rPr>
            </w:pPr>
            <w:r>
              <w:rPr>
                <w:rFonts w:hint="eastAsia" w:ascii="宋体" w:hAnsi="宋体" w:cs="宋体"/>
                <w:b/>
              </w:rPr>
              <w:t>环保机构、人员及职责：</w:t>
            </w:r>
            <w:r>
              <w:rPr>
                <w:rFonts w:hint="eastAsia" w:ascii="宋体" w:hAnsi="宋体" w:cs="宋体"/>
              </w:rPr>
              <w:t>该公司成立了以总经理为组长，各部门负责人为成员的环境保护工作领导小组，同时规定该环保领导小组的主要职责。</w:t>
            </w:r>
            <w:r>
              <w:rPr>
                <w:rFonts w:hint="eastAsia" w:ascii="宋体" w:hAnsi="宋体" w:cs="宋体"/>
                <w:szCs w:val="24"/>
              </w:rPr>
              <w:t>公司建立了较完善的环境保护管理体系，主要包括“三废”资源综合利用管理、各类环保设施运行管理制度、环保隐患排查制度等</w:t>
            </w:r>
            <w:r>
              <w:rPr>
                <w:rFonts w:hint="eastAsia" w:ascii="宋体" w:hAnsi="宋体" w:cs="宋体"/>
                <w:bCs/>
                <w:szCs w:val="16"/>
              </w:rPr>
              <w:t>。</w:t>
            </w:r>
          </w:p>
          <w:p>
            <w:pPr>
              <w:keepNext w:val="0"/>
              <w:keepLines w:val="0"/>
              <w:pageBreakBefore w:val="0"/>
              <w:kinsoku/>
              <w:wordWrap/>
              <w:overflowPunct/>
              <w:topLinePunct w:val="0"/>
              <w:autoSpaceDE/>
              <w:autoSpaceDN/>
              <w:bidi w:val="0"/>
              <w:spacing w:after="0" w:line="360" w:lineRule="auto"/>
              <w:ind w:left="0" w:leftChars="0" w:firstLine="482"/>
              <w:jc w:val="left"/>
              <w:textAlignment w:val="auto"/>
              <w:rPr>
                <w:rFonts w:ascii="宋体" w:hAnsi="宋体" w:cs="宋体"/>
              </w:rPr>
            </w:pPr>
            <w:r>
              <w:rPr>
                <w:rFonts w:hint="eastAsia" w:ascii="宋体" w:hAnsi="宋体" w:cs="宋体"/>
                <w:b/>
              </w:rPr>
              <w:t>二、环境管理规章制度：</w:t>
            </w:r>
            <w:r>
              <w:rPr>
                <w:rFonts w:hint="eastAsia" w:ascii="宋体" w:hAnsi="宋体" w:cs="宋体"/>
              </w:rPr>
              <w:t>该公司颁布并实施《环境保护管理制度》、</w:t>
            </w:r>
            <w:r>
              <w:rPr>
                <w:rFonts w:hint="eastAsia" w:ascii="宋体" w:hAnsi="宋体" w:cs="宋体"/>
                <w:lang w:eastAsia="zh-CN"/>
              </w:rPr>
              <w:t>《</w:t>
            </w:r>
            <w:r>
              <w:rPr>
                <w:rFonts w:hint="eastAsia" w:ascii="宋体" w:hAnsi="宋体" w:cs="宋体"/>
                <w:lang w:val="en-US" w:eastAsia="zh-CN"/>
              </w:rPr>
              <w:t>环境应急预案</w:t>
            </w:r>
            <w:r>
              <w:rPr>
                <w:rFonts w:hint="eastAsia" w:ascii="宋体" w:hAnsi="宋体" w:cs="宋体"/>
                <w:lang w:eastAsia="zh-CN"/>
              </w:rPr>
              <w:t>》、</w:t>
            </w:r>
            <w:r>
              <w:rPr>
                <w:rFonts w:ascii="Times New Roman" w:hAnsi="Times New Roman" w:cs="Times New Roman"/>
              </w:rPr>
              <w:t>《危废管理制度》</w:t>
            </w:r>
            <w:r>
              <w:rPr>
                <w:rFonts w:hint="eastAsia" w:ascii="宋体" w:hAnsi="宋体" w:cs="宋体"/>
              </w:rPr>
              <w:t>。环保管理制度中明确了管理制度的目的、适用范围及其日常环保管理规定。设置</w:t>
            </w:r>
            <w:r>
              <w:rPr>
                <w:rFonts w:hint="eastAsia" w:ascii="宋体" w:hAnsi="宋体" w:cs="宋体"/>
                <w:lang w:val="en-US" w:eastAsia="zh-CN"/>
              </w:rPr>
              <w:t>兼职</w:t>
            </w:r>
            <w:r>
              <w:rPr>
                <w:rFonts w:hint="eastAsia" w:ascii="宋体" w:hAnsi="宋体" w:cs="宋体"/>
              </w:rPr>
              <w:t>环保机构，相关人员各负其责。</w:t>
            </w:r>
          </w:p>
          <w:p>
            <w:pPr>
              <w:keepNext w:val="0"/>
              <w:keepLines w:val="0"/>
              <w:pageBreakBefore w:val="0"/>
              <w:kinsoku/>
              <w:wordWrap/>
              <w:overflowPunct/>
              <w:topLinePunct w:val="0"/>
              <w:autoSpaceDE/>
              <w:autoSpaceDN/>
              <w:bidi w:val="0"/>
              <w:spacing w:after="0" w:line="360" w:lineRule="auto"/>
              <w:ind w:left="0" w:leftChars="0" w:firstLine="482"/>
              <w:textAlignment w:val="auto"/>
              <w:rPr>
                <w:rFonts w:ascii="宋体" w:hAnsi="宋体" w:cs="宋体"/>
              </w:rPr>
            </w:pPr>
            <w:r>
              <w:rPr>
                <w:rFonts w:hint="eastAsia" w:ascii="宋体" w:hAnsi="宋体" w:cs="宋体"/>
                <w:b/>
              </w:rPr>
              <w:t>三、环保设施运行、维护情况：</w:t>
            </w:r>
            <w:r>
              <w:rPr>
                <w:rFonts w:hint="eastAsia" w:ascii="宋体" w:hAnsi="宋体" w:cs="宋体"/>
              </w:rPr>
              <w:t>所有环保设施正常运转。</w:t>
            </w:r>
            <w:r>
              <w:rPr>
                <w:rFonts w:hint="eastAsia" w:ascii="宋体" w:hAnsi="宋体" w:cs="宋体"/>
                <w:bCs/>
                <w:szCs w:val="16"/>
              </w:rPr>
              <w:t>从现场踏勘和查看环保设施运行检查、维护保养记录情况来看，项目现有废水、废气、噪声</w:t>
            </w:r>
            <w:r>
              <w:rPr>
                <w:rFonts w:hint="eastAsia" w:ascii="宋体" w:hAnsi="宋体" w:cs="宋体"/>
                <w:bCs/>
                <w:szCs w:val="16"/>
                <w:lang w:eastAsia="zh-CN"/>
              </w:rPr>
              <w:t>、</w:t>
            </w:r>
            <w:r>
              <w:rPr>
                <w:rFonts w:hint="eastAsia" w:ascii="宋体" w:hAnsi="宋体" w:cs="宋体"/>
                <w:bCs/>
                <w:szCs w:val="16"/>
                <w:lang w:val="en-US" w:eastAsia="zh-CN"/>
              </w:rPr>
              <w:t>固废</w:t>
            </w:r>
            <w:r>
              <w:rPr>
                <w:rFonts w:hint="eastAsia" w:ascii="宋体" w:hAnsi="宋体" w:cs="宋体"/>
                <w:bCs/>
                <w:szCs w:val="16"/>
              </w:rPr>
              <w:t>环保设施运行管理、维护保养较好。</w:t>
            </w:r>
          </w:p>
          <w:p>
            <w:pPr>
              <w:keepNext w:val="0"/>
              <w:keepLines w:val="0"/>
              <w:pageBreakBefore w:val="0"/>
              <w:kinsoku/>
              <w:wordWrap/>
              <w:overflowPunct/>
              <w:topLinePunct w:val="0"/>
              <w:autoSpaceDE/>
              <w:autoSpaceDN/>
              <w:bidi w:val="0"/>
              <w:spacing w:after="0" w:line="360" w:lineRule="auto"/>
              <w:ind w:left="0" w:leftChars="0" w:firstLine="482"/>
              <w:textAlignment w:val="auto"/>
              <w:rPr>
                <w:rFonts w:ascii="宋体" w:hAnsi="宋体" w:cs="宋体"/>
                <w:bCs/>
              </w:rPr>
            </w:pPr>
            <w:r>
              <w:rPr>
                <w:rFonts w:hint="eastAsia" w:ascii="宋体" w:hAnsi="宋体" w:cs="宋体"/>
                <w:b/>
              </w:rPr>
              <w:t>四、环保审批手续及“三同时”执行情况检查：</w:t>
            </w:r>
            <w:r>
              <w:rPr>
                <w:rFonts w:hint="eastAsia" w:ascii="宋体" w:hAnsi="宋体" w:cs="宋体"/>
              </w:rPr>
              <w:t>项目执行环境影响</w:t>
            </w:r>
            <w:r>
              <w:rPr>
                <w:rFonts w:hint="eastAsia" w:ascii="宋体" w:hAnsi="宋体" w:cs="宋体"/>
                <w:lang w:val="en-US" w:eastAsia="zh-CN"/>
              </w:rPr>
              <w:t>评价</w:t>
            </w:r>
            <w:r>
              <w:rPr>
                <w:rFonts w:hint="eastAsia" w:ascii="宋体" w:hAnsi="宋体" w:cs="宋体"/>
              </w:rPr>
              <w:t>制度</w:t>
            </w:r>
            <w:r>
              <w:rPr>
                <w:rFonts w:hint="eastAsia" w:ascii="宋体" w:hAnsi="宋体" w:cs="宋体"/>
                <w:bCs/>
              </w:rPr>
              <w:t>和环保“三同时”管理制度｡</w:t>
            </w:r>
          </w:p>
          <w:p>
            <w:pPr>
              <w:pStyle w:val="10"/>
              <w:pageBreakBefore w:val="0"/>
              <w:kinsoku/>
              <w:wordWrap/>
              <w:overflowPunct/>
              <w:topLinePunct w:val="0"/>
              <w:bidi w:val="0"/>
              <w:spacing w:after="0" w:line="360" w:lineRule="auto"/>
              <w:ind w:left="0" w:leftChars="0" w:right="0" w:rightChars="0" w:firstLine="480"/>
              <w:textAlignment w:val="auto"/>
              <w:rPr>
                <w:rFonts w:hint="default"/>
                <w:lang w:val="en-US"/>
              </w:rPr>
            </w:pPr>
            <w:r>
              <w:rPr>
                <w:rFonts w:hint="default" w:ascii="Times New Roman" w:hAnsi="Times New Roman" w:eastAsia="宋体" w:cs="Times New Roman"/>
                <w:color w:val="auto"/>
                <w:sz w:val="24"/>
                <w:szCs w:val="24"/>
                <w:lang w:val="en-US" w:eastAsia="zh-CN" w:bidi="zh-CN"/>
              </w:rPr>
              <w:t>201</w:t>
            </w:r>
            <w:r>
              <w:rPr>
                <w:rFonts w:hint="eastAsia" w:cs="Times New Roman"/>
                <w:color w:val="auto"/>
                <w:sz w:val="24"/>
                <w:szCs w:val="24"/>
                <w:lang w:val="en-US" w:eastAsia="zh-CN" w:bidi="zh-CN"/>
              </w:rPr>
              <w:t>7</w:t>
            </w:r>
            <w:r>
              <w:rPr>
                <w:rFonts w:hint="default" w:ascii="Times New Roman" w:hAnsi="Times New Roman" w:eastAsia="宋体" w:cs="Times New Roman"/>
                <w:color w:val="auto"/>
                <w:sz w:val="24"/>
                <w:szCs w:val="24"/>
                <w:lang w:val="en-US" w:eastAsia="zh-CN" w:bidi="zh-CN"/>
              </w:rPr>
              <w:t>年</w:t>
            </w:r>
            <w:r>
              <w:rPr>
                <w:rFonts w:hint="eastAsia" w:cs="Times New Roman"/>
                <w:color w:val="auto"/>
                <w:sz w:val="24"/>
                <w:szCs w:val="24"/>
                <w:lang w:val="en-US" w:eastAsia="zh-CN" w:bidi="zh-CN"/>
              </w:rPr>
              <w:t>5</w:t>
            </w:r>
            <w:r>
              <w:rPr>
                <w:rFonts w:hint="default" w:ascii="Times New Roman" w:hAnsi="Times New Roman" w:eastAsia="宋体" w:cs="Times New Roman"/>
                <w:color w:val="auto"/>
                <w:sz w:val="24"/>
                <w:szCs w:val="24"/>
                <w:lang w:val="en-US" w:eastAsia="zh-CN" w:bidi="zh-CN"/>
              </w:rPr>
              <w:t>月</w:t>
            </w:r>
            <w:r>
              <w:rPr>
                <w:rFonts w:hint="eastAsia" w:cs="Times New Roman"/>
                <w:color w:val="auto"/>
                <w:sz w:val="24"/>
                <w:szCs w:val="24"/>
                <w:lang w:val="en-US" w:eastAsia="zh-CN" w:bidi="zh-CN"/>
              </w:rPr>
              <w:t>10</w:t>
            </w:r>
            <w:r>
              <w:rPr>
                <w:rFonts w:hint="default" w:ascii="Times New Roman" w:hAnsi="Times New Roman" w:eastAsia="宋体" w:cs="Times New Roman"/>
                <w:color w:val="auto"/>
                <w:sz w:val="24"/>
                <w:szCs w:val="24"/>
                <w:lang w:val="en-US" w:eastAsia="zh-CN" w:bidi="zh-CN"/>
              </w:rPr>
              <w:t>日</w:t>
            </w:r>
            <w:r>
              <w:rPr>
                <w:rFonts w:hint="eastAsia" w:cs="Times New Roman"/>
                <w:color w:val="auto"/>
                <w:sz w:val="24"/>
                <w:lang w:eastAsia="zh-CN"/>
              </w:rPr>
              <w:t>彭州市天彭镇农机管理服务站</w:t>
            </w:r>
            <w:r>
              <w:rPr>
                <w:rFonts w:hint="default" w:ascii="Times New Roman" w:hAnsi="Times New Roman" w:eastAsia="宋体" w:cs="Times New Roman"/>
                <w:color w:val="auto"/>
                <w:sz w:val="24"/>
                <w:szCs w:val="24"/>
                <w:lang w:val="en-US" w:eastAsia="zh-CN" w:bidi="zh-CN"/>
              </w:rPr>
              <w:t>完成本项目投资</w:t>
            </w:r>
            <w:r>
              <w:rPr>
                <w:rFonts w:hint="eastAsia" w:cs="Times New Roman"/>
                <w:color w:val="auto"/>
                <w:sz w:val="24"/>
                <w:szCs w:val="24"/>
                <w:lang w:val="en-US" w:eastAsia="zh-CN" w:bidi="zh-CN"/>
              </w:rPr>
              <w:t>改造自主</w:t>
            </w:r>
            <w:r>
              <w:rPr>
                <w:rFonts w:hint="default" w:ascii="Times New Roman" w:hAnsi="Times New Roman" w:eastAsia="宋体" w:cs="Times New Roman"/>
                <w:color w:val="auto"/>
                <w:sz w:val="24"/>
                <w:szCs w:val="24"/>
                <w:lang w:val="en-US" w:eastAsia="zh-CN" w:bidi="zh-CN"/>
              </w:rPr>
              <w:t>备案；</w:t>
            </w:r>
            <w:r>
              <w:rPr>
                <w:rFonts w:hint="eastAsia" w:cs="Times New Roman"/>
                <w:color w:val="auto"/>
                <w:sz w:val="24"/>
                <w:szCs w:val="24"/>
                <w:lang w:val="en-US" w:eastAsia="zh-CN" w:bidi="zh-CN"/>
              </w:rPr>
              <w:t>2019年1月委托重庆市江津区成硕环保工程有限公司</w:t>
            </w:r>
            <w:r>
              <w:rPr>
                <w:rFonts w:hint="eastAsia"/>
                <w:lang w:val="en-US" w:eastAsia="zh-CN"/>
              </w:rPr>
              <w:t>编制</w:t>
            </w:r>
            <w:r>
              <w:rPr>
                <w:rFonts w:hint="default"/>
                <w:lang w:val="en-US" w:eastAsia="zh-CN"/>
              </w:rPr>
              <w:t>《</w:t>
            </w:r>
            <w:r>
              <w:rPr>
                <w:rFonts w:hint="eastAsia"/>
                <w:lang w:eastAsia="zh-CN"/>
              </w:rPr>
              <w:t>彭州市天彭镇农机管理服务站</w:t>
            </w:r>
            <w:r>
              <w:rPr>
                <w:rFonts w:hint="eastAsia"/>
                <w:lang w:val="en-GB" w:eastAsia="zh-CN"/>
              </w:rPr>
              <w:t>加油站设施设备改造项目</w:t>
            </w:r>
            <w:r>
              <w:rPr>
                <w:rFonts w:hint="default"/>
                <w:lang w:val="en-US" w:eastAsia="zh-CN"/>
              </w:rPr>
              <w:t>环境影响报告表》</w:t>
            </w:r>
            <w:r>
              <w:rPr>
                <w:rFonts w:hint="eastAsia"/>
                <w:lang w:val="en-US" w:eastAsia="zh-CN"/>
              </w:rPr>
              <w:t>；2020年4月重庆市江津区成硕环保工程有限公司编制完成《彭州市天彭镇农机管理服务站加油站设施设备改造项目环境影响报告表》；2020年7月24日成都市彭州生态环境局出具的《关于彭州市天彭镇农机管理服务站加油站设施设备改造环境影响报告表审查批复》（彭环审[2020]46号）。</w:t>
            </w:r>
          </w:p>
          <w:p>
            <w:pPr>
              <w:keepNext w:val="0"/>
              <w:keepLines w:val="0"/>
              <w:pageBreakBefore w:val="0"/>
              <w:kinsoku/>
              <w:wordWrap/>
              <w:overflowPunct/>
              <w:topLinePunct w:val="0"/>
              <w:autoSpaceDE/>
              <w:autoSpaceDN/>
              <w:bidi w:val="0"/>
              <w:spacing w:after="0" w:line="360" w:lineRule="auto"/>
              <w:ind w:left="0" w:leftChars="0" w:firstLine="480"/>
              <w:textAlignment w:val="auto"/>
              <w:rPr>
                <w:rFonts w:ascii="宋体" w:hAnsi="宋体" w:cs="宋体"/>
                <w:color w:val="auto"/>
              </w:rPr>
            </w:pPr>
            <w:r>
              <w:rPr>
                <w:rFonts w:hint="eastAsia" w:ascii="宋体" w:hAnsi="宋体" w:cs="宋体"/>
                <w:color w:val="auto"/>
              </w:rPr>
              <w:t>项目按照环保要求落实相应的废水、废气、固废及噪声治理措施。</w:t>
            </w:r>
            <w:r>
              <w:rPr>
                <w:rFonts w:ascii="Times New Roman" w:hAnsi="Times New Roman" w:cs="Times New Roman"/>
                <w:color w:val="auto"/>
              </w:rPr>
              <w:t>在</w:t>
            </w:r>
            <w:r>
              <w:rPr>
                <w:rFonts w:hint="eastAsia" w:ascii="Times New Roman" w:hAnsi="Times New Roman" w:cs="Times New Roman"/>
                <w:color w:val="auto"/>
                <w:lang w:val="en-US" w:eastAsia="zh-CN"/>
              </w:rPr>
              <w:t>2020</w:t>
            </w:r>
            <w:r>
              <w:rPr>
                <w:rFonts w:ascii="Times New Roman" w:hAnsi="Times New Roman" w:cs="Times New Roman"/>
                <w:color w:val="auto"/>
              </w:rPr>
              <w:t>年</w:t>
            </w:r>
            <w:r>
              <w:rPr>
                <w:rFonts w:hint="eastAsia" w:cs="Times New Roman"/>
                <w:color w:val="auto"/>
                <w:lang w:val="en-US" w:eastAsia="zh-CN"/>
              </w:rPr>
              <w:t>11</w:t>
            </w:r>
            <w:r>
              <w:rPr>
                <w:rFonts w:ascii="Times New Roman" w:hAnsi="Times New Roman" w:cs="Times New Roman"/>
                <w:color w:val="auto"/>
              </w:rPr>
              <w:t>月</w:t>
            </w:r>
            <w:r>
              <w:rPr>
                <w:rFonts w:hint="eastAsia" w:cs="Times New Roman"/>
                <w:color w:val="auto"/>
                <w:lang w:val="en-US" w:eastAsia="zh-CN"/>
              </w:rPr>
              <w:t>30</w:t>
            </w:r>
            <w:r>
              <w:rPr>
                <w:rFonts w:ascii="Times New Roman" w:hAnsi="Times New Roman" w:cs="Times New Roman"/>
                <w:color w:val="auto"/>
              </w:rPr>
              <w:t>日</w:t>
            </w:r>
            <w:r>
              <w:rPr>
                <w:rFonts w:hint="eastAsia" w:cs="Times New Roman"/>
                <w:color w:val="auto"/>
                <w:lang w:val="en-US" w:eastAsia="zh-CN"/>
              </w:rPr>
              <w:t>-12月1日</w:t>
            </w:r>
            <w:r>
              <w:rPr>
                <w:rFonts w:ascii="Times New Roman" w:hAnsi="Times New Roman" w:cs="Times New Roman"/>
                <w:color w:val="auto"/>
              </w:rPr>
              <w:t>满足验收工况要求的条件下委托</w:t>
            </w:r>
            <w:r>
              <w:rPr>
                <w:rFonts w:hint="eastAsia" w:cs="Times New Roman"/>
                <w:color w:val="auto"/>
                <w:lang w:val="en-US" w:eastAsia="zh-CN"/>
              </w:rPr>
              <w:t>四川中谦检测有限公司</w:t>
            </w:r>
            <w:r>
              <w:rPr>
                <w:rFonts w:ascii="Times New Roman" w:hAnsi="Times New Roman" w:cs="Times New Roman"/>
                <w:color w:val="auto"/>
              </w:rPr>
              <w:t>对项目进行了现场检测和检查，验收监测期间项目环保设施建设完成并</w:t>
            </w:r>
            <w:r>
              <w:rPr>
                <w:rFonts w:hint="eastAsia" w:ascii="宋体" w:hAnsi="宋体" w:cs="宋体"/>
                <w:color w:val="auto"/>
              </w:rPr>
              <w:t>正常运转｡</w:t>
            </w:r>
          </w:p>
          <w:p>
            <w:pPr>
              <w:keepNext w:val="0"/>
              <w:keepLines w:val="0"/>
              <w:pageBreakBefore w:val="0"/>
              <w:kinsoku/>
              <w:wordWrap/>
              <w:overflowPunct/>
              <w:topLinePunct w:val="0"/>
              <w:autoSpaceDE/>
              <w:autoSpaceDN/>
              <w:bidi w:val="0"/>
              <w:spacing w:after="0" w:line="360" w:lineRule="auto"/>
              <w:ind w:left="0" w:leftChars="0" w:firstLine="482"/>
              <w:textAlignment w:val="auto"/>
              <w:rPr>
                <w:rFonts w:ascii="宋体" w:hAnsi="宋体" w:cs="宋体"/>
                <w:color w:val="auto"/>
              </w:rPr>
            </w:pPr>
            <w:r>
              <w:rPr>
                <w:rFonts w:hint="eastAsia" w:ascii="宋体" w:hAnsi="宋体" w:cs="宋体"/>
                <w:b/>
                <w:color w:val="auto"/>
              </w:rPr>
              <w:t>五、环保档案管理检查：</w:t>
            </w:r>
            <w:r>
              <w:rPr>
                <w:rFonts w:hint="eastAsia" w:ascii="宋体" w:hAnsi="宋体" w:cs="宋体"/>
                <w:color w:val="auto"/>
              </w:rPr>
              <w:t>目前由办公室进行档案管理，所有环境保护资料保管完整，并分类归档。</w:t>
            </w:r>
          </w:p>
          <w:p>
            <w:pPr>
              <w:keepNext w:val="0"/>
              <w:keepLines w:val="0"/>
              <w:pageBreakBefore w:val="0"/>
              <w:kinsoku/>
              <w:wordWrap/>
              <w:overflowPunct/>
              <w:topLinePunct w:val="0"/>
              <w:autoSpaceDE/>
              <w:autoSpaceDN/>
              <w:bidi w:val="0"/>
              <w:spacing w:after="0" w:line="360" w:lineRule="auto"/>
              <w:ind w:left="0" w:leftChars="0" w:firstLine="480"/>
              <w:textAlignment w:val="auto"/>
              <w:rPr>
                <w:rFonts w:hint="eastAsia" w:ascii="宋体" w:hAnsi="宋体" w:eastAsia="宋体" w:cs="宋体"/>
                <w:color w:val="auto"/>
              </w:rPr>
            </w:pPr>
            <w:r>
              <w:rPr>
                <w:rFonts w:hint="eastAsia" w:ascii="宋体" w:hAnsi="宋体" w:cs="宋体"/>
                <w:b/>
                <w:lang w:val="en-US" w:eastAsia="zh-CN"/>
              </w:rPr>
              <w:t>六</w:t>
            </w:r>
            <w:r>
              <w:rPr>
                <w:rFonts w:hint="eastAsia" w:ascii="宋体" w:hAnsi="宋体" w:cs="宋体"/>
                <w:b/>
              </w:rPr>
              <w:t>、</w:t>
            </w:r>
            <w:r>
              <w:rPr>
                <w:rFonts w:hint="eastAsia" w:ascii="宋体" w:hAnsi="宋体" w:cs="宋体"/>
                <w:b/>
                <w:color w:val="auto"/>
              </w:rPr>
              <w:t>排污口规范检查：</w:t>
            </w:r>
            <w:r>
              <w:rPr>
                <w:rFonts w:hint="eastAsia" w:ascii="宋体" w:hAnsi="宋体" w:cs="宋体"/>
                <w:bCs/>
              </w:rPr>
              <w:t>项目按照相关标准设置</w:t>
            </w:r>
            <w:r>
              <w:rPr>
                <w:rFonts w:hint="eastAsia" w:ascii="宋体" w:hAnsi="宋体" w:cs="宋体"/>
                <w:bCs/>
                <w:lang w:eastAsia="zh-CN"/>
              </w:rPr>
              <w:t>废水、</w:t>
            </w:r>
            <w:r>
              <w:rPr>
                <w:rFonts w:hint="eastAsia" w:ascii="宋体" w:hAnsi="宋体" w:cs="宋体"/>
                <w:bCs/>
              </w:rPr>
              <w:t>废气排放口并张贴环保标识标牌。</w:t>
            </w:r>
          </w:p>
          <w:p>
            <w:pPr>
              <w:keepNext w:val="0"/>
              <w:keepLines w:val="0"/>
              <w:pageBreakBefore w:val="0"/>
              <w:kinsoku/>
              <w:wordWrap/>
              <w:overflowPunct/>
              <w:topLinePunct w:val="0"/>
              <w:autoSpaceDE/>
              <w:autoSpaceDN/>
              <w:bidi w:val="0"/>
              <w:spacing w:after="0" w:line="360" w:lineRule="auto"/>
              <w:ind w:left="0" w:leftChars="0" w:firstLine="480"/>
              <w:textAlignment w:val="auto"/>
              <w:rPr>
                <w:rFonts w:hint="default" w:ascii="宋体" w:hAnsi="宋体" w:eastAsia="宋体" w:cs="宋体"/>
                <w:color w:val="auto"/>
                <w:lang w:eastAsia="zh-CN"/>
              </w:rPr>
            </w:pPr>
            <w:r>
              <w:rPr>
                <w:rFonts w:hint="eastAsia" w:ascii="宋体" w:hAnsi="宋体" w:eastAsia="宋体" w:cs="宋体"/>
                <w:b/>
                <w:color w:val="auto"/>
              </w:rPr>
              <w:t>七、周边环境情况检查：</w:t>
            </w:r>
            <w:r>
              <w:rPr>
                <w:rFonts w:hint="eastAsia" w:ascii="宋体" w:hAnsi="宋体" w:eastAsia="宋体" w:cs="宋体"/>
                <w:color w:val="auto"/>
              </w:rPr>
              <w:t>根据现场调查，</w:t>
            </w:r>
            <w:r>
              <w:rPr>
                <w:rFonts w:hint="eastAsia" w:ascii="宋体" w:hAnsi="宋体" w:cs="宋体"/>
                <w:szCs w:val="24"/>
              </w:rPr>
              <w:t>项目外环境与环评阶段相比未发生重大变化，无新增环境敏感点。</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宋体" w:hAnsi="宋体" w:eastAsia="宋体" w:cs="宋体"/>
                <w:szCs w:val="24"/>
                <w:lang w:val="en-US" w:eastAsia="zh-CN"/>
              </w:rPr>
            </w:pPr>
            <w:r>
              <w:rPr>
                <w:rFonts w:hint="eastAsia" w:ascii="宋体" w:hAnsi="宋体" w:cs="宋体"/>
                <w:b/>
                <w:szCs w:val="24"/>
                <w:lang w:val="en-US" w:eastAsia="zh-CN"/>
              </w:rPr>
              <w:t>八、</w:t>
            </w:r>
            <w:r>
              <w:rPr>
                <w:rFonts w:hint="eastAsia" w:ascii="宋体" w:hAnsi="宋体" w:cs="宋体"/>
                <w:b/>
                <w:szCs w:val="24"/>
              </w:rPr>
              <w:t>建设和试生产期间问题调查</w:t>
            </w:r>
            <w:r>
              <w:rPr>
                <w:rFonts w:hint="eastAsia" w:ascii="宋体" w:hAnsi="宋体" w:cs="宋体"/>
                <w:b/>
                <w:szCs w:val="24"/>
                <w:lang w:eastAsia="zh-CN"/>
              </w:rPr>
              <w:t>：</w:t>
            </w:r>
            <w:r>
              <w:rPr>
                <w:rFonts w:hint="eastAsia" w:ascii="宋体" w:hAnsi="宋体" w:cs="宋体"/>
                <w:szCs w:val="24"/>
              </w:rPr>
              <w:t>本项目</w:t>
            </w:r>
            <w:r>
              <w:rPr>
                <w:rFonts w:hint="eastAsia" w:ascii="宋体" w:hAnsi="宋体" w:cs="宋体"/>
                <w:szCs w:val="24"/>
                <w:lang w:val="en-US" w:eastAsia="zh-CN"/>
              </w:rPr>
              <w:t>无遗留环保问题。</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200" w:right="113" w:rightChars="0"/>
              <w:jc w:val="left"/>
              <w:textAlignment w:val="auto"/>
              <w:rPr>
                <w:rFonts w:hint="eastAsia" w:ascii="Times New Roman" w:hAnsi="Times New Roman" w:eastAsia="宋体" w:cstheme="minorBidi"/>
                <w:b/>
                <w:bCs/>
                <w:sz w:val="24"/>
                <w:szCs w:val="22"/>
                <w:lang w:val="en-US" w:eastAsia="zh-CN" w:bidi="ar-SA"/>
              </w:rPr>
            </w:pPr>
            <w:r>
              <w:rPr>
                <w:rFonts w:hint="eastAsia" w:ascii="Times New Roman" w:hAnsi="Times New Roman" w:eastAsia="宋体" w:cstheme="minorBidi"/>
                <w:b/>
                <w:bCs/>
                <w:sz w:val="24"/>
                <w:szCs w:val="22"/>
                <w:lang w:val="en-US" w:eastAsia="zh-CN" w:bidi="ar-SA"/>
              </w:rPr>
              <w:t>九、总量控制指标检查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auto"/>
                <w:sz w:val="24"/>
                <w:szCs w:val="24"/>
                <w:lang w:eastAsia="zh-CN"/>
              </w:rPr>
            </w:pPr>
            <w:r>
              <w:rPr>
                <w:rFonts w:hint="eastAsia"/>
                <w:sz w:val="24"/>
                <w:szCs w:val="24"/>
              </w:rPr>
              <w:t>经现场踏勘，</w:t>
            </w:r>
            <w:r>
              <w:rPr>
                <w:rFonts w:hint="eastAsia"/>
                <w:sz w:val="24"/>
                <w:szCs w:val="24"/>
                <w:lang w:eastAsia="zh-CN"/>
              </w:rPr>
              <w:t>项目所在地市政污水管网正在建设</w:t>
            </w:r>
            <w:r>
              <w:rPr>
                <w:rFonts w:hint="eastAsia"/>
                <w:sz w:val="24"/>
                <w:szCs w:val="24"/>
              </w:rPr>
              <w:t>，在建成运营前，本项目污水委托</w:t>
            </w:r>
            <w:r>
              <w:rPr>
                <w:rFonts w:hint="eastAsia"/>
                <w:sz w:val="24"/>
                <w:szCs w:val="24"/>
                <w:lang w:eastAsia="zh-CN"/>
              </w:rPr>
              <w:t>专业清运公司清运至</w:t>
            </w:r>
            <w:r>
              <w:rPr>
                <w:rFonts w:hint="eastAsia"/>
                <w:sz w:val="24"/>
                <w:szCs w:val="24"/>
              </w:rPr>
              <w:t>彭州市第一污水处理厂处理，</w:t>
            </w:r>
            <w:r>
              <w:rPr>
                <w:rFonts w:hint="eastAsia"/>
                <w:sz w:val="24"/>
                <w:szCs w:val="24"/>
                <w:lang w:eastAsia="zh-CN"/>
              </w:rPr>
              <w:t>清运</w:t>
            </w:r>
            <w:r>
              <w:rPr>
                <w:rFonts w:hint="eastAsia"/>
                <w:sz w:val="24"/>
                <w:szCs w:val="24"/>
              </w:rPr>
              <w:t>服务合同见附件，</w:t>
            </w:r>
            <w:r>
              <w:rPr>
                <w:rFonts w:hint="eastAsia"/>
                <w:sz w:val="24"/>
                <w:szCs w:val="24"/>
                <w:lang w:eastAsia="zh-CN"/>
              </w:rPr>
              <w:t>市政污水管网</w:t>
            </w:r>
            <w:r>
              <w:rPr>
                <w:rFonts w:hint="eastAsia"/>
                <w:sz w:val="24"/>
                <w:szCs w:val="24"/>
              </w:rPr>
              <w:t>完善且运营后，接入</w:t>
            </w:r>
            <w:r>
              <w:rPr>
                <w:rFonts w:hint="eastAsia"/>
                <w:sz w:val="24"/>
                <w:szCs w:val="24"/>
                <w:lang w:eastAsia="zh-CN"/>
              </w:rPr>
              <w:t>市政污水</w:t>
            </w:r>
            <w:r>
              <w:rPr>
                <w:rFonts w:hint="eastAsia"/>
                <w:sz w:val="24"/>
                <w:szCs w:val="24"/>
              </w:rPr>
              <w:t>管网</w:t>
            </w:r>
            <w:r>
              <w:rPr>
                <w:rFonts w:hint="eastAsia"/>
                <w:sz w:val="24"/>
                <w:szCs w:val="24"/>
                <w:lang w:eastAsia="zh-CN"/>
              </w:rPr>
              <w:t>，故此处不进行总量比对</w:t>
            </w:r>
            <w:r>
              <w:rPr>
                <w:rFonts w:hint="eastAsia"/>
                <w:color w:val="auto"/>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2" w:firstLineChars="200"/>
              <w:jc w:val="left"/>
              <w:textAlignment w:val="auto"/>
              <w:outlineLvl w:val="9"/>
              <w:rPr>
                <w:rFonts w:hint="default" w:ascii="Times New Roman" w:hAnsi="Times New Roman" w:eastAsia="宋体"/>
                <w:color w:val="auto"/>
                <w:sz w:val="28"/>
                <w:szCs w:val="28"/>
                <w:lang w:val="en-US" w:eastAsia="zh-CN"/>
              </w:rPr>
            </w:pPr>
            <w:r>
              <w:rPr>
                <w:rFonts w:hint="eastAsia"/>
                <w:b/>
                <w:bCs/>
                <w:color w:val="auto"/>
                <w:sz w:val="24"/>
                <w:szCs w:val="24"/>
                <w:lang w:val="en-US" w:eastAsia="zh-CN"/>
              </w:rPr>
              <w:t>十、公众意见调查</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right="0" w:firstLine="560" w:firstLineChars="200"/>
              <w:jc w:val="both"/>
              <w:textAlignment w:val="auto"/>
            </w:pPr>
            <w:r>
              <w:rPr>
                <w:rFonts w:hint="eastAsia"/>
                <w:color w:val="auto"/>
                <w:sz w:val="28"/>
                <w:szCs w:val="28"/>
                <w:lang w:val="en-US" w:eastAsia="zh-CN"/>
              </w:rPr>
              <w:t xml:space="preserve"> </w:t>
            </w:r>
            <w:r>
              <w:t xml:space="preserve">验收期间对项目周围居民及员工进行调查，发放公众意见调查表 </w:t>
            </w:r>
            <w:r>
              <w:rPr>
                <w:rFonts w:ascii="Times New Roman" w:eastAsia="Times New Roman"/>
              </w:rPr>
              <w:t xml:space="preserve">30 </w:t>
            </w:r>
            <w:r>
              <w:t>份，收</w:t>
            </w:r>
            <w:r>
              <w:rPr>
                <w:spacing w:val="-7"/>
              </w:rPr>
              <w:t xml:space="preserve">回公众意见调查表 </w:t>
            </w:r>
            <w:r>
              <w:rPr>
                <w:rFonts w:ascii="Times New Roman" w:eastAsia="Times New Roman"/>
              </w:rPr>
              <w:t xml:space="preserve">30 </w:t>
            </w:r>
            <w:r>
              <w:t>份。调查人群均在附近居住或工</w:t>
            </w:r>
            <w:r>
              <w:rPr>
                <w:spacing w:val="-3"/>
              </w:rPr>
              <w:t xml:space="preserve">作。经统计，被调查人员对该项目环保工作表示满意的占 </w:t>
            </w:r>
            <w:r>
              <w:rPr>
                <w:rFonts w:ascii="Times New Roman" w:eastAsia="Times New Roman"/>
              </w:rPr>
              <w:t>100%</w:t>
            </w:r>
            <w:r>
              <w:rPr>
                <w:spacing w:val="-3"/>
              </w:rPr>
              <w:t>。公众意见调查</w:t>
            </w:r>
            <w:r>
              <w:rPr>
                <w:spacing w:val="-5"/>
              </w:rPr>
              <w:t xml:space="preserve">表见附件，调查结果统计见表 </w:t>
            </w:r>
            <w:r>
              <w:rPr>
                <w:rFonts w:ascii="Times New Roman" w:eastAsia="Times New Roman"/>
              </w:rPr>
              <w:t>8-</w:t>
            </w:r>
            <w:r>
              <w:rPr>
                <w:rFonts w:hint="eastAsia" w:eastAsia="宋体"/>
                <w:lang w:val="en-US" w:eastAsia="zh-CN"/>
              </w:rPr>
              <w:t>2</w:t>
            </w:r>
            <w: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b/>
                <w:bCs/>
                <w:color w:val="auto"/>
                <w:lang w:val="en-US" w:eastAsia="zh-CN"/>
              </w:rPr>
            </w:pPr>
            <w:r>
              <w:rPr>
                <w:rFonts w:hint="eastAsia"/>
                <w:b/>
                <w:bCs/>
                <w:color w:val="auto"/>
                <w:lang w:val="en-US" w:eastAsia="zh-CN"/>
              </w:rPr>
              <w:t>表8-2公众意见调查结果统计</w:t>
            </w:r>
          </w:p>
          <w:tbl>
            <w:tblPr>
              <w:tblStyle w:val="21"/>
              <w:tblW w:w="47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84"/>
              <w:gridCol w:w="1087"/>
              <w:gridCol w:w="865"/>
              <w:gridCol w:w="433"/>
              <w:gridCol w:w="863"/>
              <w:gridCol w:w="932"/>
              <w:gridCol w:w="428"/>
              <w:gridCol w:w="343"/>
              <w:gridCol w:w="278"/>
              <w:gridCol w:w="747"/>
              <w:gridCol w:w="325"/>
              <w:gridCol w:w="10"/>
              <w:gridCol w:w="1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性别</w:t>
                  </w:r>
                </w:p>
              </w:tc>
              <w:tc>
                <w:tcPr>
                  <w:tcW w:w="128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民族</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文化程度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男</w:t>
                  </w:r>
                </w:p>
              </w:tc>
              <w:tc>
                <w:tcPr>
                  <w:tcW w:w="6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rPr>
                    <w:t>女</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bidi="ar-SA"/>
                    </w:rPr>
                    <w:t>汉族</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其他</w:t>
                  </w: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大、中专以上</w:t>
                  </w:r>
                </w:p>
              </w:tc>
              <w:tc>
                <w:tcPr>
                  <w:tcW w:w="623"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高中</w:t>
                  </w:r>
                </w:p>
              </w:tc>
              <w:tc>
                <w:tcPr>
                  <w:tcW w:w="637"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初中</w:t>
                  </w:r>
                </w:p>
              </w:tc>
              <w:tc>
                <w:tcPr>
                  <w:tcW w:w="61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小学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人，</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p>
              </w:tc>
              <w:tc>
                <w:tcPr>
                  <w:tcW w:w="6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14</w:t>
                  </w:r>
                  <w:r>
                    <w:rPr>
                      <w:rFonts w:hint="default" w:ascii="Times New Roman" w:hAnsi="Times New Roman" w:eastAsia="宋体" w:cs="Times New Roman"/>
                      <w:sz w:val="21"/>
                      <w:szCs w:val="21"/>
                      <w:lang w:val="en-US" w:eastAsia="zh-CN"/>
                    </w:rPr>
                    <w:t>人，</w:t>
                  </w:r>
                  <w:r>
                    <w:rPr>
                      <w:rFonts w:hint="eastAsia" w:cs="Times New Roman"/>
                      <w:sz w:val="21"/>
                      <w:szCs w:val="21"/>
                      <w:lang w:val="en-US" w:eastAsia="zh-CN"/>
                    </w:rPr>
                    <w:t>46</w:t>
                  </w:r>
                  <w:r>
                    <w:rPr>
                      <w:rFonts w:hint="default" w:ascii="Times New Roman" w:hAnsi="Times New Roman" w:eastAsia="宋体" w:cs="Times New Roman"/>
                      <w:sz w:val="21"/>
                      <w:szCs w:val="21"/>
                      <w:lang w:val="en-US" w:eastAsia="zh-CN"/>
                    </w:rPr>
                    <w:t>%</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sz w:val="21"/>
                      <w:szCs w:val="21"/>
                      <w:lang w:val="en-US" w:eastAsia="zh-CN" w:bidi="ar-SA"/>
                    </w:rPr>
                  </w:pPr>
                  <w:r>
                    <w:rPr>
                      <w:rFonts w:hint="eastAsia"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val="en-US" w:eastAsia="zh-CN"/>
                    </w:rPr>
                    <w:t>人，</w:t>
                  </w:r>
                  <w:r>
                    <w:rPr>
                      <w:rFonts w:hint="eastAsia" w:ascii="Times New Roman" w:hAnsi="Times New Roman" w:eastAsia="宋体" w:cs="Times New Roman"/>
                      <w:sz w:val="21"/>
                      <w:szCs w:val="21"/>
                      <w:lang w:val="en-US" w:eastAsia="zh-CN"/>
                    </w:rPr>
                    <w:t>97</w:t>
                  </w:r>
                  <w:r>
                    <w:rPr>
                      <w:rFonts w:hint="default" w:ascii="Times New Roman" w:hAnsi="Times New Roman" w:eastAsia="宋体" w:cs="Times New Roman"/>
                      <w:sz w:val="21"/>
                      <w:szCs w:val="21"/>
                      <w:lang w:val="en-US" w:eastAsia="zh-CN"/>
                    </w:rPr>
                    <w:t>%</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人，</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0</w:t>
                  </w:r>
                  <w:r>
                    <w:rPr>
                      <w:rFonts w:hint="default" w:ascii="Times New Roman" w:hAnsi="Times New Roman" w:eastAsia="宋体" w:cs="Times New Roman"/>
                      <w:sz w:val="21"/>
                      <w:szCs w:val="21"/>
                      <w:lang w:val="en-US" w:eastAsia="zh-CN"/>
                    </w:rPr>
                    <w:t>人，</w:t>
                  </w:r>
                  <w:r>
                    <w:rPr>
                      <w:rFonts w:hint="eastAsia" w:cs="Times New Roman"/>
                      <w:sz w:val="21"/>
                      <w:szCs w:val="21"/>
                      <w:lang w:val="en-US" w:eastAsia="zh-CN"/>
                    </w:rPr>
                    <w:t>0</w:t>
                  </w:r>
                  <w:r>
                    <w:rPr>
                      <w:rFonts w:hint="default" w:ascii="Times New Roman" w:hAnsi="Times New Roman" w:eastAsia="宋体" w:cs="Times New Roman"/>
                      <w:sz w:val="21"/>
                      <w:szCs w:val="21"/>
                      <w:lang w:val="en-US" w:eastAsia="zh-CN"/>
                    </w:rPr>
                    <w:t>%</w:t>
                  </w:r>
                </w:p>
              </w:tc>
              <w:tc>
                <w:tcPr>
                  <w:tcW w:w="623"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6人，20%</w:t>
                  </w:r>
                </w:p>
              </w:tc>
              <w:tc>
                <w:tcPr>
                  <w:tcW w:w="637"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19人，63%</w:t>
                  </w:r>
                </w:p>
              </w:tc>
              <w:tc>
                <w:tcPr>
                  <w:tcW w:w="61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5人，17%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你是否看见</w:t>
                  </w: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rPr>
                    <w:t>期间固体废弃物随意丢弃？</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①很强</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②一般</w:t>
                  </w:r>
                </w:p>
              </w:tc>
              <w:tc>
                <w:tcPr>
                  <w:tcW w:w="1012"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③无</w:t>
                  </w:r>
                </w:p>
              </w:tc>
              <w:tc>
                <w:tcPr>
                  <w:tcW w:w="1413" w:type="pct"/>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rPr>
                    <w:t>④不知道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12"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c>
                <w:tcPr>
                  <w:tcW w:w="1413" w:type="pct"/>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你认为生产噪声对你生活影响程度</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①很大</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②一般</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0人</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你是否看见废水乱排乱放</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①经常看见</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②偶尔看见</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③从未见过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2425"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你认为对环境影响的主要原因是？</w:t>
                  </w: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①噪声</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②粉尘</w:t>
                  </w:r>
                </w:p>
              </w:tc>
              <w:tc>
                <w:tcPr>
                  <w:tcW w:w="808"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③水质</w:t>
                  </w:r>
                </w:p>
              </w:tc>
              <w:tc>
                <w:tcPr>
                  <w:tcW w:w="1012" w:type="pct"/>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④废气</w:t>
                  </w:r>
                </w:p>
              </w:tc>
              <w:tc>
                <w:tcPr>
                  <w:tcW w:w="6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⑤其它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5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sz w:val="21"/>
                      <w:szCs w:val="21"/>
                      <w:lang w:val="en-US"/>
                    </w:rPr>
                  </w:pPr>
                  <w:r>
                    <w:rPr>
                      <w:rFonts w:hint="eastAsia" w:cs="Times New Roman"/>
                      <w:color w:val="auto"/>
                      <w:sz w:val="21"/>
                      <w:szCs w:val="21"/>
                      <w:lang w:val="en-US" w:eastAsia="zh-CN"/>
                    </w:rPr>
                    <w:t>0</w:t>
                  </w:r>
                </w:p>
              </w:tc>
              <w:tc>
                <w:tcPr>
                  <w:tcW w:w="77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08"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r>
                    <w:rPr>
                      <w:rFonts w:hint="default" w:ascii="Times New Roman" w:hAnsi="Times New Roman" w:cs="Times New Roman"/>
                      <w:color w:val="auto"/>
                      <w:sz w:val="21"/>
                      <w:szCs w:val="21"/>
                    </w:rPr>
                    <w:t>，</w:t>
                  </w:r>
                  <w:r>
                    <w:rPr>
                      <w:rFonts w:hint="eastAsia" w:cs="Times New Roman"/>
                      <w:color w:val="auto"/>
                      <w:sz w:val="21"/>
                      <w:szCs w:val="21"/>
                      <w:lang w:val="en-US" w:eastAsia="zh-CN"/>
                    </w:rPr>
                    <w:t>37</w:t>
                  </w:r>
                  <w:r>
                    <w:rPr>
                      <w:rFonts w:hint="default" w:ascii="Times New Roman" w:hAnsi="Times New Roman" w:cs="Times New Roman"/>
                      <w:color w:val="auto"/>
                      <w:sz w:val="21"/>
                      <w:szCs w:val="21"/>
                    </w:rPr>
                    <w:t>%</w:t>
                  </w:r>
                </w:p>
              </w:tc>
              <w:tc>
                <w:tcPr>
                  <w:tcW w:w="1012" w:type="pct"/>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3</w:t>
                  </w:r>
                  <w:r>
                    <w:rPr>
                      <w:rFonts w:hint="default" w:ascii="Times New Roman" w:hAnsi="Times New Roman" w:cs="Times New Roman"/>
                      <w:color w:val="auto"/>
                      <w:sz w:val="21"/>
                      <w:szCs w:val="21"/>
                    </w:rPr>
                    <w:t>人，</w:t>
                  </w: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6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53</w:t>
                  </w:r>
                  <w:r>
                    <w:rPr>
                      <w:rFonts w:hint="default" w:ascii="Times New Roman" w:hAnsi="Times New Roman" w:cs="Times New Roman"/>
                      <w:sz w:val="21"/>
                      <w:szCs w:val="21"/>
                    </w:rPr>
                    <w:t>人，</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你认为该公司的环境保护工作力度</w:t>
                  </w:r>
                </w:p>
              </w:tc>
              <w:tc>
                <w:tcPr>
                  <w:tcW w:w="1838"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①建设单位较为重视，采取有效措施减免环境影响，成效显著。</w:t>
                  </w:r>
                </w:p>
              </w:tc>
              <w:tc>
                <w:tcPr>
                  <w:tcW w:w="1871" w:type="pct"/>
                  <w:gridSpan w:val="7"/>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②环保工作仍有欠缺，建议加强。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838"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c>
                <w:tcPr>
                  <w:tcW w:w="1871" w:type="pct"/>
                  <w:gridSpan w:val="7"/>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你对该公司环保工作的满意程度为</w:t>
                  </w:r>
                </w:p>
              </w:tc>
              <w:tc>
                <w:tcPr>
                  <w:tcW w:w="77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①满意</w:t>
                  </w:r>
                </w:p>
              </w:tc>
              <w:tc>
                <w:tcPr>
                  <w:tcW w:w="106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②比较满意</w:t>
                  </w:r>
                </w:p>
              </w:tc>
              <w:tc>
                <w:tcPr>
                  <w:tcW w:w="106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③不满意</w:t>
                  </w:r>
                </w:p>
              </w:tc>
              <w:tc>
                <w:tcPr>
                  <w:tcW w:w="80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④非常不满意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77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c>
                <w:tcPr>
                  <w:tcW w:w="106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0</w:t>
                  </w:r>
                </w:p>
              </w:tc>
              <w:tc>
                <w:tcPr>
                  <w:tcW w:w="106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80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是否发生扰民事件或环境污染事故</w:t>
                  </w:r>
                </w:p>
              </w:tc>
              <w:tc>
                <w:tcPr>
                  <w:tcW w:w="77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①有</w:t>
                  </w:r>
                </w:p>
              </w:tc>
              <w:tc>
                <w:tcPr>
                  <w:tcW w:w="106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②无</w:t>
                  </w:r>
                </w:p>
              </w:tc>
              <w:tc>
                <w:tcPr>
                  <w:tcW w:w="106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③不知道</w:t>
                  </w:r>
                </w:p>
              </w:tc>
              <w:tc>
                <w:tcPr>
                  <w:tcW w:w="80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90"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77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6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人，100%</w:t>
                  </w:r>
                </w:p>
              </w:tc>
              <w:tc>
                <w:tcPr>
                  <w:tcW w:w="106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80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olor w:val="auto"/>
                <w:sz w:val="28"/>
                <w:szCs w:val="28"/>
                <w:lang w:val="en-US" w:eastAsia="zh-CN"/>
              </w:rPr>
            </w:pPr>
            <w:r>
              <w:rPr>
                <w:rFonts w:hint="eastAsia" w:ascii="宋体" w:hAnsi="宋体" w:cs="宋体"/>
                <w:szCs w:val="24"/>
              </w:rPr>
              <w:t>公众参与调查表基本上反应了项目周围居民对本项目环保工作均持满意态度。</w:t>
            </w:r>
          </w:p>
        </w:tc>
      </w:tr>
    </w:tbl>
    <w:p>
      <w:pPr>
        <w:spacing w:line="220" w:lineRule="atLeast"/>
        <w:jc w:val="right"/>
        <w:rPr>
          <w:sz w:val="21"/>
          <w:szCs w:val="21"/>
        </w:rPr>
      </w:pPr>
    </w:p>
    <w:p>
      <w:pPr>
        <w:spacing w:line="220" w:lineRule="atLeast"/>
        <w:jc w:val="center"/>
        <w:rPr>
          <w:rFonts w:hint="eastAsia"/>
          <w:b/>
          <w:sz w:val="21"/>
          <w:szCs w:val="21"/>
        </w:rPr>
        <w:sectPr>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b/>
          <w:bCs/>
          <w:sz w:val="28"/>
          <w:szCs w:val="28"/>
          <w:lang w:val="en-US" w:eastAsia="zh-CN"/>
        </w:rPr>
      </w:pPr>
      <w:r>
        <w:rPr>
          <w:rFonts w:hint="eastAsia"/>
          <w:b/>
          <w:bCs/>
          <w:sz w:val="28"/>
          <w:szCs w:val="28"/>
          <w:lang w:eastAsia="zh-CN"/>
        </w:rPr>
        <w:t>表</w:t>
      </w:r>
      <w:r>
        <w:rPr>
          <w:rFonts w:hint="eastAsia"/>
          <w:b/>
          <w:bCs/>
          <w:sz w:val="28"/>
          <w:szCs w:val="28"/>
          <w:lang w:val="en-US" w:eastAsia="zh-CN"/>
        </w:rPr>
        <w:t>九  验收监测结论及建议</w:t>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88" w:hRule="atLeast"/>
          <w:jc w:val="center"/>
        </w:trPr>
        <w:tc>
          <w:tcPr>
            <w:tcW w:w="9074"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textAlignment w:val="auto"/>
              <w:rPr>
                <w:rFonts w:hint="default"/>
                <w:b/>
                <w:bCs/>
                <w:lang w:val="en-US" w:eastAsia="zh-CN"/>
              </w:rPr>
            </w:pPr>
            <w:r>
              <w:rPr>
                <w:rFonts w:hint="eastAsia"/>
                <w:b/>
                <w:bCs/>
                <w:lang w:val="en-US" w:eastAsia="zh-CN"/>
              </w:rPr>
              <w:t>1、项目建设情况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cs="Times New Roman"/>
                <w:szCs w:val="24"/>
              </w:rPr>
            </w:pPr>
            <w:r>
              <w:rPr>
                <w:rFonts w:hint="eastAsia" w:ascii="宋体" w:hAnsi="宋体" w:cs="宋体"/>
                <w:b w:val="0"/>
                <w:bCs w:val="0"/>
                <w:color w:val="auto"/>
                <w:sz w:val="24"/>
                <w:szCs w:val="24"/>
                <w:lang w:val="en-US" w:eastAsia="zh-CN" w:bidi="ar-SA"/>
              </w:rPr>
              <w:t>彭州市天彭镇农机管理服务站加油站设施设备改造项目</w:t>
            </w:r>
            <w:r>
              <w:rPr>
                <w:rFonts w:hint="eastAsia" w:ascii="宋体" w:hAnsi="宋体" w:eastAsia="宋体" w:cs="宋体"/>
                <w:b w:val="0"/>
                <w:bCs w:val="0"/>
                <w:color w:val="auto"/>
                <w:sz w:val="24"/>
                <w:szCs w:val="24"/>
                <w:lang w:val="en-US" w:eastAsia="zh-CN" w:bidi="ar-SA"/>
              </w:rPr>
              <w:t>执行了国家有关环境保护的法律法规，环境保护审批手续齐全，</w:t>
            </w:r>
            <w:r>
              <w:rPr>
                <w:rFonts w:ascii="Times New Roman" w:hAnsi="Times New Roman" w:cs="Times New Roman"/>
                <w:szCs w:val="24"/>
              </w:rPr>
              <w:t>履行了环境影响</w:t>
            </w:r>
            <w:r>
              <w:rPr>
                <w:rFonts w:hint="eastAsia" w:ascii="Times New Roman" w:hAnsi="Times New Roman" w:cs="Times New Roman"/>
                <w:szCs w:val="24"/>
                <w:lang w:val="en-US" w:eastAsia="zh-CN"/>
              </w:rPr>
              <w:t>评价</w:t>
            </w:r>
            <w:r>
              <w:rPr>
                <w:rFonts w:ascii="Times New Roman" w:hAnsi="Times New Roman" w:cs="Times New Roman"/>
                <w:szCs w:val="24"/>
              </w:rPr>
              <w:t>制度，项目建设情况符合</w:t>
            </w:r>
            <w:r>
              <w:rPr>
                <w:rFonts w:hint="eastAsia" w:ascii="Times New Roman" w:hAnsi="Times New Roman" w:cs="Times New Roman"/>
                <w:szCs w:val="24"/>
              </w:rPr>
              <w:t>环评</w:t>
            </w:r>
            <w:r>
              <w:rPr>
                <w:rFonts w:ascii="Times New Roman" w:hAnsi="Times New Roman" w:cs="Times New Roman"/>
                <w:szCs w:val="24"/>
              </w:rPr>
              <w:t>要求，项目对</w:t>
            </w:r>
            <w:r>
              <w:rPr>
                <w:rFonts w:hint="eastAsia" w:ascii="Times New Roman" w:hAnsi="Times New Roman" w:cs="Times New Roman"/>
                <w:szCs w:val="24"/>
              </w:rPr>
              <w:t>环评</w:t>
            </w:r>
            <w:r>
              <w:rPr>
                <w:rFonts w:ascii="Times New Roman" w:hAnsi="Times New Roman" w:cs="Times New Roman"/>
                <w:szCs w:val="24"/>
              </w:rPr>
              <w:t>报告提出的环保要求得到了落实。</w:t>
            </w:r>
          </w:p>
          <w:p>
            <w:pPr>
              <w:pStyle w:val="10"/>
              <w:keepNext w:val="0"/>
              <w:keepLines w:val="0"/>
              <w:pageBreakBefore w:val="0"/>
              <w:widowControl/>
              <w:kinsoku w:val="0"/>
              <w:wordWrap/>
              <w:overflowPunct w:val="0"/>
              <w:topLinePunct w:val="0"/>
              <w:autoSpaceDE/>
              <w:autoSpaceDN/>
              <w:bidi w:val="0"/>
              <w:adjustRightInd w:val="0"/>
              <w:snapToGrid w:val="0"/>
              <w:spacing w:beforeLines="0" w:after="0" w:afterLines="0" w:line="360" w:lineRule="auto"/>
              <w:ind w:firstLine="482" w:firstLineChars="200"/>
              <w:jc w:val="left"/>
              <w:textAlignment w:val="auto"/>
              <w:rPr>
                <w:rFonts w:hint="default" w:ascii="宋体" w:hAnsi="宋体" w:eastAsia="宋体" w:cs="宋体"/>
                <w:b/>
                <w:bCs/>
                <w:color w:val="auto"/>
                <w:sz w:val="24"/>
                <w:szCs w:val="24"/>
                <w:lang w:val="en-US" w:eastAsia="zh-CN" w:bidi="ar-SA"/>
              </w:rPr>
            </w:pPr>
            <w:r>
              <w:rPr>
                <w:rFonts w:hint="eastAsia" w:ascii="宋体" w:hAnsi="宋体" w:cs="宋体"/>
                <w:b/>
                <w:bCs/>
                <w:color w:val="auto"/>
                <w:sz w:val="24"/>
                <w:szCs w:val="24"/>
                <w:lang w:val="en-US" w:eastAsia="zh-CN" w:bidi="ar-SA"/>
              </w:rPr>
              <w:t>污染物排放监测结果</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auto"/>
                <w:sz w:val="24"/>
                <w:szCs w:val="24"/>
                <w:lang w:eastAsia="zh-CN"/>
              </w:rPr>
            </w:pPr>
            <w:r>
              <w:rPr>
                <w:rFonts w:hint="eastAsia" w:ascii="宋体" w:hAnsi="宋体" w:cs="宋体"/>
                <w:color w:val="auto"/>
                <w:sz w:val="24"/>
                <w:szCs w:val="24"/>
                <w:lang w:val="en-US" w:eastAsia="zh-CN" w:bidi="ar-SA"/>
              </w:rPr>
              <w:t>（1）废水：</w:t>
            </w:r>
            <w:r>
              <w:rPr>
                <w:rFonts w:hint="eastAsia"/>
                <w:sz w:val="24"/>
                <w:szCs w:val="24"/>
                <w:lang w:eastAsia="zh-CN"/>
              </w:rPr>
              <w:t>项目所在地市政污水管网正在建设</w:t>
            </w:r>
            <w:r>
              <w:rPr>
                <w:rFonts w:hint="eastAsia"/>
                <w:sz w:val="24"/>
                <w:szCs w:val="24"/>
              </w:rPr>
              <w:t>，在建成运营前，本项目污水委托</w:t>
            </w:r>
            <w:r>
              <w:rPr>
                <w:rFonts w:hint="eastAsia"/>
                <w:sz w:val="24"/>
                <w:szCs w:val="24"/>
                <w:lang w:eastAsia="zh-CN"/>
              </w:rPr>
              <w:t>专业清运公司清运至</w:t>
            </w:r>
            <w:r>
              <w:rPr>
                <w:rFonts w:hint="eastAsia"/>
                <w:sz w:val="24"/>
                <w:szCs w:val="24"/>
              </w:rPr>
              <w:t>彭州市第一污水处理厂处理，</w:t>
            </w:r>
            <w:r>
              <w:rPr>
                <w:rFonts w:hint="eastAsia"/>
                <w:sz w:val="24"/>
                <w:szCs w:val="24"/>
                <w:lang w:eastAsia="zh-CN"/>
              </w:rPr>
              <w:t>清运</w:t>
            </w:r>
            <w:r>
              <w:rPr>
                <w:rFonts w:hint="eastAsia"/>
                <w:sz w:val="24"/>
                <w:szCs w:val="24"/>
              </w:rPr>
              <w:t>服务合同见附件，</w:t>
            </w:r>
            <w:r>
              <w:rPr>
                <w:rFonts w:hint="eastAsia"/>
                <w:sz w:val="24"/>
                <w:szCs w:val="24"/>
                <w:lang w:eastAsia="zh-CN"/>
              </w:rPr>
              <w:t>市政污水管网</w:t>
            </w:r>
            <w:r>
              <w:rPr>
                <w:rFonts w:hint="eastAsia"/>
                <w:sz w:val="24"/>
                <w:szCs w:val="24"/>
              </w:rPr>
              <w:t>完善且运营后，接入</w:t>
            </w:r>
            <w:r>
              <w:rPr>
                <w:rFonts w:hint="eastAsia"/>
                <w:sz w:val="24"/>
                <w:szCs w:val="24"/>
                <w:lang w:eastAsia="zh-CN"/>
              </w:rPr>
              <w:t>市政污水</w:t>
            </w:r>
            <w:r>
              <w:rPr>
                <w:rFonts w:hint="eastAsia"/>
                <w:sz w:val="24"/>
                <w:szCs w:val="24"/>
              </w:rPr>
              <w:t>管网</w:t>
            </w:r>
            <w:r>
              <w:rPr>
                <w:rFonts w:hint="eastAsia"/>
                <w:color w:val="auto"/>
                <w:sz w:val="24"/>
                <w:szCs w:val="24"/>
                <w:lang w:eastAsia="zh-CN"/>
              </w:rPr>
              <w:t>。</w:t>
            </w:r>
          </w:p>
          <w:p>
            <w:pPr>
              <w:pStyle w:val="47"/>
              <w:adjustRightInd/>
              <w:snapToGrid/>
              <w:spacing w:after="0" w:line="360" w:lineRule="auto"/>
              <w:ind w:firstLine="480"/>
              <w:contextualSpacing/>
              <w:rPr>
                <w:rFonts w:hint="eastAsia" w:ascii="宋体" w:hAnsi="宋体" w:eastAsia="宋体" w:cs="宋体"/>
                <w:color w:val="auto"/>
                <w:sz w:val="24"/>
                <w:szCs w:val="24"/>
                <w:lang w:val="en-US" w:eastAsia="zh-CN" w:bidi="ar-SA"/>
              </w:rPr>
            </w:pPr>
            <w:r>
              <w:rPr>
                <w:rFonts w:hint="eastAsia" w:cs="Times New Roman" w:eastAsiaTheme="minorEastAsia"/>
                <w:bCs/>
                <w:color w:val="auto"/>
                <w:sz w:val="24"/>
                <w:szCs w:val="24"/>
                <w:lang w:eastAsia="zh-CN"/>
              </w:rPr>
              <w:t>（</w:t>
            </w:r>
            <w:r>
              <w:rPr>
                <w:rFonts w:hint="eastAsia" w:cs="Times New Roman" w:eastAsiaTheme="minorEastAsia"/>
                <w:bCs/>
                <w:color w:val="auto"/>
                <w:sz w:val="24"/>
                <w:szCs w:val="24"/>
                <w:lang w:val="en-US" w:eastAsia="zh-CN"/>
              </w:rPr>
              <w:t>2</w:t>
            </w:r>
            <w:r>
              <w:rPr>
                <w:rFonts w:hint="eastAsia" w:cs="Times New Roman" w:eastAsiaTheme="minorEastAsia"/>
                <w:bCs/>
                <w:color w:val="auto"/>
                <w:sz w:val="24"/>
                <w:szCs w:val="24"/>
                <w:lang w:eastAsia="zh-CN"/>
              </w:rPr>
              <w:t>）</w:t>
            </w:r>
            <w:r>
              <w:rPr>
                <w:rFonts w:hint="eastAsia" w:cs="Times New Roman" w:eastAsiaTheme="minorEastAsia"/>
                <w:bCs/>
                <w:color w:val="auto"/>
                <w:sz w:val="24"/>
                <w:szCs w:val="24"/>
                <w:lang w:val="en-US" w:eastAsia="zh-CN"/>
              </w:rPr>
              <w:t>废气：</w:t>
            </w:r>
            <w:r>
              <w:rPr>
                <w:color w:val="auto"/>
              </w:rPr>
              <w:t>项目运行过程中加油站一次油气回收阶段（即卸油油气回收系统）回收的油气运回储油库进行油气回收处理；二次油气回收阶段（即加油油气回收系统）回收的油气处理后返回储油罐重新利用</w:t>
            </w:r>
            <w:r>
              <w:rPr>
                <w:rFonts w:hint="eastAsia"/>
                <w:bCs/>
                <w:color w:val="auto"/>
                <w:lang w:eastAsia="zh-CN"/>
              </w:rPr>
              <w:t>；</w:t>
            </w:r>
            <w:r>
              <w:rPr>
                <w:rFonts w:hint="eastAsia"/>
                <w:color w:val="auto"/>
              </w:rPr>
              <w:t>机动车尾气通过自然扩散排放，且汽车启动时间较短，废气产生量小，对环境影响较小</w:t>
            </w:r>
            <w:r>
              <w:rPr>
                <w:rFonts w:hint="eastAsia"/>
                <w:color w:val="auto"/>
                <w:lang w:eastAsia="zh-CN"/>
              </w:rPr>
              <w:t>；</w:t>
            </w:r>
            <w:r>
              <w:rPr>
                <w:rFonts w:hint="eastAsia"/>
                <w:color w:val="auto"/>
              </w:rPr>
              <w:t>发电机采用0#柴油作为燃料，0#柴油属清洁能源，其燃油产生的废气污染物量较少，且发电机使用频率较低，每年最多使用十余天，发电机废气经烟气处理装置处理后由排烟管口伸出屋顶排放，对大气环境影响较小</w:t>
            </w:r>
            <w:r>
              <w:rPr>
                <w:rFonts w:hint="eastAsia" w:ascii="宋体" w:hAnsi="宋体" w:cs="宋体"/>
                <w:color w:val="auto"/>
                <w:sz w:val="24"/>
                <w:szCs w:val="24"/>
                <w:lang w:val="en-US" w:eastAsia="zh-CN" w:bidi="ar-SA"/>
              </w:rPr>
              <w:t>；</w:t>
            </w:r>
            <w:r>
              <w:rPr>
                <w:rFonts w:hint="eastAsia"/>
                <w:color w:val="auto"/>
                <w:sz w:val="24"/>
                <w:lang w:val="en-US" w:eastAsia="zh-CN"/>
              </w:rPr>
              <w:t>根据监测结果，</w:t>
            </w:r>
            <w:r>
              <w:rPr>
                <w:rFonts w:hint="eastAsia"/>
                <w:color w:val="auto"/>
                <w:sz w:val="24"/>
                <w:szCs w:val="24"/>
              </w:rPr>
              <w:t>项目无组织排放的</w:t>
            </w:r>
            <w:r>
              <w:rPr>
                <w:rFonts w:hint="eastAsia"/>
                <w:color w:val="auto"/>
                <w:sz w:val="24"/>
                <w:szCs w:val="24"/>
                <w:lang w:eastAsia="zh-CN"/>
              </w:rPr>
              <w:t>非甲烷总烃</w:t>
            </w:r>
            <w:r>
              <w:rPr>
                <w:rFonts w:hint="eastAsia"/>
                <w:color w:val="auto"/>
                <w:sz w:val="24"/>
                <w:szCs w:val="24"/>
              </w:rPr>
              <w:t>能够满足《大气污染综合标准》（GB16297-1996）表2中二级排放标准要求</w:t>
            </w:r>
            <w:r>
              <w:rPr>
                <w:rFonts w:hint="eastAsia" w:ascii="宋体" w:hAnsi="宋体" w:cs="宋体"/>
                <w:color w:val="auto"/>
                <w:sz w:val="24"/>
                <w:szCs w:val="24"/>
                <w:lang w:val="en-US" w:eastAsia="zh-CN" w:bidi="ar-SA"/>
              </w:rPr>
              <w:t>。</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hint="eastAsia" w:cs="Times New Roman"/>
                <w:color w:val="auto"/>
                <w:sz w:val="24"/>
                <w:szCs w:val="24"/>
                <w:lang w:val="en-US" w:eastAsia="zh-CN"/>
              </w:rPr>
              <w:t>噪声：</w:t>
            </w:r>
            <w:r>
              <w:rPr>
                <w:rFonts w:hint="eastAsia"/>
                <w:sz w:val="24"/>
                <w:szCs w:val="24"/>
              </w:rPr>
              <w:t>对设备采取减振、墙体隔音和距离衰减</w:t>
            </w:r>
            <w:r>
              <w:rPr>
                <w:rFonts w:hint="eastAsia"/>
                <w:sz w:val="24"/>
                <w:szCs w:val="24"/>
                <w:lang w:eastAsia="zh-CN"/>
              </w:rPr>
              <w:t>等措施后</w:t>
            </w:r>
            <w:r>
              <w:rPr>
                <w:color w:val="auto"/>
                <w:sz w:val="24"/>
                <w:szCs w:val="24"/>
              </w:rPr>
              <w:t>，</w:t>
            </w:r>
            <w:r>
              <w:rPr>
                <w:rFonts w:hint="eastAsia"/>
                <w:color w:val="auto"/>
                <w:sz w:val="24"/>
                <w:lang w:val="en-US" w:eastAsia="zh-CN"/>
              </w:rPr>
              <w:t>根据监测结果，</w:t>
            </w:r>
            <w:r>
              <w:rPr>
                <w:rFonts w:hint="eastAsia"/>
                <w:color w:val="auto"/>
                <w:sz w:val="24"/>
                <w:szCs w:val="24"/>
                <w:lang w:eastAsia="zh-CN"/>
              </w:rPr>
              <w:t>满足</w:t>
            </w:r>
            <w:r>
              <w:rPr>
                <w:color w:val="auto"/>
                <w:sz w:val="24"/>
                <w:szCs w:val="24"/>
              </w:rPr>
              <w:t>《工业企业厂界环境噪声排放标准》（GB12348-2008）</w:t>
            </w:r>
            <w:r>
              <w:rPr>
                <w:rFonts w:hint="eastAsia"/>
                <w:color w:val="auto"/>
                <w:sz w:val="24"/>
                <w:szCs w:val="24"/>
                <w:lang w:val="en-US" w:eastAsia="zh-CN"/>
              </w:rPr>
              <w:t>2</w:t>
            </w:r>
            <w:r>
              <w:rPr>
                <w:color w:val="auto"/>
                <w:sz w:val="24"/>
                <w:szCs w:val="24"/>
              </w:rPr>
              <w:t>类</w:t>
            </w:r>
            <w:r>
              <w:rPr>
                <w:rFonts w:hint="eastAsia"/>
                <w:color w:val="auto"/>
                <w:sz w:val="24"/>
                <w:szCs w:val="24"/>
                <w:lang w:eastAsia="zh-CN"/>
              </w:rPr>
              <w:t>及</w:t>
            </w:r>
            <w:r>
              <w:rPr>
                <w:rFonts w:hint="eastAsia"/>
                <w:color w:val="auto"/>
                <w:sz w:val="24"/>
                <w:szCs w:val="24"/>
                <w:lang w:val="en-US" w:eastAsia="zh-CN"/>
              </w:rPr>
              <w:t>4a类</w:t>
            </w:r>
            <w:r>
              <w:rPr>
                <w:color w:val="auto"/>
                <w:sz w:val="24"/>
                <w:szCs w:val="24"/>
              </w:rPr>
              <w:t>标准</w:t>
            </w:r>
            <w:r>
              <w:rPr>
                <w:rFonts w:hint="eastAsia"/>
                <w:color w:val="auto"/>
                <w:sz w:val="24"/>
                <w:szCs w:val="24"/>
                <w:lang w:eastAsia="zh-CN"/>
              </w:rPr>
              <w:t>要求</w:t>
            </w:r>
            <w:r>
              <w:rPr>
                <w:rFonts w:hint="eastAsia"/>
                <w:sz w:val="24"/>
                <w:szCs w:val="24"/>
                <w:lang w:val="en-US" w:eastAsia="zh-CN"/>
              </w:rPr>
              <w:t>。</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heme="minorBidi"/>
                <w:sz w:val="24"/>
                <w:szCs w:val="22"/>
                <w:lang w:val="en-US" w:eastAsia="zh-CN" w:bidi="ar-SA"/>
              </w:rPr>
            </w:pPr>
            <w:r>
              <w:rPr>
                <w:rFonts w:hint="eastAsia" w:cs="Times New Roman"/>
                <w:color w:val="auto"/>
                <w:sz w:val="24"/>
                <w:szCs w:val="24"/>
                <w:lang w:val="en-US" w:eastAsia="zh-CN"/>
              </w:rPr>
              <w:t>（4）固体废弃物检查情况：</w:t>
            </w:r>
            <w:r>
              <w:rPr>
                <w:rFonts w:hint="eastAsia" w:cs="Times New Roman"/>
                <w:color w:val="auto"/>
                <w:sz w:val="24"/>
                <w:szCs w:val="24"/>
                <w:lang w:eastAsia="zh-CN"/>
              </w:rPr>
              <w:t>生活垃圾统一清运至垃圾环卫点，由当地环卫部门收集处理；预处理池半年清掏一次，由环卫部门清运处理。隔油池浮油/污泥、油罐清洗油渣、废含油擦拭物及消防沙、石英砂属于危废，交由有危废处理资质的单位处理）。</w:t>
            </w:r>
            <w:r>
              <w:rPr>
                <w:color w:val="auto"/>
                <w:spacing w:val="12"/>
              </w:rPr>
              <w:t>通过对固废的分类收集、处理与处置，能够有效防止本项目产生的固体废物对环境造成影响</w:t>
            </w:r>
            <w:r>
              <w:rPr>
                <w:rFonts w:hint="eastAsia"/>
                <w:color w:val="auto"/>
                <w:spacing w:val="12"/>
                <w:lang w:eastAsia="zh-CN"/>
              </w:rPr>
              <w:t>，</w:t>
            </w:r>
            <w:r>
              <w:rPr>
                <w:rFonts w:hint="eastAsia" w:ascii="Times New Roman" w:hAnsi="Times New Roman" w:eastAsia="宋体" w:cstheme="minorBidi"/>
                <w:sz w:val="24"/>
                <w:szCs w:val="22"/>
                <w:lang w:val="en-US" w:eastAsia="zh-CN" w:bidi="ar-SA"/>
              </w:rPr>
              <w:t>由此可见，本项目排放的固体废弃物去向明确，不会对环境造成二次污染。</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（5）地下水污染防治：</w:t>
            </w:r>
          </w:p>
          <w:p>
            <w:pPr>
              <w:pStyle w:val="37"/>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b/>
                <w:bCs/>
                <w:sz w:val="24"/>
                <w:szCs w:val="24"/>
                <w:lang w:val="en-US" w:eastAsia="zh-CN"/>
              </w:rPr>
            </w:pPr>
            <w:r>
              <w:rPr>
                <w:rFonts w:hint="eastAsia"/>
                <w:b/>
                <w:bCs/>
                <w:sz w:val="24"/>
                <w:szCs w:val="24"/>
                <w:lang w:val="en-US" w:eastAsia="zh-CN"/>
              </w:rPr>
              <w:t>表 9-1 本项目分区防渗措施汇总一览表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2"/>
              <w:gridCol w:w="1963"/>
              <w:gridCol w:w="481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6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Ansi="宋体"/>
                      <w:b/>
                      <w:bCs/>
                      <w:sz w:val="21"/>
                      <w:szCs w:val="21"/>
                    </w:rPr>
                    <w:t>防渗分区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int="eastAsia" w:hAnsi="宋体"/>
                      <w:b/>
                      <w:bCs/>
                      <w:sz w:val="21"/>
                      <w:szCs w:val="21"/>
                    </w:rPr>
                    <w:t>环评</w:t>
                  </w:r>
                  <w:r>
                    <w:rPr>
                      <w:rFonts w:hAnsi="宋体"/>
                      <w:b/>
                      <w:bCs/>
                      <w:sz w:val="21"/>
                      <w:szCs w:val="21"/>
                    </w:rPr>
                    <w:t>防治措施</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Ansi="宋体"/>
                      <w:b/>
                      <w:bCs/>
                      <w:sz w:val="21"/>
                      <w:szCs w:val="21"/>
                    </w:rPr>
                  </w:pPr>
                  <w:r>
                    <w:rPr>
                      <w:rFonts w:hint="eastAsia" w:hAnsi="宋体"/>
                      <w:b/>
                      <w:bCs/>
                      <w:sz w:val="21"/>
                      <w:szCs w:val="21"/>
                    </w:rPr>
                    <w:t>实际防治措施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重点防渗区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油罐区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油罐选用SF双层防渗罐。内层钢板厚度6mm；外层采用厚2.5mm的强化玻璃钢制造；油罐池体为钢筋砼、防水等级P6，池壁两侧及底板抹防水砂浆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eastAsia="宋体"/>
                      <w:sz w:val="21"/>
                      <w:szCs w:val="21"/>
                      <w:lang w:eastAsia="zh-CN"/>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sz w:val="21"/>
                      <w:szCs w:val="21"/>
                    </w:rPr>
                    <w:t>卸</w:t>
                  </w:r>
                  <w:r>
                    <w:rPr>
                      <w:rFonts w:hint="eastAsia"/>
                      <w:sz w:val="21"/>
                      <w:szCs w:val="21"/>
                    </w:rPr>
                    <w:t>油</w:t>
                  </w:r>
                  <w:r>
                    <w:rPr>
                      <w:sz w:val="21"/>
                      <w:szCs w:val="21"/>
                    </w:rPr>
                    <w:t>区</w:t>
                  </w:r>
                </w:p>
              </w:tc>
              <w:tc>
                <w:tcPr>
                  <w:tcW w:w="27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采用C30混凝土整体浇筑，厚200mm</w:t>
                  </w:r>
                  <w:r>
                    <w:rPr>
                      <w:rFonts w:hint="eastAsia"/>
                      <w:sz w:val="21"/>
                      <w:szCs w:val="21"/>
                    </w:rPr>
                    <w:t>。并采用</w:t>
                  </w:r>
                  <w:r>
                    <w:rPr>
                      <w:sz w:val="21"/>
                      <w:szCs w:val="21"/>
                    </w:rPr>
                    <w:t>抗渗（钢筋）混凝土层160mm+水泥基渗透结晶型防渗涂层</w:t>
                  </w:r>
                  <w:r>
                    <w:rPr>
                      <w:rFonts w:hint="eastAsia"/>
                      <w:sz w:val="21"/>
                      <w:szCs w:val="21"/>
                    </w:rPr>
                    <w:t>2</w:t>
                  </w:r>
                  <w:r>
                    <w:rPr>
                      <w:sz w:val="21"/>
                      <w:szCs w:val="21"/>
                    </w:rPr>
                    <w:t>mm</w:t>
                  </w:r>
                </w:p>
              </w:tc>
              <w:tc>
                <w:tcPr>
                  <w:tcW w:w="71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hint="eastAsia" w:ascii="Times New Roman" w:hAnsi="Times New Roman" w:eastAsia="宋体" w:cstheme="minorBidi"/>
                      <w:sz w:val="21"/>
                      <w:szCs w:val="21"/>
                      <w:lang w:val="en-US" w:eastAsia="zh-CN" w:bidi="ar-SA"/>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加油区（加油岛）</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sz w:val="21"/>
                      <w:szCs w:val="21"/>
                    </w:rPr>
                    <w:t>输油管线</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卸油管道和加油管道已采用双层防静电复合管，置于管沟了内，管沟内充沙填实、上部30cm采用</w:t>
                  </w:r>
                  <w:r>
                    <w:rPr>
                      <w:sz w:val="21"/>
                      <w:szCs w:val="21"/>
                    </w:rPr>
                    <w:t>C30混凝土做保护</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危废暂存间</w:t>
                  </w:r>
                </w:p>
              </w:tc>
              <w:tc>
                <w:tcPr>
                  <w:tcW w:w="27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采用防渗混凝土+2mmHDPE膜</w:t>
                  </w:r>
                </w:p>
              </w:tc>
              <w:tc>
                <w:tcPr>
                  <w:tcW w:w="71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初期雨水隔油池</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洗车废水隔油沉淀池</w:t>
                  </w:r>
                </w:p>
              </w:tc>
              <w:tc>
                <w:tcPr>
                  <w:tcW w:w="27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71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发电机房</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地面敷设2mm厚环氧树脂膜，并在发电机下方设置不锈钢托盘，进行防渗漏处理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ascii="Times New Roman" w:hAnsi="Times New Roman" w:eastAsia="宋体" w:cstheme="minorBidi"/>
                      <w:sz w:val="21"/>
                      <w:szCs w:val="21"/>
                      <w:lang w:val="en-US" w:eastAsia="zh-CN" w:bidi="ar-SA"/>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环保沟</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rPr>
                    <w:t>环保沟槽体采用防渗混凝土+2mmHDPE膜，</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洗车区</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rPr>
                    <w:t>采用防渗混凝土+2mmHDPE膜</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一般防渗区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预处理池</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池</w:t>
                  </w:r>
                  <w:r>
                    <w:rPr>
                      <w:sz w:val="21"/>
                      <w:szCs w:val="21"/>
                    </w:rPr>
                    <w:t>底部与外壁均采用防渗混凝土进行防渗</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rFonts w:hint="eastAsia"/>
                      <w:sz w:val="21"/>
                      <w:szCs w:val="21"/>
                    </w:rPr>
                  </w:pPr>
                  <w:r>
                    <w:rPr>
                      <w:rFonts w:hint="eastAsia"/>
                      <w:sz w:val="21"/>
                      <w:szCs w:val="21"/>
                    </w:rPr>
                    <w:t>地下水监测井</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采用防渗混凝土进行防渗</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rFonts w:hint="eastAsia"/>
                      <w:sz w:val="21"/>
                      <w:szCs w:val="21"/>
                    </w:rPr>
                  </w:pPr>
                  <w:r>
                    <w:rPr>
                      <w:rFonts w:hint="eastAsia"/>
                      <w:sz w:val="21"/>
                      <w:szCs w:val="21"/>
                      <w:lang w:eastAsia="zh-CN"/>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sz w:val="21"/>
                      <w:szCs w:val="21"/>
                    </w:rPr>
                    <w:t>简单防渗区</w:t>
                  </w:r>
                </w:p>
              </w:tc>
              <w:tc>
                <w:tcPr>
                  <w:tcW w:w="110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除重点防渗区及一般防渗区以外的区域</w:t>
                  </w:r>
                </w:p>
              </w:tc>
              <w:tc>
                <w:tcPr>
                  <w:tcW w:w="2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contextualSpacing/>
                    <w:jc w:val="center"/>
                    <w:textAlignment w:val="auto"/>
                    <w:outlineLvl w:val="1"/>
                    <w:rPr>
                      <w:sz w:val="21"/>
                      <w:szCs w:val="21"/>
                    </w:rPr>
                  </w:pPr>
                  <w:r>
                    <w:rPr>
                      <w:rFonts w:hint="eastAsia"/>
                      <w:sz w:val="21"/>
                      <w:szCs w:val="21"/>
                    </w:rPr>
                    <w:t>地面进行硬化处理</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contextualSpacing/>
                    <w:jc w:val="center"/>
                    <w:textAlignment w:val="auto"/>
                    <w:outlineLvl w:val="1"/>
                    <w:rPr>
                      <w:sz w:val="21"/>
                      <w:szCs w:val="21"/>
                    </w:rPr>
                  </w:pPr>
                  <w:r>
                    <w:rPr>
                      <w:rFonts w:hint="eastAsia"/>
                      <w:sz w:val="21"/>
                      <w:szCs w:val="21"/>
                      <w:lang w:eastAsia="zh-CN"/>
                    </w:rPr>
                    <w:t>同环评</w:t>
                  </w:r>
                </w:p>
              </w:tc>
            </w:tr>
          </w:tbl>
          <w:p>
            <w:pPr>
              <w:pStyle w:val="10"/>
              <w:keepNext w:val="0"/>
              <w:keepLines w:val="0"/>
              <w:pageBreakBefore w:val="0"/>
              <w:widowControl/>
              <w:kinsoku w:val="0"/>
              <w:wordWrap/>
              <w:overflowPunct w:val="0"/>
              <w:topLinePunct w:val="0"/>
              <w:autoSpaceDE/>
              <w:autoSpaceDN/>
              <w:bidi w:val="0"/>
              <w:adjustRightInd w:val="0"/>
              <w:snapToGrid w:val="0"/>
              <w:spacing w:beforeLines="0" w:after="0" w:afterLines="0" w:line="360" w:lineRule="auto"/>
              <w:ind w:firstLine="480" w:firstLineChars="200"/>
              <w:jc w:val="left"/>
              <w:textAlignment w:val="auto"/>
              <w:rPr>
                <w:rFonts w:hint="eastAsia"/>
                <w:lang w:eastAsia="zh-CN"/>
              </w:rPr>
            </w:pPr>
            <w:r>
              <w:rPr>
                <w:rFonts w:hint="eastAsia"/>
                <w:lang w:val="en-US" w:eastAsia="zh-CN"/>
              </w:rPr>
              <w:t>（6）总量控制：</w:t>
            </w:r>
            <w:r>
              <w:rPr>
                <w:rFonts w:hint="eastAsia"/>
              </w:rPr>
              <w:t>经现场踏勘，</w:t>
            </w:r>
            <w:r>
              <w:rPr>
                <w:rFonts w:hint="eastAsia"/>
                <w:lang w:eastAsia="zh-CN"/>
              </w:rPr>
              <w:t>项目所在地市政污水管网正在建设</w:t>
            </w:r>
            <w:r>
              <w:rPr>
                <w:rFonts w:hint="eastAsia"/>
              </w:rPr>
              <w:t>，在建成运营前，本项目污水委托</w:t>
            </w:r>
            <w:r>
              <w:rPr>
                <w:rFonts w:hint="eastAsia"/>
                <w:lang w:eastAsia="zh-CN"/>
              </w:rPr>
              <w:t>专业清运公司清运至</w:t>
            </w:r>
            <w:r>
              <w:rPr>
                <w:rFonts w:hint="eastAsia"/>
              </w:rPr>
              <w:t>彭州市第一污水处理厂处理，</w:t>
            </w:r>
            <w:r>
              <w:rPr>
                <w:rFonts w:hint="eastAsia"/>
                <w:lang w:eastAsia="zh-CN"/>
              </w:rPr>
              <w:t>清运</w:t>
            </w:r>
            <w:r>
              <w:rPr>
                <w:rFonts w:hint="eastAsia"/>
              </w:rPr>
              <w:t>服务合同见附件，</w:t>
            </w:r>
            <w:r>
              <w:rPr>
                <w:rFonts w:hint="eastAsia"/>
                <w:lang w:eastAsia="zh-CN"/>
              </w:rPr>
              <w:t>市政污水管网</w:t>
            </w:r>
            <w:r>
              <w:rPr>
                <w:rFonts w:hint="eastAsia"/>
              </w:rPr>
              <w:t>完善且运营后，接入</w:t>
            </w:r>
            <w:r>
              <w:rPr>
                <w:rFonts w:hint="eastAsia"/>
                <w:lang w:eastAsia="zh-CN"/>
              </w:rPr>
              <w:t>市政污水</w:t>
            </w:r>
            <w:r>
              <w:rPr>
                <w:rFonts w:hint="eastAsia"/>
              </w:rPr>
              <w:t>管网</w:t>
            </w:r>
            <w:r>
              <w:rPr>
                <w:rFonts w:hint="eastAsia"/>
                <w:lang w:eastAsia="zh-CN"/>
              </w:rPr>
              <w:t>，故此处不进行总量比对。</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textAlignment w:val="auto"/>
              <w:rPr>
                <w:rFonts w:hint="default"/>
                <w:b/>
                <w:bCs/>
                <w:lang w:val="en-US" w:eastAsia="zh-CN"/>
              </w:rPr>
            </w:pPr>
            <w:r>
              <w:rPr>
                <w:rFonts w:hint="eastAsia"/>
                <w:b/>
                <w:bCs/>
                <w:lang w:val="en-US" w:eastAsia="zh-CN"/>
              </w:rPr>
              <w:t>2、公众意见调查</w:t>
            </w:r>
          </w:p>
          <w:p>
            <w:pPr>
              <w:pStyle w:val="10"/>
              <w:keepNext w:val="0"/>
              <w:keepLines w:val="0"/>
              <w:pageBreakBefore w:val="0"/>
              <w:widowControl/>
              <w:kinsoku w:val="0"/>
              <w:wordWrap/>
              <w:overflowPunct w:val="0"/>
              <w:topLinePunct w:val="0"/>
              <w:autoSpaceDE/>
              <w:autoSpaceDN/>
              <w:bidi w:val="0"/>
              <w:adjustRightInd w:val="0"/>
              <w:snapToGrid w:val="0"/>
              <w:spacing w:beforeLines="0" w:after="0" w:afterLines="0" w:line="360" w:lineRule="auto"/>
              <w:ind w:firstLine="480" w:firstLineChars="200"/>
              <w:jc w:val="left"/>
              <w:textAlignment w:val="auto"/>
              <w:rPr>
                <w:rFonts w:hint="eastAsia" w:ascii="宋体" w:hAnsi="宋体" w:eastAsia="宋体" w:cs="宋体"/>
                <w:color w:val="auto"/>
                <w:sz w:val="24"/>
                <w:szCs w:val="24"/>
                <w:lang w:val="en-US" w:eastAsia="zh-CN" w:bidi="ar-SA"/>
              </w:rPr>
            </w:pPr>
            <w:r>
              <w:t>根据调查表显示，</w:t>
            </w:r>
            <w:r>
              <w:rPr>
                <w:rFonts w:ascii="Times New Roman" w:eastAsia="Times New Roman"/>
              </w:rPr>
              <w:t>100%</w:t>
            </w:r>
            <w:r>
              <w:t>的被调查对象支持该项目的建设；</w:t>
            </w:r>
            <w:r>
              <w:rPr>
                <w:rFonts w:ascii="Times New Roman" w:eastAsia="Times New Roman"/>
              </w:rPr>
              <w:t>100%</w:t>
            </w:r>
            <w:r>
              <w:rPr>
                <w:spacing w:val="-3"/>
              </w:rPr>
              <w:t>的被调查对</w:t>
            </w:r>
            <w:r>
              <w:t>象表示该项目废气、废水、噪声、固废对自己没有影响，</w:t>
            </w:r>
            <w:r>
              <w:rPr>
                <w:rFonts w:ascii="Times New Roman" w:eastAsia="Times New Roman"/>
              </w:rPr>
              <w:t>100%</w:t>
            </w:r>
            <w:r>
              <w:t>的被调查对象表示该项目没有发生环境污染事故，</w:t>
            </w:r>
            <w:r>
              <w:rPr>
                <w:rFonts w:ascii="Times New Roman" w:eastAsia="Times New Roman"/>
              </w:rPr>
              <w:t>100%</w:t>
            </w:r>
            <w:r>
              <w:t>的被调查对象表示该项目环境保护工作满意；无人提出其他意见和建议。</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textAlignment w:val="auto"/>
              <w:rPr>
                <w:rFonts w:hint="eastAsia"/>
                <w:b/>
                <w:bCs/>
                <w:lang w:val="en-US" w:eastAsia="zh-CN"/>
              </w:rPr>
            </w:pPr>
            <w:r>
              <w:rPr>
                <w:rFonts w:hint="eastAsia"/>
                <w:b/>
                <w:bCs/>
                <w:lang w:val="en-US" w:eastAsia="zh-CN"/>
              </w:rPr>
              <w:t xml:space="preserve">3、结论  </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cs="Times New Roman"/>
              </w:rPr>
            </w:pPr>
            <w:r>
              <w:rPr>
                <w:rFonts w:hint="eastAsia" w:ascii="宋体" w:hAnsi="宋体" w:eastAsia="宋体" w:cs="宋体"/>
                <w:b w:val="0"/>
                <w:bCs w:val="0"/>
                <w:color w:val="auto"/>
                <w:sz w:val="24"/>
                <w:szCs w:val="24"/>
                <w:lang w:val="en-US" w:eastAsia="zh-CN" w:bidi="ar-SA"/>
              </w:rPr>
              <w:t>综上所述：</w:t>
            </w:r>
            <w:r>
              <w:rPr>
                <w:rFonts w:hint="eastAsia" w:ascii="宋体" w:hAnsi="宋体" w:cs="宋体"/>
                <w:b w:val="0"/>
                <w:bCs w:val="0"/>
                <w:color w:val="auto"/>
                <w:sz w:val="24"/>
                <w:szCs w:val="24"/>
                <w:lang w:val="en-US" w:eastAsia="zh-CN" w:bidi="ar-SA"/>
              </w:rPr>
              <w:t>彭州市天彭镇农机管理服务站加油站设施设备改造项目</w:t>
            </w:r>
            <w:r>
              <w:rPr>
                <w:rFonts w:hint="eastAsia" w:ascii="宋体" w:hAnsi="宋体" w:eastAsia="宋体" w:cs="宋体"/>
                <w:b w:val="0"/>
                <w:bCs w:val="0"/>
                <w:color w:val="auto"/>
                <w:sz w:val="24"/>
                <w:szCs w:val="24"/>
                <w:lang w:val="en-US" w:eastAsia="zh-CN" w:bidi="ar-SA"/>
              </w:rPr>
              <w:t>在建设过程中执行了环境影响评价法和“三同时”制度，各项污染物排放达到国家相应标准和处置方法｡符合验收要求，建议通过验收｡</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textAlignment w:val="auto"/>
              <w:rPr>
                <w:rFonts w:hint="default" w:eastAsia="宋体"/>
                <w:b/>
                <w:bCs/>
                <w:lang w:val="en-US" w:eastAsia="zh-CN"/>
              </w:rPr>
            </w:pPr>
            <w:r>
              <w:rPr>
                <w:rFonts w:hint="eastAsia"/>
                <w:b/>
                <w:bCs/>
                <w:lang w:val="en-US" w:eastAsia="zh-CN"/>
              </w:rPr>
              <w:t>4、主要建议</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80"/>
              <w:textAlignment w:val="auto"/>
            </w:pPr>
            <w:r>
              <w:rPr>
                <w:rFonts w:ascii="Times New Roman" w:eastAsia="Times New Roman"/>
              </w:rPr>
              <w:t>1</w:t>
            </w:r>
            <w:r>
              <w:t>、加强对环保设施的管理、维护，确保环保设施正常运行，污染物长期、稳定、达标排放。</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textAlignment w:val="auto"/>
            </w:pPr>
            <w:r>
              <w:rPr>
                <w:rFonts w:ascii="Times New Roman" w:eastAsia="Times New Roman"/>
              </w:rPr>
              <w:t>2</w:t>
            </w:r>
            <w:r>
              <w:t>、加强对危险废物的暂存管理，做好相关台账记录。</w:t>
            </w:r>
          </w:p>
          <w:p>
            <w:pPr>
              <w:pStyle w:val="10"/>
              <w:keepNext w:val="0"/>
              <w:keepLines w:val="0"/>
              <w:pageBreakBefore w:val="0"/>
              <w:widowControl/>
              <w:kinsoku/>
              <w:wordWrap/>
              <w:overflowPunct/>
              <w:topLinePunct w:val="0"/>
              <w:autoSpaceDE/>
              <w:autoSpaceDN/>
              <w:bidi w:val="0"/>
              <w:adjustRightInd w:val="0"/>
              <w:snapToGrid w:val="0"/>
              <w:spacing w:after="0" w:line="360" w:lineRule="auto"/>
              <w:ind w:left="0" w:right="0" w:firstLine="480"/>
              <w:textAlignment w:val="auto"/>
              <w:rPr>
                <w:rFonts w:hint="default" w:ascii="宋体" w:hAnsi="宋体" w:eastAsia="宋体" w:cs="宋体"/>
                <w:color w:val="auto"/>
                <w:sz w:val="24"/>
                <w:szCs w:val="24"/>
                <w:lang w:val="en-US" w:eastAsia="zh-CN" w:bidi="ar-SA"/>
              </w:rPr>
            </w:pPr>
            <w:r>
              <w:rPr>
                <w:rFonts w:ascii="Times New Roman" w:eastAsia="Times New Roman"/>
              </w:rPr>
              <w:t>3</w:t>
            </w:r>
            <w:r>
              <w:rPr>
                <w:spacing w:val="-11"/>
              </w:rPr>
              <w:t xml:space="preserve">、不断完善环保管理制度和事故应急预案，做好环境风险防范及应急演练， </w:t>
            </w:r>
            <w:r>
              <w:t>落实好各项风险防范措施，避免污染事故的发生。</w:t>
            </w:r>
          </w:p>
        </w:tc>
      </w:tr>
    </w:tbl>
    <w:p>
      <w:pPr>
        <w:rPr>
          <w:rFonts w:hint="eastAsia"/>
          <w:b/>
          <w:bCs/>
          <w:sz w:val="32"/>
          <w:szCs w:val="32"/>
          <w:lang w:eastAsia="zh-CN"/>
        </w:rPr>
      </w:pPr>
      <w:r>
        <w:rPr>
          <w:rFonts w:hint="eastAsia"/>
          <w:b/>
          <w:bCs/>
          <w:sz w:val="28"/>
          <w:szCs w:val="28"/>
          <w:lang w:eastAsia="zh-CN"/>
        </w:rPr>
        <w:br w:type="page"/>
      </w:r>
    </w:p>
    <w:tbl>
      <w:tblPr>
        <w:tblStyle w:val="22"/>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6" w:hRule="atLeast"/>
          <w:jc w:val="center"/>
        </w:trPr>
        <w:tc>
          <w:tcPr>
            <w:tcW w:w="8883" w:type="dxa"/>
            <w:vAlign w:val="top"/>
          </w:tcPr>
          <w:p>
            <w:pPr>
              <w:spacing w:line="220" w:lineRule="atLeast"/>
              <w:jc w:val="center"/>
              <w:rPr>
                <w:rFonts w:hint="eastAsia"/>
                <w:b/>
                <w:bCs/>
                <w:sz w:val="32"/>
                <w:szCs w:val="32"/>
                <w:lang w:eastAsia="zh-CN"/>
              </w:rPr>
            </w:pPr>
            <w:r>
              <w:rPr>
                <w:rFonts w:hint="eastAsia"/>
                <w:b/>
                <w:bCs/>
                <w:sz w:val="32"/>
                <w:szCs w:val="32"/>
                <w:lang w:val="en-US" w:eastAsia="zh-CN"/>
              </w:rPr>
              <w:t>附表、</w:t>
            </w:r>
            <w:r>
              <w:rPr>
                <w:rFonts w:hint="eastAsia"/>
                <w:b/>
                <w:bCs/>
                <w:sz w:val="32"/>
                <w:szCs w:val="32"/>
                <w:lang w:eastAsia="zh-CN"/>
              </w:rPr>
              <w:t>附图、附件</w:t>
            </w:r>
          </w:p>
          <w:p>
            <w:pPr>
              <w:keepNext w:val="0"/>
              <w:keepLines w:val="0"/>
              <w:pageBreakBefore w:val="0"/>
              <w:widowControl/>
              <w:kinsoku/>
              <w:wordWrap/>
              <w:overflowPunct/>
              <w:topLinePunct w:val="0"/>
              <w:autoSpaceDE/>
              <w:autoSpaceDN/>
              <w:bidi w:val="0"/>
              <w:adjustRightInd w:val="0"/>
              <w:snapToGrid w:val="0"/>
              <w:spacing w:line="220" w:lineRule="atLeast"/>
              <w:ind w:firstLine="482" w:firstLineChars="200"/>
              <w:jc w:val="left"/>
              <w:textAlignment w:val="auto"/>
              <w:outlineLvl w:val="9"/>
              <w:rPr>
                <w:rFonts w:hint="eastAsia"/>
                <w:b/>
                <w:bCs/>
                <w:sz w:val="24"/>
                <w:szCs w:val="24"/>
                <w:lang w:val="en-US" w:eastAsia="zh-CN"/>
              </w:rPr>
            </w:pPr>
            <w:r>
              <w:rPr>
                <w:rFonts w:hint="eastAsia"/>
                <w:b/>
                <w:bCs/>
                <w:sz w:val="24"/>
                <w:szCs w:val="24"/>
                <w:lang w:val="en-US" w:eastAsia="zh-CN"/>
              </w:rPr>
              <w:t>附表：</w:t>
            </w:r>
          </w:p>
          <w:p>
            <w:pPr>
              <w:pStyle w:val="10"/>
              <w:ind w:left="-240" w:leftChars="-100" w:firstLine="659" w:firstLineChars="314"/>
              <w:rPr>
                <w:rFonts w:hint="default"/>
                <w:b w:val="0"/>
                <w:bCs w:val="0"/>
                <w:lang w:val="en-US" w:eastAsia="zh-CN"/>
              </w:rPr>
            </w:pPr>
            <w:r>
              <w:rPr>
                <w:rFonts w:hint="eastAsia"/>
                <w:b w:val="0"/>
                <w:bCs w:val="0"/>
                <w:sz w:val="21"/>
                <w:szCs w:val="21"/>
                <w:lang w:val="en-US" w:eastAsia="zh-CN"/>
              </w:rPr>
              <w:t>三同时登记表</w:t>
            </w:r>
          </w:p>
          <w:p>
            <w:pPr>
              <w:keepNext w:val="0"/>
              <w:keepLines w:val="0"/>
              <w:pageBreakBefore w:val="0"/>
              <w:widowControl/>
              <w:kinsoku/>
              <w:wordWrap/>
              <w:overflowPunct/>
              <w:topLinePunct w:val="0"/>
              <w:autoSpaceDE/>
              <w:autoSpaceDN/>
              <w:bidi w:val="0"/>
              <w:adjustRightInd w:val="0"/>
              <w:snapToGrid w:val="0"/>
              <w:spacing w:line="220" w:lineRule="atLeast"/>
              <w:ind w:firstLine="482" w:firstLineChars="200"/>
              <w:jc w:val="left"/>
              <w:textAlignment w:val="auto"/>
              <w:outlineLvl w:val="9"/>
              <w:rPr>
                <w:rFonts w:hint="eastAsia"/>
                <w:b/>
                <w:bCs/>
                <w:sz w:val="24"/>
                <w:szCs w:val="24"/>
                <w:lang w:eastAsia="zh-CN"/>
              </w:rPr>
            </w:pPr>
            <w:r>
              <w:rPr>
                <w:rFonts w:hint="eastAsia"/>
                <w:b/>
                <w:bCs/>
                <w:sz w:val="24"/>
                <w:szCs w:val="24"/>
                <w:lang w:eastAsia="zh-CN"/>
              </w:rPr>
              <w:t>附图：</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eastAsia="zh-CN"/>
              </w:rPr>
              <w:t>附图</w:t>
            </w:r>
            <w:r>
              <w:rPr>
                <w:rFonts w:hint="eastAsia"/>
                <w:sz w:val="21"/>
                <w:szCs w:val="21"/>
                <w:lang w:val="en-US" w:eastAsia="zh-CN"/>
              </w:rPr>
              <w:t>1 项目地理位置图</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default"/>
                <w:sz w:val="21"/>
                <w:szCs w:val="21"/>
                <w:lang w:val="en-US" w:eastAsia="zh-CN"/>
              </w:rPr>
            </w:pPr>
            <w:r>
              <w:rPr>
                <w:rFonts w:hint="eastAsia"/>
                <w:sz w:val="21"/>
                <w:szCs w:val="21"/>
                <w:lang w:val="en-US" w:eastAsia="zh-CN"/>
              </w:rPr>
              <w:t>附图2 项目平面布置图</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附图3 项目外环境关系图</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附图4 项目分区防渗图</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附图5项目现状图</w:t>
            </w:r>
          </w:p>
          <w:p>
            <w:pPr>
              <w:keepNext w:val="0"/>
              <w:keepLines w:val="0"/>
              <w:pageBreakBefore w:val="0"/>
              <w:widowControl/>
              <w:kinsoku/>
              <w:wordWrap/>
              <w:overflowPunct/>
              <w:topLinePunct w:val="0"/>
              <w:autoSpaceDE/>
              <w:autoSpaceDN/>
              <w:bidi w:val="0"/>
              <w:adjustRightInd w:val="0"/>
              <w:snapToGrid w:val="0"/>
              <w:spacing w:line="220" w:lineRule="atLeast"/>
              <w:ind w:firstLine="482" w:firstLineChars="200"/>
              <w:jc w:val="left"/>
              <w:textAlignment w:val="auto"/>
              <w:outlineLvl w:val="9"/>
              <w:rPr>
                <w:rFonts w:hint="eastAsia"/>
                <w:b/>
                <w:bCs/>
                <w:sz w:val="24"/>
                <w:szCs w:val="24"/>
                <w:lang w:val="en-US" w:eastAsia="zh-CN"/>
              </w:rPr>
            </w:pPr>
            <w:r>
              <w:rPr>
                <w:rFonts w:hint="eastAsia"/>
                <w:b/>
                <w:bCs/>
                <w:sz w:val="24"/>
                <w:szCs w:val="24"/>
                <w:lang w:val="en-US" w:eastAsia="zh-CN"/>
              </w:rPr>
              <w:t>附件：</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附件1 营业执照</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附件2立项文件</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附件3 环评批复</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附件4 清罐协议</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附件5 危废协议</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default"/>
                <w:sz w:val="21"/>
                <w:szCs w:val="21"/>
                <w:lang w:val="en-US" w:eastAsia="zh-CN"/>
              </w:rPr>
            </w:pPr>
            <w:r>
              <w:rPr>
                <w:rFonts w:hint="eastAsia"/>
                <w:sz w:val="21"/>
                <w:szCs w:val="21"/>
                <w:lang w:val="en-US" w:eastAsia="zh-CN"/>
              </w:rPr>
              <w:t>附件6废水清运协议</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sz w:val="21"/>
                <w:szCs w:val="21"/>
                <w:lang w:val="en-US" w:eastAsia="zh-CN"/>
              </w:rPr>
            </w:pPr>
            <w:r>
              <w:rPr>
                <w:rFonts w:hint="eastAsia"/>
                <w:sz w:val="21"/>
                <w:szCs w:val="21"/>
                <w:lang w:val="en-US" w:eastAsia="zh-CN"/>
              </w:rPr>
              <w:t>附件7</w:t>
            </w:r>
            <w:r>
              <w:rPr>
                <w:rFonts w:hint="eastAsia" w:ascii="Times New Roman" w:hAnsi="Times New Roman"/>
                <w:sz w:val="21"/>
                <w:szCs w:val="21"/>
                <w:lang w:val="en-US" w:eastAsia="zh-CN"/>
              </w:rPr>
              <w:t>公众意见调查</w:t>
            </w:r>
            <w:r>
              <w:rPr>
                <w:rFonts w:hint="eastAsia"/>
                <w:sz w:val="21"/>
                <w:szCs w:val="21"/>
                <w:lang w:val="en-US" w:eastAsia="zh-CN"/>
              </w:rPr>
              <w:t>表及</w:t>
            </w:r>
            <w:r>
              <w:rPr>
                <w:rFonts w:hint="eastAsia" w:ascii="Times New Roman" w:hAnsi="Times New Roman"/>
                <w:sz w:val="21"/>
                <w:szCs w:val="21"/>
                <w:lang w:val="en-US" w:eastAsia="zh-CN"/>
              </w:rPr>
              <w:t>统计表</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default" w:eastAsia="宋体"/>
                <w:sz w:val="21"/>
                <w:szCs w:val="21"/>
                <w:lang w:val="en-US" w:eastAsia="zh-CN"/>
              </w:rPr>
            </w:pPr>
            <w:r>
              <w:rPr>
                <w:rFonts w:hint="eastAsia" w:eastAsia="宋体"/>
                <w:sz w:val="21"/>
                <w:szCs w:val="21"/>
                <w:lang w:val="en-US" w:eastAsia="zh-CN"/>
              </w:rPr>
              <w:t>附件</w:t>
            </w:r>
            <w:r>
              <w:rPr>
                <w:rFonts w:hint="eastAsia"/>
                <w:sz w:val="21"/>
                <w:szCs w:val="21"/>
                <w:lang w:val="en-US" w:eastAsia="zh-CN"/>
              </w:rPr>
              <w:t>8</w:t>
            </w:r>
            <w:r>
              <w:rPr>
                <w:rFonts w:hint="eastAsia" w:eastAsia="宋体"/>
                <w:sz w:val="21"/>
                <w:szCs w:val="21"/>
                <w:lang w:val="en-US" w:eastAsia="zh-CN"/>
              </w:rPr>
              <w:t>建设情况说明及承诺</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eastAsia="宋体"/>
                <w:sz w:val="21"/>
                <w:szCs w:val="21"/>
                <w:lang w:val="en-US" w:eastAsia="zh-CN"/>
              </w:rPr>
            </w:pPr>
            <w:r>
              <w:rPr>
                <w:rFonts w:hint="eastAsia" w:eastAsia="宋体"/>
                <w:sz w:val="21"/>
                <w:szCs w:val="21"/>
                <w:lang w:val="en-US" w:eastAsia="zh-CN"/>
              </w:rPr>
              <w:t>附件</w:t>
            </w:r>
            <w:r>
              <w:rPr>
                <w:rFonts w:hint="eastAsia"/>
                <w:sz w:val="21"/>
                <w:szCs w:val="21"/>
                <w:lang w:val="en-US" w:eastAsia="zh-CN"/>
              </w:rPr>
              <w:t>9</w:t>
            </w:r>
            <w:r>
              <w:rPr>
                <w:rFonts w:hint="eastAsia" w:eastAsia="宋体"/>
                <w:sz w:val="21"/>
                <w:szCs w:val="21"/>
                <w:lang w:val="en-US" w:eastAsia="zh-CN"/>
              </w:rPr>
              <w:t xml:space="preserve"> 委托书</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eastAsia="宋体"/>
                <w:sz w:val="21"/>
                <w:szCs w:val="21"/>
                <w:lang w:val="en-US" w:eastAsia="zh-CN"/>
              </w:rPr>
            </w:pPr>
            <w:r>
              <w:rPr>
                <w:rFonts w:hint="eastAsia" w:eastAsia="宋体"/>
                <w:sz w:val="21"/>
                <w:szCs w:val="21"/>
                <w:lang w:val="en-US" w:eastAsia="zh-CN"/>
              </w:rPr>
              <w:t>附件</w:t>
            </w:r>
            <w:r>
              <w:rPr>
                <w:rFonts w:hint="eastAsia"/>
                <w:sz w:val="21"/>
                <w:szCs w:val="21"/>
                <w:lang w:val="en-US" w:eastAsia="zh-CN"/>
              </w:rPr>
              <w:t>10</w:t>
            </w:r>
            <w:r>
              <w:rPr>
                <w:rFonts w:hint="eastAsia" w:eastAsia="宋体"/>
                <w:sz w:val="21"/>
                <w:szCs w:val="21"/>
                <w:lang w:val="en-US" w:eastAsia="zh-CN"/>
              </w:rPr>
              <w:t>环保管理制度</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eastAsia="宋体"/>
                <w:sz w:val="21"/>
                <w:szCs w:val="21"/>
                <w:lang w:val="en-US" w:eastAsia="zh-CN"/>
              </w:rPr>
            </w:pPr>
            <w:r>
              <w:rPr>
                <w:rFonts w:hint="eastAsia"/>
                <w:sz w:val="21"/>
                <w:szCs w:val="21"/>
                <w:lang w:val="en-US" w:eastAsia="zh-CN"/>
              </w:rPr>
              <w:t>附件11危险化学品经营许可证</w:t>
            </w:r>
          </w:p>
          <w:p>
            <w:pPr>
              <w:keepNext w:val="0"/>
              <w:keepLines w:val="0"/>
              <w:pageBreakBefore w:val="0"/>
              <w:widowControl/>
              <w:kinsoku/>
              <w:wordWrap/>
              <w:overflowPunct/>
              <w:topLinePunct w:val="0"/>
              <w:autoSpaceDE/>
              <w:autoSpaceDN/>
              <w:bidi w:val="0"/>
              <w:adjustRightInd w:val="0"/>
              <w:snapToGrid w:val="0"/>
              <w:spacing w:line="220" w:lineRule="atLeast"/>
              <w:ind w:firstLine="420" w:firstLineChars="200"/>
              <w:jc w:val="left"/>
              <w:textAlignment w:val="auto"/>
              <w:outlineLvl w:val="9"/>
              <w:rPr>
                <w:rFonts w:hint="eastAsia" w:eastAsia="宋体"/>
                <w:sz w:val="21"/>
                <w:szCs w:val="21"/>
                <w:lang w:val="en-US" w:eastAsia="zh-CN"/>
              </w:rPr>
            </w:pPr>
            <w:r>
              <w:rPr>
                <w:rFonts w:hint="eastAsia"/>
                <w:sz w:val="21"/>
                <w:szCs w:val="21"/>
                <w:lang w:val="en-US" w:eastAsia="zh-CN"/>
              </w:rPr>
              <w:t>附件12</w:t>
            </w:r>
            <w:r>
              <w:rPr>
                <w:rFonts w:hint="eastAsia" w:eastAsia="宋体"/>
                <w:sz w:val="21"/>
                <w:szCs w:val="21"/>
                <w:lang w:val="en-US" w:eastAsia="zh-CN"/>
              </w:rPr>
              <w:t>监测报告</w:t>
            </w:r>
          </w:p>
          <w:p>
            <w:pPr>
              <w:spacing w:line="220" w:lineRule="atLeast"/>
              <w:jc w:val="center"/>
              <w:rPr>
                <w:rFonts w:hint="eastAsia"/>
                <w:b/>
                <w:bCs/>
                <w:sz w:val="32"/>
                <w:szCs w:val="32"/>
                <w:vertAlign w:val="baseline"/>
                <w:lang w:eastAsia="zh-CN"/>
              </w:rPr>
            </w:pPr>
          </w:p>
        </w:tc>
      </w:tr>
    </w:tbl>
    <w:p>
      <w:pPr>
        <w:spacing w:line="220" w:lineRule="atLeast"/>
        <w:jc w:val="left"/>
        <w:rPr>
          <w:rFonts w:hint="eastAsia"/>
          <w:lang w:val="en-US" w:eastAsia="zh-CN"/>
        </w:rPr>
      </w:pPr>
    </w:p>
    <w:p>
      <w:pPr>
        <w:pStyle w:val="2"/>
        <w:rPr>
          <w:rFonts w:hint="eastAsia"/>
          <w:lang w:val="en-US" w:eastAsia="zh-CN"/>
        </w:rPr>
        <w:sectPr>
          <w:pgSz w:w="11906" w:h="16838"/>
          <w:pgMar w:top="1440" w:right="1800" w:bottom="1440" w:left="1800" w:header="1049" w:footer="708" w:gutter="0"/>
          <w:pgBorders>
            <w:top w:val="none" w:sz="0" w:space="0"/>
            <w:left w:val="none" w:sz="0" w:space="0"/>
            <w:bottom w:val="none" w:sz="0" w:space="0"/>
            <w:right w:val="none" w:sz="0" w:space="0"/>
          </w:pgBorders>
          <w:pgNumType w:fmt="decimal"/>
          <w:cols w:space="708" w:num="1"/>
          <w:docGrid w:linePitch="360" w:charSpace="0"/>
        </w:sectPr>
      </w:pPr>
    </w:p>
    <w:p>
      <w:pPr>
        <w:widowControl w:val="0"/>
        <w:adjustRightInd/>
        <w:snapToGrid/>
        <w:spacing w:after="0" w:line="300" w:lineRule="exact"/>
        <w:ind w:firstLine="422" w:firstLineChars="200"/>
        <w:jc w:val="center"/>
        <w:rPr>
          <w:rFonts w:ascii="宋体" w:hAnsi="宋体" w:cs="宋体"/>
          <w:b/>
          <w:kern w:val="2"/>
          <w:sz w:val="21"/>
          <w:szCs w:val="21"/>
        </w:rPr>
      </w:pPr>
      <w:r>
        <w:rPr>
          <w:rFonts w:hint="eastAsia" w:ascii="宋体" w:hAnsi="宋体" w:cs="宋体"/>
          <w:b/>
          <w:kern w:val="2"/>
          <w:sz w:val="21"/>
          <w:szCs w:val="21"/>
        </w:rPr>
        <w:t>建设项目竣工环境保护“三同时”验收登记表</w:t>
      </w:r>
    </w:p>
    <w:p>
      <w:pPr>
        <w:widowControl w:val="0"/>
        <w:adjustRightInd/>
        <w:snapToGrid/>
        <w:spacing w:after="0" w:line="360" w:lineRule="auto"/>
        <w:jc w:val="both"/>
        <w:rPr>
          <w:rFonts w:hint="eastAsia" w:ascii="宋体" w:hAnsi="宋体" w:cs="宋体"/>
          <w:b/>
          <w:kern w:val="2"/>
          <w:sz w:val="21"/>
          <w:szCs w:val="21"/>
        </w:rPr>
      </w:pPr>
      <w:r>
        <w:rPr>
          <w:rFonts w:hint="eastAsia" w:ascii="宋体" w:hAnsi="宋体" w:cs="宋体"/>
          <w:b/>
          <w:kern w:val="2"/>
          <w:sz w:val="21"/>
          <w:szCs w:val="21"/>
        </w:rPr>
        <w:t>填表单位（盖章）：</w:t>
      </w:r>
      <w:r>
        <w:rPr>
          <w:rFonts w:hint="eastAsia" w:ascii="宋体" w:hAnsi="宋体" w:cs="宋体"/>
          <w:b w:val="0"/>
          <w:bCs/>
          <w:kern w:val="2"/>
          <w:sz w:val="21"/>
          <w:szCs w:val="21"/>
          <w:lang w:eastAsia="zh-CN"/>
        </w:rPr>
        <w:t>彭州市天彭镇农机管理服务站</w:t>
      </w:r>
      <w:r>
        <w:rPr>
          <w:rFonts w:hint="eastAsia" w:ascii="宋体" w:hAnsi="宋体" w:cs="宋体"/>
          <w:b w:val="0"/>
          <w:bCs/>
          <w:kern w:val="2"/>
          <w:sz w:val="21"/>
          <w:szCs w:val="21"/>
        </w:rPr>
        <w:t xml:space="preserve"> </w:t>
      </w:r>
      <w:r>
        <w:rPr>
          <w:rFonts w:hint="eastAsia" w:ascii="宋体" w:hAnsi="宋体" w:cs="宋体"/>
          <w:kern w:val="2"/>
          <w:sz w:val="21"/>
          <w:szCs w:val="21"/>
        </w:rPr>
        <w:t xml:space="preserve">         </w:t>
      </w:r>
      <w:r>
        <w:rPr>
          <w:rFonts w:hint="eastAsia" w:ascii="宋体" w:hAnsi="宋体" w:cs="宋体"/>
          <w:b/>
          <w:kern w:val="2"/>
          <w:sz w:val="21"/>
          <w:szCs w:val="21"/>
        </w:rPr>
        <w:t xml:space="preserve">填表人（签字）：               </w:t>
      </w:r>
      <w:r>
        <w:rPr>
          <w:rFonts w:hint="eastAsia" w:ascii="宋体" w:hAnsi="宋体" w:cs="宋体"/>
          <w:b/>
          <w:kern w:val="2"/>
          <w:sz w:val="21"/>
          <w:szCs w:val="21"/>
          <w:lang w:val="en-US" w:eastAsia="zh-CN"/>
        </w:rPr>
        <w:t xml:space="preserve">  </w:t>
      </w:r>
      <w:r>
        <w:rPr>
          <w:rFonts w:hint="eastAsia" w:ascii="宋体" w:hAnsi="宋体" w:cs="宋体"/>
          <w:b/>
          <w:kern w:val="2"/>
          <w:sz w:val="21"/>
          <w:szCs w:val="21"/>
        </w:rPr>
        <w:t xml:space="preserve">  项目经办人（签字）：</w:t>
      </w:r>
    </w:p>
    <w:tbl>
      <w:tblPr>
        <w:tblStyle w:val="21"/>
        <w:tblW w:w="1526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4"/>
        <w:gridCol w:w="161"/>
        <w:gridCol w:w="1061"/>
        <w:gridCol w:w="366"/>
        <w:gridCol w:w="384"/>
        <w:gridCol w:w="762"/>
        <w:gridCol w:w="1250"/>
        <w:gridCol w:w="110"/>
        <w:gridCol w:w="856"/>
        <w:gridCol w:w="241"/>
        <w:gridCol w:w="931"/>
        <w:gridCol w:w="478"/>
        <w:gridCol w:w="647"/>
        <w:gridCol w:w="178"/>
        <w:gridCol w:w="984"/>
        <w:gridCol w:w="1013"/>
        <w:gridCol w:w="262"/>
        <w:gridCol w:w="216"/>
        <w:gridCol w:w="1009"/>
        <w:gridCol w:w="763"/>
        <w:gridCol w:w="228"/>
        <w:gridCol w:w="470"/>
        <w:gridCol w:w="5"/>
        <w:gridCol w:w="516"/>
        <w:gridCol w:w="719"/>
        <w:gridCol w:w="274"/>
        <w:gridCol w:w="9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restart"/>
            <w:tcMar>
              <w:left w:w="57" w:type="dxa"/>
              <w:right w:w="57" w:type="dxa"/>
            </w:tcMar>
            <w:textDirection w:val="tbRlV"/>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b/>
                <w:sz w:val="18"/>
                <w:szCs w:val="18"/>
              </w:rPr>
            </w:pPr>
            <w:r>
              <w:rPr>
                <w:rFonts w:hint="eastAsia" w:ascii="宋体" w:hAnsi="宋体" w:cs="宋体"/>
                <w:b/>
                <w:sz w:val="18"/>
                <w:szCs w:val="18"/>
              </w:rPr>
              <w:t>建设项目</w:t>
            </w: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b/>
                <w:sz w:val="18"/>
                <w:szCs w:val="18"/>
              </w:rPr>
            </w:pPr>
            <w:r>
              <w:rPr>
                <w:rFonts w:hint="eastAsia" w:ascii="宋体" w:hAnsi="宋体" w:cs="宋体"/>
                <w:b/>
                <w:sz w:val="18"/>
                <w:szCs w:val="18"/>
              </w:rPr>
              <w:t>项目名称</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加油站设施设备改造项目</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bCs/>
                <w:sz w:val="18"/>
                <w:szCs w:val="18"/>
              </w:rPr>
              <w:t>项目代码</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eastAsia" w:ascii="宋体" w:hAnsi="宋体" w:eastAsia="宋体" w:cs="宋体"/>
                <w:sz w:val="18"/>
                <w:szCs w:val="18"/>
                <w:lang w:eastAsia="zh-CN"/>
              </w:rPr>
            </w:pPr>
            <w:r>
              <w:rPr>
                <w:rFonts w:hint="eastAsia" w:ascii="宋体" w:hAnsi="宋体" w:cs="宋体"/>
                <w:sz w:val="18"/>
                <w:szCs w:val="18"/>
                <w:lang w:val="en-US" w:eastAsia="zh-CN"/>
              </w:rPr>
              <w: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sz w:val="18"/>
                <w:szCs w:val="18"/>
              </w:rPr>
              <w:t>建设地点</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四川省成都市彭州市天彭镇先锋村十组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行业类别（分类管理名录）</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机动车燃料零售（F5265）</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建设性质</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sz w:val="18"/>
                <w:szCs w:val="18"/>
              </w:rPr>
              <w:sym w:font="Wingdings 2" w:char="00A3"/>
            </w:r>
            <w:r>
              <w:rPr>
                <w:rFonts w:hint="eastAsia" w:ascii="宋体" w:hAnsi="宋体" w:cs="宋体"/>
                <w:b/>
                <w:sz w:val="18"/>
                <w:szCs w:val="18"/>
              </w:rPr>
              <w:t>新建</w:t>
            </w:r>
            <w:r>
              <w:rPr>
                <w:rFonts w:hint="eastAsia" w:ascii="宋体" w:hAnsi="宋体" w:cs="宋体"/>
                <w:b/>
                <w:sz w:val="18"/>
                <w:szCs w:val="18"/>
              </w:rPr>
              <w:sym w:font="Wingdings 2" w:char="0052"/>
            </w:r>
            <w:r>
              <w:rPr>
                <w:rFonts w:hint="eastAsia" w:ascii="宋体" w:hAnsi="宋体" w:cs="宋体"/>
                <w:b/>
                <w:sz w:val="18"/>
                <w:szCs w:val="18"/>
              </w:rPr>
              <w:t>改扩建</w:t>
            </w:r>
            <w:r>
              <w:rPr>
                <w:rFonts w:hint="eastAsia" w:ascii="宋体" w:hAnsi="宋体" w:cs="宋体"/>
                <w:b/>
                <w:sz w:val="18"/>
                <w:szCs w:val="18"/>
              </w:rPr>
              <w:sym w:font="Wingdings 2" w:char="00A3"/>
            </w:r>
            <w:r>
              <w:rPr>
                <w:rFonts w:hint="eastAsia" w:ascii="宋体" w:hAnsi="宋体" w:cs="宋体"/>
                <w:b/>
                <w:sz w:val="18"/>
                <w:szCs w:val="18"/>
              </w:rPr>
              <w:t>技术改造</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项目厂区中心经度/纬度</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103.96893294</w:t>
            </w:r>
            <w:r>
              <w:rPr>
                <w:rFonts w:hint="eastAsia" w:cs="Times New Roman"/>
                <w:sz w:val="18"/>
                <w:szCs w:val="18"/>
                <w:lang w:val="en-US" w:eastAsia="zh-CN"/>
              </w:rPr>
              <w:t xml:space="preserve">  </w:t>
            </w:r>
            <w:r>
              <w:rPr>
                <w:rFonts w:hint="eastAsia" w:ascii="Times New Roman" w:hAnsi="Times New Roman" w:eastAsia="宋体" w:cs="Times New Roman"/>
                <w:sz w:val="18"/>
                <w:szCs w:val="18"/>
                <w:lang w:val="en-US" w:eastAsia="zh-CN"/>
              </w:rPr>
              <w:t>30.98820418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设计生产能力</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日销售油品5t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bCs/>
                <w:sz w:val="18"/>
                <w:szCs w:val="18"/>
              </w:rPr>
              <w:t>实际生产能力</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both"/>
              <w:rPr>
                <w:rFonts w:hint="default" w:ascii="Times New Roman" w:hAnsi="Times New Roman" w:eastAsia="宋体" w:cs="Times New Roman"/>
                <w:sz w:val="18"/>
                <w:szCs w:val="18"/>
                <w:lang w:val="en-US" w:eastAsia="zh-CN" w:bidi="ar-SA"/>
              </w:rPr>
            </w:pPr>
            <w:r>
              <w:rPr>
                <w:rFonts w:hint="eastAsia" w:cs="Times New Roman"/>
                <w:sz w:val="18"/>
                <w:szCs w:val="18"/>
                <w:lang w:val="en-US" w:eastAsia="zh-CN"/>
              </w:rPr>
              <w:t>日销售油品5t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bCs/>
                <w:sz w:val="18"/>
                <w:szCs w:val="18"/>
              </w:rPr>
              <w:t>环评单位</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重庆市江津区成硕环保工程有限公司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环评文件审批机关</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cs="Times New Roman"/>
                <w:sz w:val="18"/>
                <w:szCs w:val="18"/>
                <w:lang w:val="en-US" w:eastAsia="zh-CN"/>
              </w:rPr>
            </w:pPr>
            <w:r>
              <w:rPr>
                <w:rFonts w:hint="eastAsia" w:cs="Times New Roman"/>
                <w:sz w:val="18"/>
                <w:szCs w:val="18"/>
                <w:lang w:val="en-US" w:eastAsia="zh-CN"/>
              </w:rPr>
              <w:t>成都市彭州生态环境局</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审批文号</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cs="Times New Roman"/>
                <w:sz w:val="18"/>
                <w:szCs w:val="18"/>
                <w:lang w:val="en-US" w:eastAsia="zh-CN"/>
              </w:rPr>
            </w:pPr>
            <w:r>
              <w:rPr>
                <w:rFonts w:hint="eastAsia" w:cs="Times New Roman"/>
                <w:sz w:val="18"/>
                <w:szCs w:val="18"/>
                <w:lang w:val="en-US" w:eastAsia="zh-CN"/>
              </w:rPr>
              <w:t>彭环审[2020]46号</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环评文件类型</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color w:val="auto"/>
                <w:sz w:val="18"/>
                <w:szCs w:val="18"/>
              </w:rPr>
            </w:pPr>
            <w:r>
              <w:rPr>
                <w:rFonts w:hint="eastAsia" w:ascii="宋体" w:hAnsi="宋体" w:cs="宋体"/>
                <w:b/>
                <w:color w:val="auto"/>
                <w:sz w:val="18"/>
                <w:szCs w:val="18"/>
              </w:rPr>
              <w:t>开工日期</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cs="Times New Roman"/>
                <w:sz w:val="18"/>
                <w:szCs w:val="18"/>
                <w:lang w:val="en-US" w:eastAsia="zh-CN"/>
              </w:rPr>
            </w:pPr>
            <w:r>
              <w:rPr>
                <w:rFonts w:hint="eastAsia" w:cs="Times New Roman"/>
                <w:sz w:val="18"/>
                <w:szCs w:val="18"/>
                <w:lang w:val="en-US" w:eastAsia="zh-CN"/>
              </w:rPr>
              <w:t>2019年1月</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color w:val="auto"/>
                <w:sz w:val="18"/>
                <w:szCs w:val="18"/>
              </w:rPr>
            </w:pPr>
            <w:r>
              <w:rPr>
                <w:rFonts w:hint="eastAsia" w:ascii="宋体" w:hAnsi="宋体" w:cs="宋体"/>
                <w:b/>
                <w:color w:val="auto"/>
                <w:sz w:val="18"/>
                <w:szCs w:val="18"/>
              </w:rPr>
              <w:t>竣工日期</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cs="Times New Roman"/>
                <w:sz w:val="18"/>
                <w:szCs w:val="18"/>
                <w:lang w:val="en-US" w:eastAsia="zh-CN"/>
              </w:rPr>
            </w:pPr>
            <w:r>
              <w:rPr>
                <w:rFonts w:hint="eastAsia" w:cs="Times New Roman"/>
                <w:sz w:val="18"/>
                <w:szCs w:val="18"/>
                <w:lang w:val="en-US" w:eastAsia="zh-CN"/>
              </w:rPr>
              <w:t>2019年1月</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排污许可证申领时间</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环保设施设计单位</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sz w:val="18"/>
                <w:szCs w:val="18"/>
              </w:rPr>
              <w: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环保设施施工单位</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sz w:val="18"/>
                <w:szCs w:val="18"/>
              </w:rPr>
              <w: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本工程排污许可证编号</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验收单位</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彭州市天彭镇农机管理服务站</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b/>
                <w:bCs/>
                <w:sz w:val="18"/>
                <w:szCs w:val="18"/>
              </w:rPr>
              <w:t>环保设施监测单位</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四川中谦检测有限公司</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b/>
                <w:sz w:val="18"/>
                <w:szCs w:val="18"/>
              </w:rPr>
            </w:pPr>
            <w:r>
              <w:rPr>
                <w:rFonts w:hint="default" w:ascii="Times New Roman" w:hAnsi="Times New Roman" w:cs="Times New Roman"/>
                <w:b/>
                <w:sz w:val="18"/>
                <w:szCs w:val="18"/>
              </w:rPr>
              <w:t>验收监测时工况</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sz w:val="18"/>
                <w:szCs w:val="18"/>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投资总概算（万元）</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150</w:t>
            </w:r>
          </w:p>
        </w:tc>
        <w:tc>
          <w:tcPr>
            <w:tcW w:w="2475" w:type="dxa"/>
            <w:gridSpan w:val="5"/>
            <w:tcMar>
              <w:left w:w="57" w:type="dxa"/>
              <w:right w:w="57" w:type="dxa"/>
            </w:tcMar>
            <w:vAlign w:val="center"/>
          </w:tcPr>
          <w:p>
            <w:pPr>
              <w:keepNext w:val="0"/>
              <w:keepLines w:val="0"/>
              <w:suppressLineNumbers w:val="0"/>
              <w:tabs>
                <w:tab w:val="left" w:pos="690"/>
              </w:tabs>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b/>
                <w:sz w:val="18"/>
                <w:szCs w:val="18"/>
              </w:rPr>
              <w:t>环保投资总概算（万元）</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20.6</w:t>
            </w:r>
          </w:p>
        </w:tc>
        <w:tc>
          <w:tcPr>
            <w:tcW w:w="2475" w:type="dxa"/>
            <w:gridSpan w:val="5"/>
            <w:tcMar>
              <w:left w:w="57" w:type="dxa"/>
              <w:right w:w="57" w:type="dxa"/>
            </w:tcMar>
            <w:vAlign w:val="center"/>
          </w:tcPr>
          <w:p>
            <w:pPr>
              <w:keepNext w:val="0"/>
              <w:keepLines w:val="0"/>
              <w:suppressLineNumbers w:val="0"/>
              <w:tabs>
                <w:tab w:val="left" w:pos="690"/>
              </w:tabs>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b/>
                <w:sz w:val="18"/>
                <w:szCs w:val="18"/>
              </w:rPr>
              <w:t>所占比例（%）</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实际总投资</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150</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b/>
                <w:sz w:val="18"/>
                <w:szCs w:val="18"/>
              </w:rPr>
            </w:pPr>
            <w:r>
              <w:rPr>
                <w:rFonts w:hint="default" w:ascii="Times New Roman" w:hAnsi="Times New Roman" w:cs="Times New Roman"/>
                <w:b/>
                <w:sz w:val="18"/>
                <w:szCs w:val="18"/>
              </w:rPr>
              <w:t>实际环保投资（万元）</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both"/>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rPr>
              <w:t>20.6</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b/>
                <w:sz w:val="18"/>
                <w:szCs w:val="18"/>
              </w:rPr>
            </w:pPr>
            <w:r>
              <w:rPr>
                <w:rFonts w:hint="default" w:ascii="Times New Roman" w:hAnsi="Times New Roman" w:cs="Times New Roman"/>
                <w:b/>
                <w:sz w:val="18"/>
                <w:szCs w:val="18"/>
              </w:rPr>
              <w:t>所占比例（%）</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both"/>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rPr>
              <w:t>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588"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eastAsia="宋体" w:cs="Times New Roman"/>
                <w:color w:val="auto"/>
                <w:sz w:val="18"/>
                <w:szCs w:val="18"/>
                <w:lang w:val="en-US" w:eastAsia="zh-CN"/>
              </w:rPr>
            </w:pPr>
            <w:r>
              <w:rPr>
                <w:rFonts w:hint="eastAsia" w:ascii="宋体" w:hAnsi="宋体" w:cs="宋体"/>
                <w:b/>
                <w:color w:val="auto"/>
                <w:sz w:val="18"/>
                <w:szCs w:val="18"/>
              </w:rPr>
              <w:t>废水治理（万元）</w:t>
            </w:r>
          </w:p>
        </w:tc>
        <w:tc>
          <w:tcPr>
            <w:tcW w:w="384"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cs="Times New Roman"/>
                <w:color w:val="auto"/>
                <w:sz w:val="18"/>
                <w:szCs w:val="18"/>
                <w:lang w:val="en-US" w:eastAsia="zh-CN"/>
              </w:rPr>
            </w:pPr>
            <w:r>
              <w:rPr>
                <w:rFonts w:hint="eastAsia" w:cs="Times New Roman"/>
                <w:color w:val="auto"/>
                <w:sz w:val="18"/>
                <w:szCs w:val="18"/>
                <w:lang w:val="en-US" w:eastAsia="zh-CN"/>
              </w:rPr>
              <w:t>4.5</w:t>
            </w:r>
          </w:p>
        </w:tc>
        <w:tc>
          <w:tcPr>
            <w:tcW w:w="2122"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color w:val="auto"/>
                <w:sz w:val="18"/>
                <w:szCs w:val="18"/>
              </w:rPr>
              <w:t>废气治理（万元）</w:t>
            </w:r>
          </w:p>
        </w:tc>
        <w:tc>
          <w:tcPr>
            <w:tcW w:w="856"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eastAsia" w:cs="Times New Roman"/>
                <w:color w:val="auto"/>
                <w:sz w:val="18"/>
                <w:szCs w:val="18"/>
                <w:lang w:val="en-US" w:eastAsia="zh-CN"/>
              </w:rPr>
            </w:pPr>
            <w:r>
              <w:rPr>
                <w:rFonts w:hint="eastAsia" w:cs="Times New Roman"/>
                <w:color w:val="auto"/>
                <w:sz w:val="18"/>
                <w:szCs w:val="18"/>
                <w:lang w:val="en-US" w:eastAsia="zh-CN"/>
              </w:rPr>
              <w:t>1</w:t>
            </w:r>
          </w:p>
        </w:tc>
        <w:tc>
          <w:tcPr>
            <w:tcW w:w="1650"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color w:val="auto"/>
                <w:sz w:val="18"/>
                <w:szCs w:val="18"/>
              </w:rPr>
              <w:t>噪声治理（万元）</w:t>
            </w:r>
          </w:p>
        </w:tc>
        <w:tc>
          <w:tcPr>
            <w:tcW w:w="8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cs="Times New Roman"/>
                <w:color w:val="auto"/>
                <w:sz w:val="18"/>
                <w:szCs w:val="18"/>
                <w:lang w:val="en-US" w:eastAsia="zh-CN"/>
              </w:rPr>
            </w:pPr>
            <w:r>
              <w:rPr>
                <w:rFonts w:hint="eastAsia" w:cs="Times New Roman"/>
                <w:color w:val="auto"/>
                <w:sz w:val="18"/>
                <w:szCs w:val="18"/>
                <w:lang w:val="en-US" w:eastAsia="zh-CN"/>
              </w:rPr>
              <w:t>0.1</w:t>
            </w:r>
          </w:p>
        </w:tc>
        <w:tc>
          <w:tcPr>
            <w:tcW w:w="1997"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color w:val="auto"/>
                <w:sz w:val="18"/>
                <w:szCs w:val="18"/>
              </w:rPr>
              <w:t>固体废物治理（万元）</w:t>
            </w:r>
          </w:p>
        </w:tc>
        <w:tc>
          <w:tcPr>
            <w:tcW w:w="478"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cs="Times New Roman"/>
                <w:color w:val="auto"/>
                <w:sz w:val="18"/>
                <w:szCs w:val="18"/>
                <w:lang w:val="en-US" w:eastAsia="zh-CN"/>
              </w:rPr>
            </w:pPr>
            <w:r>
              <w:rPr>
                <w:rFonts w:hint="eastAsia" w:cs="Times New Roman"/>
                <w:color w:val="auto"/>
                <w:sz w:val="18"/>
                <w:szCs w:val="18"/>
                <w:lang w:val="en-US" w:eastAsia="zh-CN"/>
              </w:rPr>
              <w:t>2.5</w:t>
            </w:r>
          </w:p>
        </w:tc>
        <w:tc>
          <w:tcPr>
            <w:tcW w:w="1772"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绿化及生态（万元）</w:t>
            </w:r>
          </w:p>
        </w:tc>
        <w:tc>
          <w:tcPr>
            <w:tcW w:w="698"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left"/>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w:t>
            </w:r>
          </w:p>
        </w:tc>
        <w:tc>
          <w:tcPr>
            <w:tcW w:w="1240"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其他（万元）</w:t>
            </w:r>
          </w:p>
        </w:tc>
        <w:tc>
          <w:tcPr>
            <w:tcW w:w="1241"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14"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left"/>
              <w:rPr>
                <w:rFonts w:hint="default" w:ascii="宋体" w:hAnsi="宋体" w:cs="宋体"/>
                <w:sz w:val="18"/>
                <w:szCs w:val="18"/>
              </w:rPr>
            </w:pPr>
          </w:p>
        </w:tc>
        <w:tc>
          <w:tcPr>
            <w:tcW w:w="1972" w:type="dxa"/>
            <w:gridSpan w:val="4"/>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宋体" w:hAnsi="宋体" w:cs="宋体"/>
                <w:sz w:val="18"/>
                <w:szCs w:val="18"/>
              </w:rPr>
            </w:pPr>
            <w:r>
              <w:rPr>
                <w:rFonts w:hint="eastAsia" w:ascii="宋体" w:hAnsi="宋体" w:cs="宋体"/>
                <w:b/>
                <w:sz w:val="18"/>
                <w:szCs w:val="18"/>
              </w:rPr>
              <w:t>新增废水处理设施能力</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b/>
                <w:sz w:val="18"/>
                <w:szCs w:val="18"/>
              </w:rPr>
              <w:t>新增废气处理设施能力</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eastAsia" w:ascii="Times New Roman" w:hAnsi="Times New Roman" w:eastAsia="宋体" w:cs="Times New Roman"/>
                <w:sz w:val="18"/>
                <w:szCs w:val="18"/>
                <w:lang w:eastAsia="zh-CN"/>
              </w:rPr>
            </w:pPr>
            <w:r>
              <w:rPr>
                <w:rFonts w:hint="eastAsia" w:cs="Times New Roman"/>
                <w:sz w:val="18"/>
                <w:szCs w:val="18"/>
                <w:lang w:val="en-US" w:eastAsia="zh-CN"/>
              </w:rPr>
              <w:t>-</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cs="Times New Roman"/>
                <w:sz w:val="18"/>
                <w:szCs w:val="18"/>
              </w:rPr>
            </w:pPr>
            <w:r>
              <w:rPr>
                <w:rFonts w:hint="default" w:ascii="Times New Roman" w:hAnsi="Times New Roman" w:cs="Times New Roman"/>
                <w:b/>
                <w:sz w:val="18"/>
                <w:szCs w:val="18"/>
              </w:rPr>
              <w:t>年平均工作时</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2386"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运营单位</w:t>
            </w:r>
          </w:p>
        </w:tc>
        <w:tc>
          <w:tcPr>
            <w:tcW w:w="2978"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eastAsia" w:ascii="宋体" w:hAnsi="宋体" w:eastAsia="宋体" w:cs="宋体"/>
                <w:sz w:val="18"/>
                <w:szCs w:val="18"/>
                <w:lang w:eastAsia="zh-CN"/>
              </w:rPr>
            </w:pPr>
            <w:r>
              <w:rPr>
                <w:rFonts w:hint="eastAsia" w:ascii="宋体" w:hAnsi="宋体" w:cs="宋体"/>
                <w:sz w:val="18"/>
                <w:szCs w:val="18"/>
                <w:lang w:eastAsia="zh-CN"/>
              </w:rPr>
              <w:t>彭州市天彭镇农机管理服务站</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r>
              <w:rPr>
                <w:rFonts w:hint="eastAsia" w:ascii="宋体" w:hAnsi="宋体" w:cs="宋体"/>
                <w:b/>
                <w:sz w:val="18"/>
                <w:szCs w:val="18"/>
              </w:rPr>
              <w:t>运营单位社会统一信用代码（或组织机构代码）</w:t>
            </w:r>
          </w:p>
        </w:tc>
        <w:tc>
          <w:tcPr>
            <w:tcW w:w="2475"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eastAsia="宋体" w:cs="宋体"/>
                <w:b/>
                <w:sz w:val="18"/>
                <w:szCs w:val="18"/>
                <w:lang w:val="en-US" w:eastAsia="zh-CN"/>
              </w:rPr>
            </w:pPr>
            <w:r>
              <w:rPr>
                <w:rFonts w:hint="eastAsia" w:cs="Times New Roman"/>
                <w:b w:val="0"/>
                <w:bCs/>
                <w:color w:val="auto"/>
                <w:sz w:val="18"/>
                <w:szCs w:val="18"/>
                <w:lang w:val="en-US" w:eastAsia="zh-CN"/>
              </w:rPr>
              <w:t>91510182202546407x</w:t>
            </w:r>
          </w:p>
        </w:tc>
        <w:tc>
          <w:tcPr>
            <w:tcW w:w="2475" w:type="dxa"/>
            <w:gridSpan w:val="5"/>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验收时间</w:t>
            </w:r>
          </w:p>
        </w:tc>
        <w:tc>
          <w:tcPr>
            <w:tcW w:w="2476" w:type="dxa"/>
            <w:gridSpan w:val="4"/>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eastAsia="宋体" w:cs="宋体"/>
                <w:sz w:val="18"/>
                <w:szCs w:val="18"/>
                <w:lang w:val="en-US" w:eastAsia="zh-CN"/>
              </w:rPr>
            </w:pPr>
            <w:r>
              <w:rPr>
                <w:rFonts w:hint="default" w:ascii="Times New Roman" w:hAnsi="Times New Roman" w:cs="Times New Roman"/>
                <w:sz w:val="18"/>
                <w:szCs w:val="18"/>
                <w:lang w:val="en-US" w:eastAsia="zh-CN"/>
              </w:rPr>
              <w:t>202</w:t>
            </w:r>
            <w:r>
              <w:rPr>
                <w:rFonts w:hint="eastAsia" w:cs="Times New Roman"/>
                <w:sz w:val="18"/>
                <w:szCs w:val="18"/>
                <w:lang w:val="en-US" w:eastAsia="zh-CN"/>
              </w:rPr>
              <w:t>1</w:t>
            </w:r>
            <w:r>
              <w:rPr>
                <w:rFonts w:hint="default" w:ascii="Times New Roman" w:hAnsi="Times New Roman" w:cs="Times New Roman"/>
                <w:sz w:val="18"/>
                <w:szCs w:val="18"/>
                <w:lang w:val="en-US" w:eastAsia="zh-CN"/>
              </w:rPr>
              <w:t>年</w:t>
            </w:r>
            <w:r>
              <w:rPr>
                <w:rFonts w:hint="eastAsia" w:cs="Times New Roman"/>
                <w:sz w:val="18"/>
                <w:szCs w:val="18"/>
                <w:lang w:val="en-US" w:eastAsia="zh-CN"/>
              </w:rPr>
              <w:t>1</w:t>
            </w:r>
            <w:r>
              <w:rPr>
                <w:rFonts w:hint="default" w:ascii="Times New Roman" w:hAnsi="Times New Roman" w:cs="Times New Roman"/>
                <w:sz w:val="18"/>
                <w:szCs w:val="18"/>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restart"/>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污染</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物排</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放达</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标与</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总量</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控制（工</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业建</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设项</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pacing w:val="20"/>
                <w:sz w:val="18"/>
                <w:szCs w:val="18"/>
              </w:rPr>
            </w:pPr>
            <w:r>
              <w:rPr>
                <w:rFonts w:hint="eastAsia" w:ascii="宋体" w:hAnsi="宋体" w:cs="宋体"/>
                <w:b/>
                <w:spacing w:val="20"/>
                <w:sz w:val="18"/>
                <w:szCs w:val="18"/>
              </w:rPr>
              <w:t>目详填）</w:t>
            </w: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sz w:val="18"/>
                <w:szCs w:val="18"/>
              </w:rPr>
            </w:pPr>
            <w:r>
              <w:rPr>
                <w:rFonts w:hint="eastAsia" w:ascii="宋体" w:hAnsi="宋体" w:cs="宋体"/>
                <w:b/>
                <w:sz w:val="18"/>
                <w:szCs w:val="18"/>
              </w:rPr>
              <w:t>污染物</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原有排</w:t>
            </w:r>
          </w:p>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放量(1)</w:t>
            </w: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本期工程实际排放浓度(2)</w:t>
            </w: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本期工程允许排放浓度(3)</w:t>
            </w: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本期工程产生量(4)</w:t>
            </w: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本期工程自身削减量(5)</w:t>
            </w: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highlight w:val="none"/>
              </w:rPr>
            </w:pPr>
            <w:r>
              <w:rPr>
                <w:rFonts w:hint="eastAsia" w:ascii="宋体" w:hAnsi="宋体" w:cs="宋体"/>
                <w:b/>
                <w:sz w:val="18"/>
                <w:szCs w:val="18"/>
                <w:highlight w:val="none"/>
              </w:rPr>
              <w:t>本期工程实际排放量(6)</w:t>
            </w: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本期工程核定排放总量(7)</w:t>
            </w: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本期工程“以新带老”削减量(8)</w:t>
            </w: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全厂实际排放总量(9)</w:t>
            </w: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全厂核定排放总量(10)</w:t>
            </w: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区域平衡替代削减量(11)</w:t>
            </w: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r>
              <w:rPr>
                <w:rFonts w:hint="eastAsia" w:ascii="宋体" w:hAnsi="宋体" w:cs="宋体"/>
                <w:b/>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sz w:val="18"/>
                <w:szCs w:val="18"/>
              </w:rPr>
            </w:pPr>
            <w:r>
              <w:rPr>
                <w:rFonts w:hint="eastAsia" w:ascii="宋体" w:hAnsi="宋体" w:cs="宋体"/>
                <w:b/>
                <w:sz w:val="18"/>
                <w:szCs w:val="18"/>
              </w:rPr>
              <w:t>废水</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b/>
                <w:sz w:val="18"/>
                <w:szCs w:val="18"/>
              </w:rPr>
            </w:pPr>
            <w:r>
              <w:rPr>
                <w:rFonts w:hint="eastAsia" w:ascii="宋体" w:hAnsi="宋体" w:cs="宋体"/>
                <w:b/>
                <w:sz w:val="18"/>
                <w:szCs w:val="18"/>
              </w:rPr>
              <w:t>化学需氧量</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eastAsia" w:ascii="宋体" w:hAnsi="宋体" w:eastAsia="宋体" w:cs="宋体"/>
                <w:b/>
                <w:sz w:val="18"/>
                <w:szCs w:val="18"/>
                <w:lang w:val="en-US" w:eastAsia="zh-CN" w:bidi="ar-SA"/>
              </w:rPr>
            </w:pPr>
            <w:r>
              <w:rPr>
                <w:rFonts w:hint="eastAsia" w:ascii="宋体" w:hAnsi="宋体" w:cs="宋体"/>
                <w:b/>
                <w:sz w:val="18"/>
                <w:szCs w:val="18"/>
              </w:rPr>
              <w:t>氨氮</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both"/>
              <w:rPr>
                <w:rFonts w:hint="default" w:ascii="宋体" w:hAnsi="宋体" w:eastAsia="宋体" w:cs="宋体"/>
                <w:sz w:val="18"/>
                <w:szCs w:val="18"/>
                <w:lang w:val="en-US" w:eastAsia="zh-CN" w:bidi="ar-SA"/>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eastAsia"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b/>
                <w:sz w:val="18"/>
                <w:szCs w:val="18"/>
                <w:lang w:eastAsia="zh-CN"/>
              </w:rPr>
            </w:pPr>
            <w:r>
              <w:rPr>
                <w:rFonts w:hint="eastAsia" w:ascii="宋体" w:hAnsi="宋体" w:cs="宋体"/>
                <w:b/>
                <w:sz w:val="18"/>
                <w:szCs w:val="18"/>
                <w:lang w:eastAsia="zh-CN"/>
              </w:rPr>
              <w:t>总磷</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81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b/>
                <w:sz w:val="18"/>
                <w:szCs w:val="18"/>
              </w:rPr>
            </w:pPr>
            <w:r>
              <w:rPr>
                <w:rFonts w:hint="eastAsia" w:ascii="宋体" w:hAnsi="宋体" w:cs="宋体"/>
                <w:b/>
                <w:sz w:val="18"/>
                <w:szCs w:val="18"/>
              </w:rPr>
              <w:t>工业固体废物</w:t>
            </w: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061" w:type="dxa"/>
            <w:vMerge w:val="restart"/>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sz w:val="18"/>
                <w:szCs w:val="18"/>
              </w:rPr>
            </w:pPr>
            <w:r>
              <w:rPr>
                <w:rFonts w:hint="eastAsia" w:ascii="宋体" w:hAnsi="宋体" w:cs="宋体"/>
                <w:b/>
                <w:sz w:val="18"/>
                <w:szCs w:val="18"/>
              </w:rPr>
              <w:t>与项目有关的其他特征污染物</w:t>
            </w:r>
          </w:p>
        </w:tc>
        <w:tc>
          <w:tcPr>
            <w:tcW w:w="750"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sz w:val="18"/>
                <w:szCs w:val="18"/>
              </w:rPr>
            </w:pP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color w:val="FF0000"/>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061"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p>
        </w:tc>
        <w:tc>
          <w:tcPr>
            <w:tcW w:w="750"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eastAsia" w:ascii="宋体" w:hAnsi="宋体" w:cs="宋体"/>
                <w:b/>
                <w:bCs/>
                <w:sz w:val="18"/>
                <w:szCs w:val="18"/>
                <w:lang w:eastAsia="zh-CN"/>
              </w:rPr>
            </w:pP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color w:val="FF0000"/>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061"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p>
        </w:tc>
        <w:tc>
          <w:tcPr>
            <w:tcW w:w="750"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eastAsia" w:ascii="宋体" w:hAnsi="宋体" w:cs="宋体"/>
                <w:b/>
                <w:bCs/>
                <w:sz w:val="18"/>
                <w:szCs w:val="18"/>
                <w:lang w:eastAsia="zh-CN"/>
              </w:rPr>
            </w:pP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color w:val="FF0000"/>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575" w:type="dxa"/>
            <w:gridSpan w:val="2"/>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sz w:val="18"/>
                <w:szCs w:val="18"/>
              </w:rPr>
            </w:pPr>
          </w:p>
        </w:tc>
        <w:tc>
          <w:tcPr>
            <w:tcW w:w="1061" w:type="dxa"/>
            <w:vMerge w:val="continue"/>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b/>
                <w:sz w:val="18"/>
                <w:szCs w:val="18"/>
              </w:rPr>
            </w:pPr>
          </w:p>
        </w:tc>
        <w:tc>
          <w:tcPr>
            <w:tcW w:w="750"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eastAsia" w:ascii="宋体" w:hAnsi="宋体" w:cs="宋体"/>
                <w:b/>
                <w:bCs/>
                <w:sz w:val="18"/>
                <w:szCs w:val="18"/>
                <w:lang w:eastAsia="zh-CN"/>
              </w:rPr>
            </w:pPr>
          </w:p>
        </w:tc>
        <w:tc>
          <w:tcPr>
            <w:tcW w:w="762"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both"/>
              <w:rPr>
                <w:rFonts w:hint="default" w:ascii="宋体" w:hAnsi="宋体" w:cs="宋体"/>
                <w:color w:val="FF0000"/>
                <w:sz w:val="18"/>
                <w:szCs w:val="18"/>
              </w:rPr>
            </w:pPr>
          </w:p>
        </w:tc>
        <w:tc>
          <w:tcPr>
            <w:tcW w:w="1250"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07"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31" w:type="dxa"/>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162"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127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1225"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1" w:type="dxa"/>
            <w:gridSpan w:val="2"/>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c>
          <w:tcPr>
            <w:tcW w:w="991" w:type="dxa"/>
            <w:gridSpan w:val="3"/>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93" w:type="dxa"/>
            <w:gridSpan w:val="2"/>
            <w:tcMar>
              <w:left w:w="57" w:type="dxa"/>
              <w:right w:w="57" w:type="dxa"/>
            </w:tcMar>
            <w:vAlign w:val="center"/>
          </w:tcPr>
          <w:p>
            <w:pPr>
              <w:keepNext w:val="0"/>
              <w:keepLines w:val="0"/>
              <w:suppressLineNumbers w:val="0"/>
              <w:spacing w:before="0" w:beforeAutospacing="0" w:after="0" w:afterAutospacing="0" w:line="240" w:lineRule="exact"/>
              <w:ind w:left="0" w:right="0" w:firstLine="0" w:firstLineChars="0"/>
              <w:jc w:val="center"/>
              <w:rPr>
                <w:rFonts w:hint="default" w:eastAsia="宋体" w:cs="Times New Roman"/>
                <w:sz w:val="18"/>
                <w:szCs w:val="18"/>
                <w:lang w:val="en-US" w:eastAsia="zh-CN"/>
              </w:rPr>
            </w:pPr>
          </w:p>
        </w:tc>
        <w:tc>
          <w:tcPr>
            <w:tcW w:w="967" w:type="dxa"/>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lang w:val="en-US" w:eastAsia="zh-CN" w:bidi="ar-SA"/>
              </w:rPr>
            </w:pPr>
          </w:p>
        </w:tc>
      </w:tr>
    </w:tbl>
    <w:p>
      <w:pPr>
        <w:widowControl w:val="0"/>
        <w:adjustRightInd/>
        <w:snapToGrid/>
        <w:spacing w:after="0" w:line="240" w:lineRule="auto"/>
        <w:ind w:firstLine="301" w:firstLineChars="200"/>
        <w:jc w:val="both"/>
        <w:rPr>
          <w:rFonts w:hint="eastAsia"/>
          <w:highlight w:val="none"/>
          <w:lang w:val="en-US" w:eastAsia="zh-CN"/>
        </w:rPr>
      </w:pPr>
      <w:r>
        <w:rPr>
          <w:rFonts w:hint="eastAsia" w:ascii="宋体" w:hAnsi="宋体" w:cs="宋体"/>
          <w:b/>
          <w:kern w:val="2"/>
          <w:sz w:val="15"/>
          <w:szCs w:val="15"/>
          <w:highlight w:val="none"/>
        </w:rPr>
        <w:t>注</w:t>
      </w:r>
      <w:r>
        <w:rPr>
          <w:rFonts w:hint="eastAsia" w:ascii="宋体" w:hAnsi="宋体" w:cs="宋体"/>
          <w:kern w:val="2"/>
          <w:sz w:val="15"/>
          <w:szCs w:val="15"/>
          <w:highlight w:val="none"/>
        </w:rPr>
        <w:t>：1、</w:t>
      </w:r>
      <w:r>
        <w:rPr>
          <w:rFonts w:hint="eastAsia" w:ascii="宋体" w:hAnsi="宋体" w:cs="宋体"/>
          <w:spacing w:val="-4"/>
          <w:kern w:val="2"/>
          <w:sz w:val="15"/>
          <w:szCs w:val="15"/>
          <w:highlight w:val="none"/>
        </w:rPr>
        <w:t>排放增减量：（+）表示增加，（-）表示减少。2、(12)=(6)-(8)-(11)，（9）=(4)-(5)-(8)-(11)+（1）。3、计量单位：废水排放量——万吨/年；废气排放量——万标立方米/年；工业固体废物排放</w:t>
      </w:r>
      <w:r>
        <w:rPr>
          <w:rFonts w:hint="eastAsia" w:ascii="宋体" w:hAnsi="宋体" w:cs="宋体"/>
          <w:kern w:val="2"/>
          <w:sz w:val="15"/>
          <w:szCs w:val="15"/>
          <w:highlight w:val="none"/>
        </w:rPr>
        <w:t>量——万吨/年；水污染物排放浓度——毫克/升</w:t>
      </w:r>
    </w:p>
    <w:sectPr>
      <w:headerReference r:id="rId8" w:type="default"/>
      <w:footerReference r:id="rId9" w:type="default"/>
      <w:pgSz w:w="16838" w:h="11906" w:orient="landscape"/>
      <w:pgMar w:top="567" w:right="1588" w:bottom="567" w:left="1134" w:header="170" w:footer="737"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decorative"/>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imesNewRoman">
    <w:altName w:val="Segoe Print"/>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50" w:firstLineChars="22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480" w:firstLineChars="200"/>
      <w:jc w:val="left"/>
      <w:rPr>
        <w:rFonts w:ascii="Calibri" w:hAnsi="Calibri" w:eastAsia="宋体" w:cs="黑体"/>
        <w:kern w:val="2"/>
        <w:sz w:val="24"/>
        <w:szCs w:val="18"/>
        <w:lang w:val="en-US" w:eastAsia="zh-CN" w:bidi="ar-SA"/>
      </w:rPr>
    </w:pPr>
    <w:r>
      <w:rPr>
        <w:rFonts w:ascii="Calibri" w:hAnsi="Calibri" w:eastAsia="宋体" w:cs="黑体"/>
        <w:kern w:val="2"/>
        <w:sz w:val="24"/>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480" w:firstLineChars="200"/>
                            <w:jc w:val="left"/>
                            <w:rPr>
                              <w:rFonts w:hint="eastAsia" w:ascii="Calibri" w:hAnsi="Calibri" w:eastAsia="宋体" w:cs="黑体"/>
                              <w:kern w:val="2"/>
                              <w:sz w:val="24"/>
                              <w:szCs w:val="18"/>
                              <w:lang w:val="en-US" w:eastAsia="zh-CN" w:bidi="ar-SA"/>
                            </w:rPr>
                          </w:pPr>
                          <w:r>
                            <w:rPr>
                              <w:rFonts w:hint="eastAsia" w:ascii="Calibri" w:hAnsi="Calibri" w:eastAsia="宋体" w:cs="黑体"/>
                              <w:kern w:val="2"/>
                              <w:sz w:val="24"/>
                              <w:szCs w:val="18"/>
                              <w:lang w:val="en-US" w:eastAsia="zh-CN" w:bidi="ar-SA"/>
                            </w:rPr>
                            <w:fldChar w:fldCharType="begin"/>
                          </w:r>
                          <w:r>
                            <w:rPr>
                              <w:rFonts w:hint="eastAsia" w:ascii="Calibri" w:hAnsi="Calibri" w:eastAsia="宋体" w:cs="黑体"/>
                              <w:kern w:val="2"/>
                              <w:sz w:val="24"/>
                              <w:szCs w:val="18"/>
                              <w:lang w:val="en-US" w:eastAsia="zh-CN" w:bidi="ar-SA"/>
                            </w:rPr>
                            <w:instrText xml:space="preserve"> PAGE  \* MERGEFORMAT </w:instrText>
                          </w:r>
                          <w:r>
                            <w:rPr>
                              <w:rFonts w:hint="eastAsia" w:ascii="Calibri" w:hAnsi="Calibri" w:eastAsia="宋体" w:cs="黑体"/>
                              <w:kern w:val="2"/>
                              <w:sz w:val="24"/>
                              <w:szCs w:val="18"/>
                              <w:lang w:val="en-US" w:eastAsia="zh-CN" w:bidi="ar-SA"/>
                            </w:rPr>
                            <w:fldChar w:fldCharType="separate"/>
                          </w:r>
                          <w:r>
                            <w:rPr>
                              <w:rFonts w:hint="eastAsia" w:ascii="Calibri" w:hAnsi="Calibri" w:eastAsia="宋体" w:cs="黑体"/>
                              <w:kern w:val="2"/>
                              <w:sz w:val="24"/>
                              <w:szCs w:val="18"/>
                              <w:lang w:val="en-US" w:eastAsia="zh-CN" w:bidi="ar-SA"/>
                            </w:rPr>
                            <w:t>38</w:t>
                          </w:r>
                          <w:r>
                            <w:rPr>
                              <w:rFonts w:hint="eastAsia" w:ascii="Calibri" w:hAnsi="Calibri" w:eastAsia="宋体" w:cs="黑体"/>
                              <w:kern w:val="2"/>
                              <w:sz w:val="24"/>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480" w:firstLineChars="200"/>
                      <w:jc w:val="left"/>
                      <w:rPr>
                        <w:rFonts w:hint="eastAsia" w:ascii="Calibri" w:hAnsi="Calibri" w:eastAsia="宋体" w:cs="黑体"/>
                        <w:kern w:val="2"/>
                        <w:sz w:val="24"/>
                        <w:szCs w:val="18"/>
                        <w:lang w:val="en-US" w:eastAsia="zh-CN" w:bidi="ar-SA"/>
                      </w:rPr>
                    </w:pPr>
                    <w:r>
                      <w:rPr>
                        <w:rFonts w:hint="eastAsia" w:ascii="Calibri" w:hAnsi="Calibri" w:eastAsia="宋体" w:cs="黑体"/>
                        <w:kern w:val="2"/>
                        <w:sz w:val="24"/>
                        <w:szCs w:val="18"/>
                        <w:lang w:val="en-US" w:eastAsia="zh-CN" w:bidi="ar-SA"/>
                      </w:rPr>
                      <w:fldChar w:fldCharType="begin"/>
                    </w:r>
                    <w:r>
                      <w:rPr>
                        <w:rFonts w:hint="eastAsia" w:ascii="Calibri" w:hAnsi="Calibri" w:eastAsia="宋体" w:cs="黑体"/>
                        <w:kern w:val="2"/>
                        <w:sz w:val="24"/>
                        <w:szCs w:val="18"/>
                        <w:lang w:val="en-US" w:eastAsia="zh-CN" w:bidi="ar-SA"/>
                      </w:rPr>
                      <w:instrText xml:space="preserve"> PAGE  \* MERGEFORMAT </w:instrText>
                    </w:r>
                    <w:r>
                      <w:rPr>
                        <w:rFonts w:hint="eastAsia" w:ascii="Calibri" w:hAnsi="Calibri" w:eastAsia="宋体" w:cs="黑体"/>
                        <w:kern w:val="2"/>
                        <w:sz w:val="24"/>
                        <w:szCs w:val="18"/>
                        <w:lang w:val="en-US" w:eastAsia="zh-CN" w:bidi="ar-SA"/>
                      </w:rPr>
                      <w:fldChar w:fldCharType="separate"/>
                    </w:r>
                    <w:r>
                      <w:rPr>
                        <w:rFonts w:hint="eastAsia" w:ascii="Calibri" w:hAnsi="Calibri" w:eastAsia="宋体" w:cs="黑体"/>
                        <w:kern w:val="2"/>
                        <w:sz w:val="24"/>
                        <w:szCs w:val="18"/>
                        <w:lang w:val="en-US" w:eastAsia="zh-CN" w:bidi="ar-SA"/>
                      </w:rPr>
                      <w:t>38</w:t>
                    </w:r>
                    <w:r>
                      <w:rPr>
                        <w:rFonts w:hint="eastAsia" w:ascii="Calibri" w:hAnsi="Calibri" w:eastAsia="宋体" w:cs="黑体"/>
                        <w:kern w:val="2"/>
                        <w:sz w:val="24"/>
                        <w:szCs w:val="18"/>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sz w:val="20"/>
      </w:rPr>
    </w:pPr>
    <w:r>
      <w:rPr>
        <w:rFonts w:hint="eastAsia" w:ascii="楷体" w:eastAsia="楷体"/>
        <w:sz w:val="18"/>
      </w:rPr>
      <mc:AlternateContent>
        <mc:Choice Requires="wps">
          <w:drawing>
            <wp:anchor distT="0" distB="0" distL="114300" distR="114300" simplePos="0" relativeHeight="236663808" behindDoc="1" locked="0" layoutInCell="1" allowOverlap="1">
              <wp:simplePos x="0" y="0"/>
              <wp:positionH relativeFrom="page">
                <wp:posOffset>1155700</wp:posOffset>
              </wp:positionH>
              <wp:positionV relativeFrom="page">
                <wp:posOffset>871220</wp:posOffset>
              </wp:positionV>
              <wp:extent cx="5276215" cy="3810"/>
              <wp:effectExtent l="0" t="0" r="0" b="0"/>
              <wp:wrapNone/>
              <wp:docPr id="5" name="直线 1"/>
              <wp:cNvGraphicFramePr/>
              <a:graphic xmlns:a="http://schemas.openxmlformats.org/drawingml/2006/main">
                <a:graphicData uri="http://schemas.microsoft.com/office/word/2010/wordprocessingShape">
                  <wps:wsp>
                    <wps:cNvCnPr/>
                    <wps:spPr>
                      <a:xfrm>
                        <a:off x="0" y="0"/>
                        <a:ext cx="5276215" cy="381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1pt;margin-top:68.6pt;height:0.3pt;width:415.45pt;mso-position-horizontal-relative:page;mso-position-vertical-relative:page;z-index:-266652672;mso-width-relative:page;mso-height-relative:page;" filled="f" stroked="t" coordsize="21600,21600" o:gfxdata="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kGOidkAAAAMAQAADwAAAAAAAAABACAAAAAiAAAAZHJzL2Rvd25yZXYueG1sUEsBAhQAFAAAAAgA&#10;h07iQNvlnp3rAQAA3gMAAA4AAAAAAAAAAQAgAAAAKAEAAGRycy9lMm9Eb2MueG1sUEsFBgAAAAAG&#10;AAYAWQEAAIUFAAAAAA==&#10;">
              <v:fill on="f" focussize="0,0"/>
              <v:stroke weight="0.48pt" color="#000000" joinstyle="round"/>
              <v:imagedata o:title=""/>
              <o:lock v:ext="edit" aspectratio="f"/>
            </v:line>
          </w:pict>
        </mc:Fallback>
      </mc:AlternateContent>
    </w:r>
    <w:r>
      <w:rPr>
        <w:rFonts w:hint="eastAsia" w:ascii="楷体" w:eastAsia="楷体"/>
        <w:sz w:val="18"/>
        <w:lang w:eastAsia="zh-CN"/>
      </w:rPr>
      <w:t>加油站设施设备改造项目</w:t>
    </w:r>
    <w:r>
      <w:rPr>
        <w:rFonts w:hint="eastAsia" w:ascii="楷体" w:eastAsia="楷体"/>
        <w:sz w:val="18"/>
      </w:rPr>
      <w:t>竣工环境保护验收监测报告表</w:t>
    </w:r>
  </w:p>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sz w:val="20"/>
      </w:rPr>
    </w:pPr>
    <w:r>
      <mc:AlternateContent>
        <mc:Choice Requires="wps">
          <w:drawing>
            <wp:anchor distT="0" distB="0" distL="114300" distR="114300" simplePos="0" relativeHeight="236653568" behindDoc="1" locked="0" layoutInCell="1" allowOverlap="1">
              <wp:simplePos x="0" y="0"/>
              <wp:positionH relativeFrom="page">
                <wp:posOffset>1155700</wp:posOffset>
              </wp:positionH>
              <wp:positionV relativeFrom="page">
                <wp:posOffset>871220</wp:posOffset>
              </wp:positionV>
              <wp:extent cx="5276215" cy="3810"/>
              <wp:effectExtent l="0" t="0" r="0" b="0"/>
              <wp:wrapNone/>
              <wp:docPr id="2" name="直线 1"/>
              <wp:cNvGraphicFramePr/>
              <a:graphic xmlns:a="http://schemas.openxmlformats.org/drawingml/2006/main">
                <a:graphicData uri="http://schemas.microsoft.com/office/word/2010/wordprocessingShape">
                  <wps:wsp>
                    <wps:cNvCnPr/>
                    <wps:spPr>
                      <a:xfrm>
                        <a:off x="0" y="0"/>
                        <a:ext cx="5276215" cy="381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1pt;margin-top:68.6pt;height:0.3pt;width:415.45pt;mso-position-horizontal-relative:page;mso-position-vertical-relative:page;z-index:-266662912;mso-width-relative:page;mso-height-relative:page;" filled="f" stroked="t" coordsize="21600,21600" o:gfxdata="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kGOidkAAAAMAQAADwAAAAAAAAABACAAAAAiAAAAZHJzL2Rvd25yZXYueG1sUEsBAhQAFAAAAAgA&#10;h07iQO8IRbbrAQAA3gMAAA4AAAAAAAAAAQAgAAAAKAEAAGRycy9lMm9Eb2MueG1sUEsFBgAAAAAG&#10;AAYAWQEAAIUFAAAAAA==&#10;">
              <v:fill on="f" focussize="0,0"/>
              <v:stroke weight="0.48pt" color="#000000" joinstyle="round"/>
              <v:imagedata o:title=""/>
              <o:lock v:ext="edit" aspectratio="f"/>
            </v:line>
          </w:pict>
        </mc:Fallback>
      </mc:AlternateContent>
    </w:r>
    <w:r>
      <w:rPr>
        <w:rFonts w:hint="eastAsia" w:ascii="楷体" w:eastAsia="楷体"/>
        <w:sz w:val="18"/>
        <w:lang w:eastAsia="zh-CN"/>
      </w:rPr>
      <w:t>加油站设施设备改造项目</w:t>
    </w:r>
    <w:r>
      <w:rPr>
        <w:rFonts w:hint="eastAsia" w:ascii="楷体" w:eastAsia="楷体"/>
        <w:sz w:val="18"/>
      </w:rPr>
      <w:t>竣工环境保护验收监测报告表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0"/>
        <w:right w:val="none" w:color="auto" w:sz="0" w:space="4"/>
      </w:pBdr>
      <w:tabs>
        <w:tab w:val="center" w:pos="4153"/>
        <w:tab w:val="right" w:pos="8306"/>
      </w:tabs>
      <w:snapToGrid w:val="0"/>
      <w:spacing w:line="240" w:lineRule="auto"/>
      <w:ind w:firstLine="360" w:firstLineChars="200"/>
      <w:jc w:val="both"/>
      <w:rPr>
        <w:rFonts w:ascii="Calibri" w:hAnsi="Calibri" w:eastAsia="宋体" w:cs="黑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647D64"/>
    <w:multiLevelType w:val="singleLevel"/>
    <w:tmpl w:val="95647D64"/>
    <w:lvl w:ilvl="0" w:tentative="0">
      <w:start w:val="2"/>
      <w:numFmt w:val="chineseCounting"/>
      <w:suff w:val="nothing"/>
      <w:lvlText w:val="%1、"/>
      <w:lvlJc w:val="left"/>
      <w:rPr>
        <w:rFonts w:hint="eastAsia"/>
      </w:rPr>
    </w:lvl>
  </w:abstractNum>
  <w:abstractNum w:abstractNumId="1">
    <w:nsid w:val="A4361D73"/>
    <w:multiLevelType w:val="singleLevel"/>
    <w:tmpl w:val="A4361D73"/>
    <w:lvl w:ilvl="0" w:tentative="0">
      <w:start w:val="1"/>
      <w:numFmt w:val="decimal"/>
      <w:lvlText w:val="%1."/>
      <w:lvlJc w:val="left"/>
      <w:pPr>
        <w:ind w:left="425" w:hanging="425"/>
      </w:pPr>
      <w:rPr>
        <w:rFonts w:hint="default"/>
      </w:rPr>
    </w:lvl>
  </w:abstractNum>
  <w:abstractNum w:abstractNumId="2">
    <w:nsid w:val="C27898DC"/>
    <w:multiLevelType w:val="singleLevel"/>
    <w:tmpl w:val="C27898DC"/>
    <w:lvl w:ilvl="0" w:tentative="0">
      <w:start w:val="1"/>
      <w:numFmt w:val="decimal"/>
      <w:suff w:val="nothing"/>
      <w:lvlText w:val="%1、"/>
      <w:lvlJc w:val="left"/>
    </w:lvl>
  </w:abstractNum>
  <w:abstractNum w:abstractNumId="3">
    <w:nsid w:val="F80C6D18"/>
    <w:multiLevelType w:val="singleLevel"/>
    <w:tmpl w:val="F80C6D18"/>
    <w:lvl w:ilvl="0" w:tentative="0">
      <w:start w:val="1"/>
      <w:numFmt w:val="decimal"/>
      <w:lvlText w:val="%1."/>
      <w:lvlJc w:val="left"/>
      <w:pPr>
        <w:ind w:left="425" w:hanging="425"/>
      </w:pPr>
      <w:rPr>
        <w:rFonts w:hint="default"/>
      </w:rPr>
    </w:lvl>
  </w:abstractNum>
  <w:abstractNum w:abstractNumId="4">
    <w:nsid w:val="248CC39E"/>
    <w:multiLevelType w:val="singleLevel"/>
    <w:tmpl w:val="248CC39E"/>
    <w:lvl w:ilvl="0" w:tentative="0">
      <w:start w:val="1"/>
      <w:numFmt w:val="decimal"/>
      <w:suff w:val="nothing"/>
      <w:lvlText w:val="%1、"/>
      <w:lvlJc w:val="left"/>
    </w:lvl>
  </w:abstractNum>
  <w:abstractNum w:abstractNumId="5">
    <w:nsid w:val="3B4C6469"/>
    <w:multiLevelType w:val="singleLevel"/>
    <w:tmpl w:val="3B4C6469"/>
    <w:lvl w:ilvl="0" w:tentative="0">
      <w:start w:val="1"/>
      <w:numFmt w:val="chineseCounting"/>
      <w:suff w:val="nothing"/>
      <w:lvlText w:val="%1、"/>
      <w:lvlJc w:val="left"/>
      <w:rPr>
        <w:rFonts w:hint="eastAsia"/>
      </w:rPr>
    </w:lvl>
  </w:abstractNum>
  <w:abstractNum w:abstractNumId="6">
    <w:nsid w:val="59DF15A8"/>
    <w:multiLevelType w:val="singleLevel"/>
    <w:tmpl w:val="59DF15A8"/>
    <w:lvl w:ilvl="0" w:tentative="0">
      <w:start w:val="1"/>
      <w:numFmt w:val="chineseCounting"/>
      <w:suff w:val="nothing"/>
      <w:lvlText w:val="%1、"/>
      <w:lvlJc w:val="left"/>
    </w:lvl>
  </w:abstractNum>
  <w:abstractNum w:abstractNumId="7">
    <w:nsid w:val="64282896"/>
    <w:multiLevelType w:val="singleLevel"/>
    <w:tmpl w:val="64282896"/>
    <w:lvl w:ilvl="0" w:tentative="0">
      <w:start w:val="3"/>
      <w:numFmt w:val="decimal"/>
      <w:suff w:val="nothing"/>
      <w:lvlText w:val="（%1）"/>
      <w:lvlJc w:val="left"/>
    </w:lvl>
  </w:abstractNum>
  <w:abstractNum w:abstractNumId="8">
    <w:nsid w:val="697E1052"/>
    <w:multiLevelType w:val="singleLevel"/>
    <w:tmpl w:val="697E1052"/>
    <w:lvl w:ilvl="0" w:tentative="0">
      <w:start w:val="2"/>
      <w:numFmt w:val="decimal"/>
      <w:suff w:val="nothing"/>
      <w:lvlText w:val="%1、"/>
      <w:lvlJc w:val="left"/>
    </w:lvl>
  </w:abstractNum>
  <w:num w:numId="1">
    <w:abstractNumId w:val="1"/>
  </w:num>
  <w:num w:numId="2">
    <w:abstractNumId w:val="3"/>
  </w:num>
  <w:num w:numId="3">
    <w:abstractNumId w:val="7"/>
  </w:num>
  <w:num w:numId="4">
    <w:abstractNumId w:val="5"/>
  </w:num>
  <w:num w:numId="5">
    <w:abstractNumId w:val="4"/>
  </w:num>
  <w:num w:numId="6">
    <w:abstractNumId w:val="0"/>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8576E"/>
    <w:rsid w:val="001F4077"/>
    <w:rsid w:val="00211B36"/>
    <w:rsid w:val="002249C4"/>
    <w:rsid w:val="002505B3"/>
    <w:rsid w:val="00283FD8"/>
    <w:rsid w:val="002C3950"/>
    <w:rsid w:val="00306B48"/>
    <w:rsid w:val="003070D6"/>
    <w:rsid w:val="00323B43"/>
    <w:rsid w:val="003A1E9D"/>
    <w:rsid w:val="003D37D8"/>
    <w:rsid w:val="004110E9"/>
    <w:rsid w:val="00417760"/>
    <w:rsid w:val="00426133"/>
    <w:rsid w:val="004358AB"/>
    <w:rsid w:val="00471079"/>
    <w:rsid w:val="00592214"/>
    <w:rsid w:val="005B4652"/>
    <w:rsid w:val="005E08ED"/>
    <w:rsid w:val="00622FF8"/>
    <w:rsid w:val="00691843"/>
    <w:rsid w:val="006B377F"/>
    <w:rsid w:val="006E1C3A"/>
    <w:rsid w:val="006F41C3"/>
    <w:rsid w:val="007B250A"/>
    <w:rsid w:val="007E1ACF"/>
    <w:rsid w:val="007E643D"/>
    <w:rsid w:val="008B7726"/>
    <w:rsid w:val="009419DA"/>
    <w:rsid w:val="009A2CBD"/>
    <w:rsid w:val="009C49A1"/>
    <w:rsid w:val="009D10CF"/>
    <w:rsid w:val="009D6FF1"/>
    <w:rsid w:val="00A0006D"/>
    <w:rsid w:val="00A869B4"/>
    <w:rsid w:val="00B92E99"/>
    <w:rsid w:val="00BC175B"/>
    <w:rsid w:val="00C15329"/>
    <w:rsid w:val="00C15A78"/>
    <w:rsid w:val="00D31D50"/>
    <w:rsid w:val="00D411BE"/>
    <w:rsid w:val="00E1067E"/>
    <w:rsid w:val="00ED15B2"/>
    <w:rsid w:val="00EE0CDC"/>
    <w:rsid w:val="00F10A25"/>
    <w:rsid w:val="00F7051B"/>
    <w:rsid w:val="030F55D8"/>
    <w:rsid w:val="04034BB7"/>
    <w:rsid w:val="05114DAC"/>
    <w:rsid w:val="08B42527"/>
    <w:rsid w:val="09684A60"/>
    <w:rsid w:val="09E2799A"/>
    <w:rsid w:val="0A2E4F8D"/>
    <w:rsid w:val="0A317981"/>
    <w:rsid w:val="0A6332EE"/>
    <w:rsid w:val="0B6F19B3"/>
    <w:rsid w:val="0D28407F"/>
    <w:rsid w:val="0E377813"/>
    <w:rsid w:val="0ED71AC5"/>
    <w:rsid w:val="0EEE77D9"/>
    <w:rsid w:val="0FB523C6"/>
    <w:rsid w:val="123978B9"/>
    <w:rsid w:val="128F57E9"/>
    <w:rsid w:val="13FF679D"/>
    <w:rsid w:val="14D444D3"/>
    <w:rsid w:val="154D60B2"/>
    <w:rsid w:val="15CB6E46"/>
    <w:rsid w:val="1611428D"/>
    <w:rsid w:val="16FE6EC5"/>
    <w:rsid w:val="1A2D0359"/>
    <w:rsid w:val="1C434755"/>
    <w:rsid w:val="1C451D4F"/>
    <w:rsid w:val="1CF07598"/>
    <w:rsid w:val="1D5E2813"/>
    <w:rsid w:val="1D9B1A9A"/>
    <w:rsid w:val="1E775939"/>
    <w:rsid w:val="1FF60280"/>
    <w:rsid w:val="2044274A"/>
    <w:rsid w:val="2164271A"/>
    <w:rsid w:val="21746066"/>
    <w:rsid w:val="224C03E9"/>
    <w:rsid w:val="23F776B4"/>
    <w:rsid w:val="2589504F"/>
    <w:rsid w:val="25CF25F5"/>
    <w:rsid w:val="26C06F95"/>
    <w:rsid w:val="27263FC2"/>
    <w:rsid w:val="274861D2"/>
    <w:rsid w:val="277754D8"/>
    <w:rsid w:val="27F4756C"/>
    <w:rsid w:val="28220F36"/>
    <w:rsid w:val="2B4257FE"/>
    <w:rsid w:val="2B4C2ABB"/>
    <w:rsid w:val="2B6B7D99"/>
    <w:rsid w:val="2BA9055F"/>
    <w:rsid w:val="2C2B7A7C"/>
    <w:rsid w:val="2C39736E"/>
    <w:rsid w:val="2D2868CA"/>
    <w:rsid w:val="2E090360"/>
    <w:rsid w:val="2F041548"/>
    <w:rsid w:val="2F221116"/>
    <w:rsid w:val="2FC511D8"/>
    <w:rsid w:val="30964095"/>
    <w:rsid w:val="31C22887"/>
    <w:rsid w:val="31DC0353"/>
    <w:rsid w:val="327B225B"/>
    <w:rsid w:val="33D253B1"/>
    <w:rsid w:val="354C2602"/>
    <w:rsid w:val="358124E6"/>
    <w:rsid w:val="35AA614C"/>
    <w:rsid w:val="36596D9B"/>
    <w:rsid w:val="37006381"/>
    <w:rsid w:val="378E29E5"/>
    <w:rsid w:val="38254FA4"/>
    <w:rsid w:val="388375A1"/>
    <w:rsid w:val="39FF2BC3"/>
    <w:rsid w:val="3A12420D"/>
    <w:rsid w:val="3AEC57BA"/>
    <w:rsid w:val="3D0A369F"/>
    <w:rsid w:val="3D671DED"/>
    <w:rsid w:val="3F9D7571"/>
    <w:rsid w:val="405705CD"/>
    <w:rsid w:val="40572169"/>
    <w:rsid w:val="434B5D7E"/>
    <w:rsid w:val="43EB4A1A"/>
    <w:rsid w:val="44565621"/>
    <w:rsid w:val="450816CB"/>
    <w:rsid w:val="47F72449"/>
    <w:rsid w:val="48830644"/>
    <w:rsid w:val="4A0009D8"/>
    <w:rsid w:val="4B886AA9"/>
    <w:rsid w:val="4BEC4436"/>
    <w:rsid w:val="4BFB5AAB"/>
    <w:rsid w:val="4F4C68C3"/>
    <w:rsid w:val="4F9733FF"/>
    <w:rsid w:val="51CA63E3"/>
    <w:rsid w:val="51E76D04"/>
    <w:rsid w:val="52CD79EB"/>
    <w:rsid w:val="54513795"/>
    <w:rsid w:val="548710D6"/>
    <w:rsid w:val="54C57F48"/>
    <w:rsid w:val="551B0813"/>
    <w:rsid w:val="56EB22BD"/>
    <w:rsid w:val="57471815"/>
    <w:rsid w:val="59B109A5"/>
    <w:rsid w:val="5A371EAC"/>
    <w:rsid w:val="5BD54274"/>
    <w:rsid w:val="5CF22CD7"/>
    <w:rsid w:val="5DD94906"/>
    <w:rsid w:val="5E190F14"/>
    <w:rsid w:val="5E3D77C1"/>
    <w:rsid w:val="5EB848FE"/>
    <w:rsid w:val="5FFD70CB"/>
    <w:rsid w:val="608C0E6A"/>
    <w:rsid w:val="63344026"/>
    <w:rsid w:val="63EF4196"/>
    <w:rsid w:val="653F3966"/>
    <w:rsid w:val="660E6EEF"/>
    <w:rsid w:val="68A44AC3"/>
    <w:rsid w:val="6BCE021E"/>
    <w:rsid w:val="6C17115A"/>
    <w:rsid w:val="6E2F6EF2"/>
    <w:rsid w:val="6E69674B"/>
    <w:rsid w:val="6F975F99"/>
    <w:rsid w:val="70D92F1D"/>
    <w:rsid w:val="71847052"/>
    <w:rsid w:val="71ED5F6E"/>
    <w:rsid w:val="7282274F"/>
    <w:rsid w:val="72E946DB"/>
    <w:rsid w:val="734B367B"/>
    <w:rsid w:val="738B298A"/>
    <w:rsid w:val="73AB6E51"/>
    <w:rsid w:val="766E7EF0"/>
    <w:rsid w:val="78EC415C"/>
    <w:rsid w:val="79F332FC"/>
    <w:rsid w:val="7A3C5A1C"/>
    <w:rsid w:val="7AB32952"/>
    <w:rsid w:val="7AEB1A85"/>
    <w:rsid w:val="7B1233B4"/>
    <w:rsid w:val="7D1403BA"/>
    <w:rsid w:val="7DDC6450"/>
    <w:rsid w:val="7E445C89"/>
    <w:rsid w:val="7F016918"/>
    <w:rsid w:val="E6FE8B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imes New Roman" w:hAnsi="Times New Roman" w:eastAsia="宋体" w:cstheme="minorBidi"/>
      <w:sz w:val="24"/>
      <w:szCs w:val="22"/>
      <w:lang w:val="en-US" w:eastAsia="zh-CN" w:bidi="ar-SA"/>
    </w:rPr>
  </w:style>
  <w:style w:type="paragraph" w:styleId="3">
    <w:name w:val="heading 1"/>
    <w:basedOn w:val="1"/>
    <w:next w:val="1"/>
    <w:link w:val="29"/>
    <w:qFormat/>
    <w:uiPriority w:val="9"/>
    <w:pPr>
      <w:keepNext/>
      <w:keepLines/>
      <w:spacing w:before="10" w:beforeLines="10" w:line="520" w:lineRule="exact"/>
      <w:outlineLvl w:val="0"/>
    </w:pPr>
    <w:rPr>
      <w:rFonts w:ascii="Times New Roman" w:hAnsi="Times New Roman" w:eastAsia="仿宋_GB2312"/>
      <w:b/>
      <w:bCs/>
      <w:sz w:val="28"/>
      <w:szCs w:val="44"/>
    </w:rPr>
  </w:style>
  <w:style w:type="paragraph" w:styleId="4">
    <w:name w:val="heading 2"/>
    <w:basedOn w:val="5"/>
    <w:next w:val="1"/>
    <w:unhideWhenUsed/>
    <w:qFormat/>
    <w:uiPriority w:val="9"/>
    <w:pPr>
      <w:spacing w:beforeLines="0" w:afterLines="0"/>
      <w:ind w:left="215"/>
      <w:outlineLvl w:val="1"/>
    </w:pPr>
    <w:rPr>
      <w:rFonts w:hint="eastAsia"/>
      <w:b/>
      <w:sz w:val="24"/>
    </w:rPr>
  </w:style>
  <w:style w:type="paragraph" w:styleId="6">
    <w:name w:val="heading 3"/>
    <w:basedOn w:val="1"/>
    <w:next w:val="1"/>
    <w:unhideWhenUsed/>
    <w:qFormat/>
    <w:uiPriority w:val="9"/>
    <w:pPr>
      <w:keepNext/>
      <w:keepLines/>
      <w:spacing w:line="480" w:lineRule="auto"/>
      <w:ind w:firstLine="0" w:firstLineChars="0"/>
      <w:outlineLvl w:val="2"/>
    </w:pPr>
    <w:rPr>
      <w:b/>
      <w:bCs/>
      <w:sz w:val="28"/>
      <w:szCs w:val="32"/>
    </w:rPr>
  </w:style>
  <w:style w:type="paragraph" w:styleId="7">
    <w:name w:val="heading 4"/>
    <w:basedOn w:val="1"/>
    <w:next w:val="1"/>
    <w:qFormat/>
    <w:uiPriority w:val="1"/>
    <w:pPr>
      <w:ind w:left="498"/>
      <w:outlineLvl w:val="4"/>
    </w:pPr>
    <w:rPr>
      <w:rFonts w:ascii="微软雅黑" w:hAnsi="微软雅黑" w:eastAsia="微软雅黑" w:cs="微软雅黑"/>
      <w:b/>
      <w:bCs/>
      <w:sz w:val="24"/>
      <w:szCs w:val="24"/>
      <w:lang w:val="zh-CN" w:eastAsia="zh-CN" w:bidi="zh-CN"/>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320" w:lineRule="exact"/>
      <w:ind w:left="113" w:right="113"/>
      <w:jc w:val="center"/>
    </w:pPr>
    <w:rPr>
      <w:rFonts w:ascii="Calibri" w:hAnsi="Calibri" w:eastAsia="宋体"/>
      <w:sz w:val="24"/>
      <w:szCs w:val="15"/>
    </w:rPr>
  </w:style>
  <w:style w:type="paragraph" w:styleId="5">
    <w:name w:val="caption"/>
    <w:basedOn w:val="1"/>
    <w:next w:val="1"/>
    <w:qFormat/>
    <w:uiPriority w:val="0"/>
    <w:rPr>
      <w:rFonts w:ascii="Arial" w:hAnsi="Arial" w:eastAsia="黑体"/>
      <w:sz w:val="20"/>
      <w:szCs w:val="20"/>
    </w:rPr>
  </w:style>
  <w:style w:type="paragraph" w:styleId="8">
    <w:name w:val="Normal Indent"/>
    <w:basedOn w:val="1"/>
    <w:next w:val="1"/>
    <w:qFormat/>
    <w:uiPriority w:val="0"/>
    <w:pPr>
      <w:ind w:firstLine="420"/>
    </w:pPr>
    <w:rPr>
      <w:szCs w:val="20"/>
    </w:rPr>
  </w:style>
  <w:style w:type="paragraph" w:styleId="9">
    <w:name w:val="annotation text"/>
    <w:basedOn w:val="1"/>
    <w:unhideWhenUsed/>
    <w:qFormat/>
    <w:uiPriority w:val="99"/>
    <w:pPr>
      <w:jc w:val="left"/>
    </w:pPr>
  </w:style>
  <w:style w:type="paragraph" w:styleId="10">
    <w:name w:val="Body Text"/>
    <w:basedOn w:val="1"/>
    <w:next w:val="1"/>
    <w:unhideWhenUsed/>
    <w:qFormat/>
    <w:uiPriority w:val="99"/>
    <w:pPr>
      <w:spacing w:after="120"/>
    </w:pPr>
  </w:style>
  <w:style w:type="paragraph" w:styleId="11">
    <w:name w:val="Body Text Indent"/>
    <w:basedOn w:val="1"/>
    <w:unhideWhenUsed/>
    <w:qFormat/>
    <w:uiPriority w:val="99"/>
    <w:pPr>
      <w:spacing w:line="360" w:lineRule="auto"/>
      <w:ind w:firstLine="420"/>
    </w:pPr>
    <w:rPr>
      <w:rFonts w:ascii="宋体" w:hAnsi="宋体"/>
      <w:sz w:val="24"/>
    </w:rPr>
  </w:style>
  <w:style w:type="paragraph" w:styleId="12">
    <w:name w:val="Plain Text"/>
    <w:basedOn w:val="1"/>
    <w:qFormat/>
    <w:uiPriority w:val="0"/>
    <w:rPr>
      <w:rFonts w:ascii="宋体" w:hAnsi="Courier New"/>
      <w:szCs w:val="20"/>
    </w:rPr>
  </w:style>
  <w:style w:type="paragraph" w:styleId="13">
    <w:name w:val="Date"/>
    <w:basedOn w:val="1"/>
    <w:next w:val="1"/>
    <w:qFormat/>
    <w:uiPriority w:val="99"/>
    <w:rPr>
      <w:szCs w:val="20"/>
    </w:rPr>
  </w:style>
  <w:style w:type="paragraph" w:styleId="14">
    <w:name w:val="Body Text Indent 2"/>
    <w:basedOn w:val="1"/>
    <w:qFormat/>
    <w:uiPriority w:val="0"/>
    <w:pPr>
      <w:spacing w:after="120"/>
      <w:ind w:left="200" w:leftChars="200" w:firstLine="200"/>
    </w:pPr>
  </w:style>
  <w:style w:type="paragraph" w:styleId="15">
    <w:name w:val="footer"/>
    <w:basedOn w:val="1"/>
    <w:unhideWhenUsed/>
    <w:qFormat/>
    <w:uiPriority w:val="99"/>
    <w:pPr>
      <w:tabs>
        <w:tab w:val="center" w:pos="4153"/>
        <w:tab w:val="right" w:pos="8306"/>
      </w:tabs>
      <w:snapToGrid w:val="0"/>
      <w:jc w:val="left"/>
    </w:pPr>
    <w:rPr>
      <w:sz w:val="18"/>
    </w:rPr>
  </w:style>
  <w:style w:type="paragraph" w:styleId="16">
    <w:name w:val="header"/>
    <w:basedOn w:val="1"/>
    <w:next w:val="10"/>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List"/>
    <w:basedOn w:val="1"/>
    <w:qFormat/>
    <w:uiPriority w:val="0"/>
    <w:pPr>
      <w:ind w:left="200" w:hanging="200" w:hangingChars="200"/>
    </w:pPr>
    <w:rPr>
      <w:szCs w:val="20"/>
    </w:rPr>
  </w:style>
  <w:style w:type="paragraph" w:styleId="1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9">
    <w:name w:val="Body Text First Indent"/>
    <w:basedOn w:val="10"/>
    <w:unhideWhenUsed/>
    <w:qFormat/>
    <w:uiPriority w:val="99"/>
    <w:pPr>
      <w:ind w:firstLine="420" w:firstLineChars="100"/>
    </w:pPr>
    <w:rPr>
      <w:szCs w:val="20"/>
    </w:rPr>
  </w:style>
  <w:style w:type="paragraph" w:styleId="20">
    <w:name w:val="Body Text First Indent 2"/>
    <w:basedOn w:val="11"/>
    <w:qFormat/>
    <w:uiPriority w:val="0"/>
    <w:pPr>
      <w:spacing w:after="120" w:afterLines="0" w:line="240" w:lineRule="auto"/>
      <w:ind w:left="420" w:leftChars="200" w:firstLine="420" w:firstLineChars="200"/>
      <w:jc w:val="both"/>
    </w:pPr>
    <w:rPr>
      <w:sz w:val="21"/>
      <w:szCs w:val="24"/>
    </w:rPr>
  </w:style>
  <w:style w:type="table" w:styleId="22">
    <w:name w:val="Table Grid"/>
    <w:basedOn w:val="2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rPr>
  </w:style>
  <w:style w:type="character" w:styleId="25">
    <w:name w:val="page number"/>
    <w:basedOn w:val="23"/>
    <w:unhideWhenUsed/>
    <w:qFormat/>
    <w:uiPriority w:val="99"/>
  </w:style>
  <w:style w:type="character" w:styleId="26">
    <w:name w:val="Hyperlink"/>
    <w:qFormat/>
    <w:uiPriority w:val="99"/>
    <w:rPr>
      <w:color w:val="0000FF"/>
      <w:u w:val="single"/>
    </w:rPr>
  </w:style>
  <w:style w:type="paragraph" w:customStyle="1" w:styleId="27">
    <w:name w:val="List Paragraph"/>
    <w:basedOn w:val="1"/>
    <w:qFormat/>
    <w:uiPriority w:val="34"/>
    <w:pPr>
      <w:ind w:firstLine="420" w:firstLineChars="200"/>
    </w:pPr>
  </w:style>
  <w:style w:type="paragraph" w:customStyle="1" w:styleId="28">
    <w:name w:val=" Char Char Char Char"/>
    <w:basedOn w:val="1"/>
    <w:qFormat/>
    <w:uiPriority w:val="0"/>
    <w:pPr>
      <w:widowControl w:val="0"/>
      <w:adjustRightInd/>
      <w:snapToGrid/>
      <w:spacing w:after="0"/>
      <w:jc w:val="both"/>
    </w:pPr>
    <w:rPr>
      <w:rFonts w:ascii="Times New Roman" w:hAnsi="Times New Roman" w:eastAsia="宋体" w:cs="Times New Roman"/>
      <w:kern w:val="2"/>
      <w:sz w:val="21"/>
      <w:szCs w:val="24"/>
    </w:rPr>
  </w:style>
  <w:style w:type="character" w:customStyle="1" w:styleId="29">
    <w:name w:val="标题 1 Char1"/>
    <w:link w:val="3"/>
    <w:qFormat/>
    <w:uiPriority w:val="0"/>
    <w:rPr>
      <w:rFonts w:ascii="Times New Roman" w:hAnsi="Times New Roman" w:eastAsia="仿宋_GB2312"/>
      <w:b/>
      <w:bCs/>
      <w:sz w:val="28"/>
      <w:szCs w:val="44"/>
    </w:rPr>
  </w:style>
  <w:style w:type="paragraph" w:customStyle="1" w:styleId="30">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31">
    <w:name w:val="Table Paragraph"/>
    <w:basedOn w:val="1"/>
    <w:unhideWhenUsed/>
    <w:qFormat/>
    <w:uiPriority w:val="1"/>
    <w:pPr>
      <w:spacing w:beforeLines="0" w:afterLines="0"/>
    </w:pPr>
    <w:rPr>
      <w:rFonts w:hint="eastAsia"/>
      <w:sz w:val="24"/>
    </w:rPr>
  </w:style>
  <w:style w:type="paragraph" w:customStyle="1" w:styleId="32">
    <w:name w:val="Other|1"/>
    <w:basedOn w:val="1"/>
    <w:qFormat/>
    <w:uiPriority w:val="0"/>
    <w:pPr>
      <w:widowControl w:val="0"/>
      <w:shd w:val="clear" w:color="auto" w:fill="auto"/>
      <w:spacing w:line="432" w:lineRule="auto"/>
      <w:ind w:firstLine="400"/>
    </w:pPr>
    <w:rPr>
      <w:rFonts w:ascii="宋体" w:hAnsi="宋体" w:eastAsia="宋体" w:cs="宋体"/>
      <w:sz w:val="22"/>
      <w:szCs w:val="22"/>
      <w:u w:val="none"/>
      <w:shd w:val="clear" w:color="auto" w:fill="auto"/>
      <w:lang w:val="zh-TW" w:eastAsia="zh-TW" w:bidi="zh-TW"/>
    </w:rPr>
  </w:style>
  <w:style w:type="paragraph" w:customStyle="1" w:styleId="33">
    <w:name w:val="Other|2"/>
    <w:basedOn w:val="1"/>
    <w:qFormat/>
    <w:uiPriority w:val="0"/>
    <w:pPr>
      <w:widowControl w:val="0"/>
      <w:shd w:val="clear" w:color="auto" w:fill="auto"/>
    </w:pPr>
    <w:rPr>
      <w:rFonts w:ascii="宋体" w:hAnsi="宋体" w:eastAsia="宋体" w:cs="宋体"/>
      <w:sz w:val="18"/>
      <w:szCs w:val="18"/>
      <w:u w:val="none"/>
      <w:shd w:val="clear" w:color="auto" w:fill="auto"/>
      <w:lang w:val="zh-TW" w:eastAsia="zh-TW" w:bidi="zh-TW"/>
    </w:rPr>
  </w:style>
  <w:style w:type="paragraph" w:customStyle="1" w:styleId="34">
    <w:name w:val="Header or footer|1"/>
    <w:basedOn w:val="1"/>
    <w:qFormat/>
    <w:uiPriority w:val="0"/>
    <w:pPr>
      <w:widowControl w:val="0"/>
      <w:shd w:val="clear" w:color="auto" w:fill="auto"/>
    </w:pPr>
    <w:rPr>
      <w:b/>
      <w:bCs/>
      <w:sz w:val="17"/>
      <w:szCs w:val="17"/>
      <w:u w:val="none"/>
      <w:shd w:val="clear" w:color="auto" w:fill="auto"/>
      <w:lang w:val="zh-TW" w:eastAsia="zh-TW" w:bidi="zh-TW"/>
    </w:rPr>
  </w:style>
  <w:style w:type="paragraph" w:customStyle="1" w:styleId="35">
    <w:name w:val="Body text|1"/>
    <w:basedOn w:val="1"/>
    <w:qFormat/>
    <w:uiPriority w:val="0"/>
    <w:pPr>
      <w:widowControl w:val="0"/>
      <w:shd w:val="clear" w:color="auto" w:fill="auto"/>
      <w:spacing w:line="444" w:lineRule="auto"/>
      <w:ind w:firstLine="400"/>
    </w:pPr>
    <w:rPr>
      <w:rFonts w:ascii="宋体" w:hAnsi="宋体" w:eastAsia="宋体" w:cs="宋体"/>
      <w:sz w:val="20"/>
      <w:szCs w:val="20"/>
      <w:u w:val="none"/>
      <w:shd w:val="clear" w:color="auto" w:fill="auto"/>
      <w:lang w:val="zh-TW" w:eastAsia="zh-TW" w:bidi="zh-TW"/>
    </w:rPr>
  </w:style>
  <w:style w:type="paragraph" w:customStyle="1" w:styleId="36">
    <w:name w:val="Body text|2"/>
    <w:basedOn w:val="1"/>
    <w:qFormat/>
    <w:uiPriority w:val="0"/>
    <w:pPr>
      <w:widowControl w:val="0"/>
      <w:shd w:val="clear" w:color="auto" w:fill="auto"/>
      <w:spacing w:after="100"/>
    </w:pPr>
    <w:rPr>
      <w:sz w:val="22"/>
      <w:szCs w:val="22"/>
      <w:u w:val="none"/>
      <w:shd w:val="clear" w:color="auto" w:fill="auto"/>
    </w:rPr>
  </w:style>
  <w:style w:type="paragraph" w:customStyle="1" w:styleId="37">
    <w:name w:val="罗罗---报告表格"/>
    <w:basedOn w:val="1"/>
    <w:qFormat/>
    <w:uiPriority w:val="0"/>
    <w:pPr>
      <w:autoSpaceDE w:val="0"/>
      <w:autoSpaceDN w:val="0"/>
      <w:adjustRightInd w:val="0"/>
      <w:spacing w:line="240" w:lineRule="auto"/>
      <w:ind w:firstLine="0" w:firstLineChars="0"/>
      <w:jc w:val="center"/>
    </w:pPr>
    <w:rPr>
      <w:kern w:val="0"/>
      <w:sz w:val="21"/>
      <w:szCs w:val="20"/>
    </w:rPr>
  </w:style>
  <w:style w:type="paragraph" w:customStyle="1" w:styleId="38">
    <w:name w:val="正文-蓝色"/>
    <w:basedOn w:val="1"/>
    <w:next w:val="1"/>
    <w:qFormat/>
    <w:uiPriority w:val="0"/>
    <w:rPr>
      <w:color w:val="0000FF"/>
      <w:kern w:val="0"/>
    </w:rPr>
  </w:style>
  <w:style w:type="paragraph" w:customStyle="1" w:styleId="39">
    <w:name w:val="表格内容"/>
    <w:basedOn w:val="1"/>
    <w:next w:val="1"/>
    <w:qFormat/>
    <w:uiPriority w:val="0"/>
    <w:pPr>
      <w:spacing w:line="240" w:lineRule="auto"/>
      <w:ind w:firstLine="0" w:firstLineChars="0"/>
      <w:jc w:val="center"/>
    </w:pPr>
    <w:rPr>
      <w:rFonts w:eastAsia="Times New Roman" w:cs="Courier New"/>
      <w:sz w:val="21"/>
      <w:szCs w:val="21"/>
    </w:rPr>
  </w:style>
  <w:style w:type="paragraph" w:customStyle="1" w:styleId="40">
    <w:name w:val="无间隔1"/>
    <w:qFormat/>
    <w:uiPriority w:val="99"/>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41">
    <w:name w:val="p0"/>
    <w:qFormat/>
    <w:uiPriority w:val="0"/>
    <w:rPr>
      <w:rFonts w:ascii="Times New Roman" w:hAnsi="Times New Roman" w:eastAsia="宋体" w:cs="Times New Roman"/>
      <w:szCs w:val="21"/>
      <w:lang w:val="en-US" w:eastAsia="zh-CN" w:bidi="ar-SA"/>
    </w:rPr>
  </w:style>
  <w:style w:type="character" w:customStyle="1" w:styleId="42">
    <w:name w:val="font71"/>
    <w:basedOn w:val="23"/>
    <w:qFormat/>
    <w:uiPriority w:val="0"/>
    <w:rPr>
      <w:rFonts w:hint="eastAsia" w:ascii="宋体" w:hAnsi="宋体" w:eastAsia="宋体" w:cs="宋体"/>
      <w:color w:val="0070C0"/>
      <w:sz w:val="32"/>
      <w:szCs w:val="32"/>
      <w:u w:val="none"/>
    </w:rPr>
  </w:style>
  <w:style w:type="paragraph" w:customStyle="1" w:styleId="43">
    <w:name w:val="正文1"/>
    <w:basedOn w:val="14"/>
    <w:qFormat/>
    <w:uiPriority w:val="0"/>
    <w:pPr>
      <w:spacing w:line="312" w:lineRule="auto"/>
      <w:ind w:left="0" w:leftChars="0"/>
    </w:pPr>
  </w:style>
  <w:style w:type="paragraph" w:customStyle="1" w:styleId="44">
    <w:name w:val="表格首行"/>
    <w:basedOn w:val="1"/>
    <w:next w:val="1"/>
    <w:qFormat/>
    <w:uiPriority w:val="0"/>
    <w:pPr>
      <w:spacing w:line="240" w:lineRule="auto"/>
      <w:ind w:firstLine="0" w:firstLineChars="0"/>
      <w:jc w:val="center"/>
    </w:pPr>
    <w:rPr>
      <w:rFonts w:cs="宋体"/>
      <w:b/>
      <w:sz w:val="21"/>
      <w:szCs w:val="20"/>
    </w:rPr>
  </w:style>
  <w:style w:type="paragraph" w:customStyle="1" w:styleId="45">
    <w:name w:val="报告书表格"/>
    <w:basedOn w:val="1"/>
    <w:qFormat/>
    <w:uiPriority w:val="0"/>
    <w:pPr>
      <w:adjustRightInd w:val="0"/>
      <w:snapToGrid w:val="0"/>
      <w:jc w:val="center"/>
      <w:textAlignment w:val="baseline"/>
    </w:pPr>
    <w:rPr>
      <w:kern w:val="0"/>
      <w:szCs w:val="20"/>
    </w:rPr>
  </w:style>
  <w:style w:type="character" w:customStyle="1" w:styleId="46">
    <w:name w:val="fontstyle01"/>
    <w:qFormat/>
    <w:uiPriority w:val="99"/>
    <w:rPr>
      <w:rFonts w:ascii="宋体" w:hAnsi="宋体" w:eastAsia="宋体" w:cs="宋体"/>
      <w:color w:val="000000"/>
      <w:sz w:val="24"/>
      <w:szCs w:val="24"/>
    </w:rPr>
  </w:style>
  <w:style w:type="paragraph" w:customStyle="1" w:styleId="47">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val="en-US" w:eastAsia="zh-CN" w:bidi="ar-SA"/>
    </w:rPr>
  </w:style>
  <w:style w:type="paragraph" w:customStyle="1" w:styleId="48">
    <w:name w:val="样式9"/>
    <w:basedOn w:val="1"/>
    <w:qFormat/>
    <w:uiPriority w:val="0"/>
    <w:pPr>
      <w:adjustRightInd w:val="0"/>
      <w:snapToGrid w:val="0"/>
      <w:spacing w:line="360" w:lineRule="exact"/>
      <w:jc w:val="center"/>
    </w:pPr>
    <w:rPr>
      <w:rFonts w:hAnsi="宋体"/>
      <w:kern w:val="0"/>
      <w:szCs w:val="21"/>
    </w:rPr>
  </w:style>
  <w:style w:type="paragraph" w:customStyle="1" w:styleId="49">
    <w:name w:val="样式10"/>
    <w:basedOn w:val="47"/>
    <w:qFormat/>
    <w:uiPriority w:val="0"/>
    <w:pPr>
      <w:ind w:firstLine="480"/>
    </w:pPr>
  </w:style>
  <w:style w:type="paragraph" w:customStyle="1" w:styleId="5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1">
    <w:name w:val="样式4"/>
    <w:basedOn w:val="1"/>
    <w:qFormat/>
    <w:uiPriority w:val="0"/>
    <w:pPr>
      <w:spacing w:line="360" w:lineRule="auto"/>
    </w:pPr>
    <w:rPr>
      <w:rFonts w:eastAsia="黑体"/>
      <w:b/>
      <w:sz w:val="24"/>
    </w:rPr>
  </w:style>
  <w:style w:type="table" w:customStyle="1" w:styleId="52">
    <w:name w:val="网格型1"/>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412</Words>
  <Characters>2353</Characters>
  <Lines>19</Lines>
  <Paragraphs>5</Paragraphs>
  <TotalTime>3</TotalTime>
  <ScaleCrop>false</ScaleCrop>
  <LinksUpToDate>false</LinksUpToDate>
  <CharactersWithSpaces>2760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2008-09-12T01:20:00Z</dcterms:created>
  <dc:creator>Administrator</dc:creator>
  <cp:lastModifiedBy>阿祥。</cp:lastModifiedBy>
  <cp:lastPrinted>2020-07-03T14:58:00Z</cp:lastPrinted>
  <dcterms:modified xsi:type="dcterms:W3CDTF">2021-02-03T09:32:10Z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