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4" w:firstLineChars="12"/>
        <w:rPr>
          <w:rFonts w:hint="eastAsia" w:eastAsia="宋体"/>
          <w:b/>
          <w:bCs/>
          <w:sz w:val="28"/>
          <w:szCs w:val="28"/>
          <w:lang w:val="en-US" w:eastAsia="zh-CN"/>
        </w:rPr>
      </w:pPr>
    </w:p>
    <w:p>
      <w:pPr>
        <w:ind w:firstLine="33" w:firstLineChars="12"/>
        <w:rPr>
          <w:rFonts w:eastAsia="Times New Roman"/>
          <w:sz w:val="28"/>
          <w:szCs w:val="28"/>
        </w:rPr>
      </w:pPr>
    </w:p>
    <w:p>
      <w:pPr>
        <w:ind w:firstLine="38" w:firstLineChars="12"/>
        <w:rPr>
          <w:rFonts w:eastAsia="Times New Roman"/>
          <w:sz w:val="28"/>
          <w:szCs w:val="28"/>
        </w:rPr>
      </w:pPr>
      <w:r>
        <w:rPr>
          <w:rFonts w:eastAsia="Times New Roman"/>
          <w:snapToGrid w:val="0"/>
          <w:color w:val="FF0000"/>
          <w:kern w:val="0"/>
          <w:sz w:val="32"/>
          <w:szCs w:val="32"/>
        </w:rPr>
        <w:t xml:space="preserve"> </w:t>
      </w:r>
    </w:p>
    <w:p>
      <w:pPr>
        <w:spacing w:before="120" w:beforeLines="50" w:line="360" w:lineRule="auto"/>
        <w:rPr>
          <w:b/>
          <w:bCs/>
          <w:color w:val="FF0000"/>
          <w:sz w:val="36"/>
          <w:szCs w:val="36"/>
        </w:rPr>
      </w:pPr>
    </w:p>
    <w:p>
      <w:pPr>
        <w:jc w:val="center"/>
        <w:rPr>
          <w:b/>
          <w:bCs/>
          <w:sz w:val="52"/>
          <w:szCs w:val="52"/>
        </w:rPr>
      </w:pPr>
    </w:p>
    <w:p>
      <w:pPr>
        <w:jc w:val="center"/>
        <w:rPr>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s="Times New Roman"/>
          <w:b/>
          <w:bCs/>
          <w:sz w:val="48"/>
          <w:szCs w:val="48"/>
          <w:lang w:eastAsia="zh-CN"/>
        </w:rPr>
      </w:pPr>
      <w:r>
        <w:rPr>
          <w:rFonts w:hint="eastAsia" w:cs="Times New Roman"/>
          <w:b/>
          <w:bCs/>
          <w:sz w:val="48"/>
          <w:szCs w:val="48"/>
          <w:lang w:eastAsia="zh-CN"/>
        </w:rPr>
        <w:t>乐至县众诺诚注塑件项目（分期）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48"/>
          <w:szCs w:val="48"/>
        </w:rPr>
      </w:pPr>
      <w:r>
        <w:rPr>
          <w:rFonts w:ascii="Times New Roman" w:hAnsi="Times New Roman" w:cs="Times New Roman"/>
          <w:b/>
          <w:bCs/>
          <w:sz w:val="48"/>
          <w:szCs w:val="48"/>
        </w:rPr>
        <w:t>竣工环境保护验收监测报告表</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360" w:lineRule="auto"/>
        <w:rPr>
          <w:b/>
          <w:bCs/>
          <w:color w:val="FF0000"/>
          <w:sz w:val="30"/>
          <w:szCs w:val="30"/>
        </w:rPr>
      </w:pPr>
    </w:p>
    <w:p>
      <w:pPr>
        <w:ind w:left="3136" w:leftChars="854" w:hanging="1343" w:hangingChars="446"/>
        <w:rPr>
          <w:b/>
          <w:bCs/>
          <w:sz w:val="30"/>
          <w:szCs w:val="30"/>
        </w:rPr>
      </w:pPr>
    </w:p>
    <w:p>
      <w:pPr>
        <w:ind w:left="3136" w:leftChars="854" w:hanging="1343" w:hangingChars="446"/>
        <w:rPr>
          <w:b/>
          <w:bCs/>
          <w:sz w:val="30"/>
          <w:szCs w:val="30"/>
        </w:rPr>
      </w:pPr>
    </w:p>
    <w:tbl>
      <w:tblPr>
        <w:tblStyle w:val="23"/>
        <w:tblW w:w="7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129" w:type="dxa"/>
            <w:tcBorders>
              <w:top w:val="nil"/>
              <w:left w:val="nil"/>
              <w:bottom w:val="nil"/>
              <w:right w:val="nil"/>
            </w:tcBorders>
            <w:vAlign w:val="bottom"/>
          </w:tcPr>
          <w:p>
            <w:pPr>
              <w:jc w:val="center"/>
              <w:rPr>
                <w:rFonts w:hint="eastAsia"/>
                <w:color w:val="auto"/>
                <w:sz w:val="28"/>
                <w:szCs w:val="28"/>
              </w:rPr>
            </w:pPr>
            <w:r>
              <w:rPr>
                <w:rFonts w:hint="eastAsia"/>
                <w:b/>
                <w:bCs/>
                <w:color w:val="auto"/>
                <w:sz w:val="32"/>
                <w:szCs w:val="32"/>
                <w:lang w:eastAsia="zh-CN"/>
              </w:rPr>
              <w:t>建设</w:t>
            </w:r>
            <w:r>
              <w:rPr>
                <w:rFonts w:hint="eastAsia"/>
                <w:b/>
                <w:bCs/>
                <w:color w:val="auto"/>
                <w:sz w:val="32"/>
                <w:szCs w:val="32"/>
              </w:rPr>
              <w:t>单位：</w:t>
            </w:r>
          </w:p>
        </w:tc>
        <w:tc>
          <w:tcPr>
            <w:tcW w:w="5670" w:type="dxa"/>
            <w:tcBorders>
              <w:top w:val="nil"/>
              <w:left w:val="nil"/>
              <w:right w:val="nil"/>
            </w:tcBorders>
            <w:vAlign w:val="bottom"/>
          </w:tcPr>
          <w:p>
            <w:pPr>
              <w:jc w:val="center"/>
              <w:rPr>
                <w:rFonts w:hint="eastAsia" w:ascii="Times New Roman" w:hAnsi="Times New Roman" w:cs="Times New Roman"/>
                <w:b/>
                <w:bCs/>
                <w:color w:val="auto"/>
                <w:sz w:val="32"/>
                <w:szCs w:val="32"/>
                <w:lang w:val="en-US" w:eastAsia="zh-CN"/>
              </w:rPr>
            </w:pPr>
            <w:r>
              <w:rPr>
                <w:rFonts w:hint="eastAsia" w:cs="Times New Roman"/>
                <w:b/>
                <w:bCs/>
                <w:color w:val="auto"/>
                <w:sz w:val="32"/>
                <w:szCs w:val="32"/>
                <w:lang w:val="en-US" w:eastAsia="zh-CN"/>
              </w:rPr>
              <w:t>资阳众诺诚塑料制品有限责任公司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129" w:type="dxa"/>
            <w:tcBorders>
              <w:top w:val="nil"/>
              <w:left w:val="nil"/>
              <w:bottom w:val="nil"/>
              <w:right w:val="nil"/>
            </w:tcBorders>
            <w:vAlign w:val="bottom"/>
          </w:tcPr>
          <w:p>
            <w:pPr>
              <w:jc w:val="center"/>
              <w:rPr>
                <w:rFonts w:hint="eastAsia"/>
                <w:color w:val="auto"/>
                <w:sz w:val="28"/>
                <w:szCs w:val="28"/>
              </w:rPr>
            </w:pPr>
            <w:r>
              <w:rPr>
                <w:rFonts w:hint="eastAsia"/>
                <w:b/>
                <w:bCs/>
                <w:color w:val="auto"/>
                <w:sz w:val="32"/>
                <w:szCs w:val="32"/>
                <w:lang w:val="en-US" w:eastAsia="zh-CN"/>
              </w:rPr>
              <w:t>编制</w:t>
            </w:r>
            <w:r>
              <w:rPr>
                <w:rFonts w:hint="eastAsia"/>
                <w:b/>
                <w:bCs/>
                <w:color w:val="auto"/>
                <w:sz w:val="32"/>
                <w:szCs w:val="32"/>
              </w:rPr>
              <w:t>单位：</w:t>
            </w:r>
          </w:p>
        </w:tc>
        <w:tc>
          <w:tcPr>
            <w:tcW w:w="5670" w:type="dxa"/>
            <w:tcBorders>
              <w:left w:val="nil"/>
              <w:right w:val="nil"/>
            </w:tcBorders>
            <w:vAlign w:val="bottom"/>
          </w:tcPr>
          <w:p>
            <w:pPr>
              <w:jc w:val="center"/>
              <w:rPr>
                <w:rFonts w:hint="default" w:ascii="Times New Roman" w:hAnsi="Times New Roman" w:eastAsia="宋体" w:cs="Times New Roman"/>
                <w:b/>
                <w:bCs/>
                <w:color w:val="auto"/>
                <w:kern w:val="2"/>
                <w:sz w:val="32"/>
                <w:szCs w:val="32"/>
                <w:lang w:val="en-US" w:eastAsia="zh-CN" w:bidi="ar-SA"/>
              </w:rPr>
            </w:pPr>
            <w:r>
              <w:rPr>
                <w:rFonts w:hint="eastAsia" w:cs="Times New Roman"/>
                <w:b/>
                <w:bCs/>
                <w:color w:val="auto"/>
                <w:sz w:val="32"/>
                <w:szCs w:val="32"/>
                <w:lang w:val="en-US" w:eastAsia="zh-CN"/>
              </w:rPr>
              <w:t>资阳众诺诚塑料制品有限责任公司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2129" w:type="dxa"/>
            <w:tcBorders>
              <w:top w:val="nil"/>
              <w:left w:val="nil"/>
              <w:bottom w:val="nil"/>
              <w:right w:val="nil"/>
            </w:tcBorders>
            <w:vAlign w:val="bottom"/>
          </w:tcPr>
          <w:p>
            <w:pPr>
              <w:jc w:val="center"/>
              <w:rPr>
                <w:rFonts w:hint="eastAsia"/>
                <w:b/>
                <w:bCs/>
                <w:color w:val="auto"/>
                <w:sz w:val="32"/>
                <w:szCs w:val="32"/>
                <w:lang w:val="en-US" w:eastAsia="zh-CN"/>
              </w:rPr>
            </w:pPr>
            <w:r>
              <w:rPr>
                <w:rFonts w:hint="eastAsia"/>
                <w:b/>
                <w:bCs/>
                <w:color w:val="auto"/>
                <w:sz w:val="32"/>
                <w:szCs w:val="32"/>
                <w:lang w:val="en-US" w:eastAsia="zh-CN"/>
              </w:rPr>
              <w:t>编制日期：</w:t>
            </w:r>
          </w:p>
        </w:tc>
        <w:tc>
          <w:tcPr>
            <w:tcW w:w="5670" w:type="dxa"/>
            <w:tcBorders>
              <w:left w:val="nil"/>
              <w:right w:val="nil"/>
            </w:tcBorders>
            <w:vAlign w:val="bottom"/>
          </w:tcPr>
          <w:p>
            <w:pPr>
              <w:jc w:val="center"/>
              <w:rPr>
                <w:rFonts w:hint="eastAsia" w:cs="Times New Roman"/>
                <w:b/>
                <w:bCs/>
                <w:color w:val="auto"/>
                <w:sz w:val="32"/>
                <w:szCs w:val="32"/>
                <w:lang w:val="en-US" w:eastAsia="zh-CN"/>
              </w:rPr>
            </w:pPr>
            <w:r>
              <w:rPr>
                <w:rFonts w:hint="eastAsia" w:cs="Times New Roman"/>
                <w:b/>
                <w:bCs/>
                <w:color w:val="auto"/>
                <w:sz w:val="32"/>
                <w:szCs w:val="32"/>
                <w:lang w:val="en-US" w:eastAsia="zh-CN"/>
              </w:rPr>
              <w:t>二〇二二年八月</w:t>
            </w:r>
          </w:p>
        </w:tc>
      </w:tr>
    </w:tbl>
    <w:p>
      <w:pPr>
        <w:spacing w:line="360" w:lineRule="auto"/>
        <w:rPr>
          <w:b/>
          <w:bCs/>
          <w:sz w:val="32"/>
          <w:szCs w:val="32"/>
        </w:rPr>
      </w:pPr>
    </w:p>
    <w:p>
      <w:pPr>
        <w:spacing w:line="360" w:lineRule="auto"/>
        <w:rPr>
          <w:b/>
          <w:bCs/>
          <w:sz w:val="32"/>
          <w:szCs w:val="32"/>
        </w:rPr>
      </w:pPr>
    </w:p>
    <w:p>
      <w:pPr>
        <w:rPr>
          <w:sz w:val="32"/>
          <w:szCs w:val="32"/>
        </w:rPr>
      </w:pPr>
    </w:p>
    <w:p>
      <w:pPr>
        <w:rPr>
          <w:sz w:val="32"/>
          <w:szCs w:val="32"/>
        </w:rPr>
      </w:pPr>
    </w:p>
    <w:p>
      <w:pPr>
        <w:jc w:val="center"/>
        <w:rPr>
          <w:sz w:val="32"/>
          <w:szCs w:val="32"/>
        </w:rPr>
      </w:pPr>
    </w:p>
    <w:p>
      <w:pPr>
        <w:rPr>
          <w:sz w:val="32"/>
          <w:szCs w:val="32"/>
        </w:rPr>
      </w:pPr>
    </w:p>
    <w:p>
      <w:pPr>
        <w:jc w:val="center"/>
        <w:rPr>
          <w:sz w:val="30"/>
          <w:szCs w:val="30"/>
        </w:rPr>
        <w:sectPr>
          <w:pgSz w:w="11906" w:h="16838"/>
          <w:pgMar w:top="720" w:right="720" w:bottom="720" w:left="720" w:header="851" w:footer="992" w:gutter="0"/>
          <w:pgBorders>
            <w:top w:val="none" w:sz="0" w:space="0"/>
            <w:left w:val="none" w:sz="0" w:space="0"/>
            <w:bottom w:val="none" w:sz="0" w:space="0"/>
            <w:right w:val="none" w:sz="0" w:space="0"/>
          </w:pgBorders>
          <w:cols w:space="720" w:num="1"/>
          <w:docGrid w:linePitch="312" w:charSpace="0"/>
        </w:sectPr>
      </w:pPr>
    </w:p>
    <w:p>
      <w:pPr>
        <w:pStyle w:val="2"/>
        <w:keepNext w:val="0"/>
        <w:keepLines w:val="0"/>
        <w:pageBreakBefore w:val="0"/>
        <w:widowControl/>
        <w:kinsoku/>
        <w:wordWrap/>
        <w:overflowPunct/>
        <w:topLinePunct w:val="0"/>
        <w:autoSpaceDE/>
        <w:autoSpaceDN/>
        <w:bidi w:val="0"/>
        <w:adjustRightInd w:val="0"/>
        <w:snapToGrid w:val="0"/>
        <w:spacing w:after="100" w:line="360" w:lineRule="auto"/>
        <w:jc w:val="left"/>
        <w:textAlignment w:val="auto"/>
        <w:rPr>
          <w:rFonts w:hint="eastAsia"/>
          <w:b/>
          <w:bCs/>
          <w:sz w:val="32"/>
          <w:szCs w:val="32"/>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360" w:lineRule="auto"/>
        <w:ind w:firstLine="321" w:firstLineChars="100"/>
        <w:jc w:val="left"/>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建 设 项 目：</w:t>
      </w:r>
      <w:r>
        <w:rPr>
          <w:rFonts w:hint="eastAsia" w:ascii="Times New Roman" w:eastAsia="宋体" w:cs="Times New Roman"/>
          <w:b/>
          <w:bCs/>
          <w:sz w:val="32"/>
          <w:szCs w:val="32"/>
          <w:lang w:val="en-US" w:eastAsia="zh-CN"/>
        </w:rPr>
        <w:t>乐至县众诺诚注塑件项目（分期）</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321" w:firstLineChars="100"/>
        <w:jc w:val="left"/>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建 设 单 位：</w:t>
      </w:r>
      <w:r>
        <w:rPr>
          <w:rFonts w:hint="eastAsia" w:ascii="Times New Roman" w:eastAsia="宋体" w:cs="Times New Roman"/>
          <w:b/>
          <w:bCs/>
          <w:sz w:val="32"/>
          <w:szCs w:val="32"/>
          <w:lang w:val="en-US" w:eastAsia="zh-CN"/>
        </w:rPr>
        <w:t>资阳众诺诚塑料制品有限责任公司</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321" w:firstLineChars="100"/>
        <w:jc w:val="left"/>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法 人 代 表：</w:t>
      </w:r>
      <w:r>
        <w:rPr>
          <w:rFonts w:hint="eastAsia" w:ascii="Times New Roman" w:eastAsia="宋体" w:cs="Times New Roman"/>
          <w:b/>
          <w:bCs/>
          <w:sz w:val="32"/>
          <w:szCs w:val="32"/>
          <w:lang w:val="en-US" w:eastAsia="zh-CN"/>
        </w:rPr>
        <w:t>徐向阳</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321" w:firstLineChars="100"/>
        <w:jc w:val="left"/>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联 系 电 话：</w:t>
      </w:r>
      <w:r>
        <w:rPr>
          <w:rFonts w:hint="eastAsia" w:ascii="Times New Roman" w:eastAsia="宋体" w:cs="Times New Roman"/>
          <w:b/>
          <w:bCs/>
          <w:sz w:val="32"/>
          <w:szCs w:val="32"/>
          <w:lang w:val="en-US" w:eastAsia="zh-CN"/>
        </w:rPr>
        <w:t>18608053240</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321" w:firstLineChars="100"/>
        <w:jc w:val="left"/>
        <w:textAlignment w:val="auto"/>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邮       编：641500</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321" w:firstLineChars="100"/>
        <w:jc w:val="left"/>
        <w:textAlignment w:val="auto"/>
        <w:rPr>
          <w:rFonts w:ascii="Times New Roman" w:hAnsi="Times New Roman" w:cs="Times New Roman"/>
          <w:b/>
          <w:sz w:val="28"/>
          <w:szCs w:val="28"/>
        </w:rPr>
      </w:pPr>
      <w:r>
        <w:rPr>
          <w:rFonts w:hint="eastAsia" w:ascii="Times New Roman" w:eastAsia="宋体" w:cs="Times New Roman"/>
          <w:b/>
          <w:bCs/>
          <w:sz w:val="32"/>
          <w:szCs w:val="32"/>
          <w:lang w:val="en-US" w:eastAsia="zh-CN"/>
        </w:rPr>
        <w:t>地</w:t>
      </w:r>
      <w:r>
        <w:rPr>
          <w:rFonts w:hint="default" w:ascii="Times New Roman" w:hAnsi="Times New Roman" w:eastAsia="宋体" w:cs="Times New Roman"/>
          <w:b/>
          <w:bCs/>
          <w:sz w:val="32"/>
          <w:szCs w:val="32"/>
          <w:lang w:val="en-US" w:eastAsia="zh-CN"/>
        </w:rPr>
        <w:t xml:space="preserve">       </w:t>
      </w:r>
      <w:r>
        <w:rPr>
          <w:rFonts w:hint="eastAsia" w:ascii="Times New Roman" w:eastAsia="宋体" w:cs="Times New Roman"/>
          <w:b/>
          <w:bCs/>
          <w:sz w:val="32"/>
          <w:szCs w:val="32"/>
          <w:lang w:val="en-US" w:eastAsia="zh-CN"/>
        </w:rPr>
        <w:t>址</w:t>
      </w:r>
      <w:r>
        <w:rPr>
          <w:rFonts w:hint="default" w:ascii="Times New Roman" w:hAnsi="Times New Roman" w:eastAsia="宋体" w:cs="Times New Roman"/>
          <w:b/>
          <w:bCs/>
          <w:sz w:val="32"/>
          <w:szCs w:val="32"/>
          <w:lang w:val="en-US" w:eastAsia="zh-CN"/>
        </w:rPr>
        <w:t>：乐至县童家发展区文峰园区文峰东路</w:t>
      </w:r>
      <w:r>
        <w:rPr>
          <w:rFonts w:hint="eastAsia"/>
          <w:lang w:val="en-US" w:eastAsia="zh-CN"/>
        </w:rPr>
        <w:br w:type="page"/>
      </w:r>
      <w:r>
        <w:rPr>
          <w:rFonts w:ascii="Times New Roman" w:hAnsi="Times New Roman" w:cs="Times New Roman"/>
          <w:b/>
          <w:sz w:val="28"/>
          <w:szCs w:val="28"/>
        </w:rPr>
        <w:t>附表</w:t>
      </w:r>
      <w:r>
        <w:rPr>
          <w:rFonts w:hint="eastAsia" w:ascii="Times New Roman" w:hAnsi="Times New Roman" w:cs="Times New Roman"/>
          <w:b/>
          <w:sz w:val="28"/>
          <w:szCs w:val="28"/>
        </w:rPr>
        <w:t>：</w:t>
      </w:r>
    </w:p>
    <w:p>
      <w:pPr>
        <w:spacing w:line="360" w:lineRule="auto"/>
        <w:ind w:firstLine="720" w:firstLineChars="300"/>
        <w:jc w:val="left"/>
        <w:rPr>
          <w:rFonts w:ascii="Times New Roman" w:hAnsi="Times New Roman" w:cs="Times New Roman"/>
          <w:sz w:val="24"/>
        </w:rPr>
      </w:pPr>
      <w:r>
        <w:rPr>
          <w:rFonts w:hint="eastAsia" w:ascii="Times New Roman" w:hAnsi="Times New Roman" w:cs="Times New Roman"/>
          <w:sz w:val="24"/>
        </w:rPr>
        <w:t>建设项目工程竣工环境保护“三同时”验收登记表</w:t>
      </w:r>
    </w:p>
    <w:p>
      <w:pPr>
        <w:spacing w:line="360" w:lineRule="auto"/>
        <w:jc w:val="left"/>
        <w:rPr>
          <w:rFonts w:ascii="Times New Roman" w:hAnsi="Times New Roman" w:cs="Times New Roman"/>
          <w:b/>
          <w:sz w:val="28"/>
          <w:szCs w:val="28"/>
        </w:rPr>
      </w:pPr>
      <w:r>
        <w:rPr>
          <w:rFonts w:ascii="Times New Roman" w:hAnsi="Times New Roman" w:cs="Times New Roman"/>
          <w:b/>
          <w:sz w:val="28"/>
          <w:szCs w:val="28"/>
        </w:rPr>
        <w:t>附图：</w:t>
      </w:r>
    </w:p>
    <w:p>
      <w:pPr>
        <w:spacing w:line="360" w:lineRule="auto"/>
        <w:ind w:firstLine="720" w:firstLineChars="300"/>
        <w:jc w:val="left"/>
        <w:rPr>
          <w:rFonts w:ascii="Times New Roman" w:hAnsi="Times New Roman" w:cs="Times New Roman"/>
          <w:sz w:val="24"/>
        </w:rPr>
      </w:pPr>
      <w:r>
        <w:rPr>
          <w:rFonts w:ascii="Times New Roman" w:hAnsi="Times New Roman" w:cs="Times New Roman"/>
          <w:sz w:val="24"/>
        </w:rPr>
        <w:t>附图1</w:t>
      </w:r>
      <w:r>
        <w:rPr>
          <w:rFonts w:hint="eastAsia" w:ascii="Times New Roman" w:hAnsi="Times New Roman" w:cs="Times New Roman"/>
          <w:sz w:val="24"/>
        </w:rPr>
        <w:t xml:space="preserve">  </w:t>
      </w:r>
      <w:r>
        <w:rPr>
          <w:rFonts w:ascii="Times New Roman" w:hAnsi="Times New Roman" w:cs="Times New Roman"/>
          <w:sz w:val="24"/>
        </w:rPr>
        <w:t>项目地理位置图</w:t>
      </w:r>
    </w:p>
    <w:p>
      <w:pPr>
        <w:spacing w:line="360" w:lineRule="auto"/>
        <w:ind w:firstLine="720" w:firstLineChars="300"/>
        <w:jc w:val="left"/>
        <w:rPr>
          <w:rFonts w:ascii="Times New Roman" w:hAnsi="Times New Roman" w:cs="Times New Roman"/>
          <w:sz w:val="24"/>
        </w:rPr>
      </w:pPr>
      <w:r>
        <w:rPr>
          <w:rFonts w:ascii="Times New Roman" w:hAnsi="Times New Roman" w:cs="Times New Roman"/>
          <w:sz w:val="24"/>
        </w:rPr>
        <w:t>附图2</w:t>
      </w:r>
      <w:r>
        <w:rPr>
          <w:rFonts w:hint="eastAsia" w:ascii="Times New Roman" w:hAnsi="Times New Roman" w:cs="Times New Roman"/>
          <w:sz w:val="24"/>
        </w:rPr>
        <w:t xml:space="preserve">  </w:t>
      </w:r>
      <w:r>
        <w:rPr>
          <w:rFonts w:ascii="Times New Roman" w:hAnsi="Times New Roman" w:cs="Times New Roman"/>
          <w:sz w:val="24"/>
        </w:rPr>
        <w:t>项目外环境关系图</w:t>
      </w:r>
    </w:p>
    <w:p>
      <w:pPr>
        <w:spacing w:line="360" w:lineRule="auto"/>
        <w:ind w:firstLine="720" w:firstLineChars="300"/>
        <w:jc w:val="left"/>
        <w:rPr>
          <w:rFonts w:hint="eastAsia" w:ascii="Times New Roman" w:hAnsi="Times New Roman" w:cs="Times New Roman" w:eastAsiaTheme="minorEastAsia"/>
          <w:sz w:val="24"/>
          <w:lang w:eastAsia="zh-CN"/>
        </w:rPr>
      </w:pPr>
      <w:r>
        <w:rPr>
          <w:rFonts w:hint="eastAsia" w:ascii="Times New Roman" w:hAnsi="Times New Roman" w:cs="Times New Roman"/>
          <w:sz w:val="24"/>
        </w:rPr>
        <w:t xml:space="preserve">附图3  </w:t>
      </w:r>
      <w:r>
        <w:rPr>
          <w:rFonts w:hint="eastAsia" w:ascii="Times New Roman" w:hAnsi="Times New Roman" w:cs="Times New Roman"/>
          <w:sz w:val="24"/>
          <w:lang w:eastAsia="zh-CN"/>
        </w:rPr>
        <w:t>平面布置图</w:t>
      </w:r>
    </w:p>
    <w:p>
      <w:pPr>
        <w:spacing w:line="360" w:lineRule="auto"/>
        <w:ind w:firstLine="720" w:firstLineChars="300"/>
        <w:jc w:val="left"/>
        <w:rPr>
          <w:rFonts w:ascii="Times New Roman" w:hAnsi="Times New Roman" w:cs="Times New Roman"/>
          <w:sz w:val="24"/>
        </w:rPr>
      </w:pPr>
      <w:r>
        <w:rPr>
          <w:rFonts w:ascii="Times New Roman" w:hAnsi="Times New Roman" w:cs="Times New Roman"/>
          <w:sz w:val="24"/>
        </w:rPr>
        <w:t>附图</w:t>
      </w:r>
      <w:r>
        <w:rPr>
          <w:rFonts w:hint="eastAsia" w:ascii="Times New Roman" w:hAnsi="Times New Roman" w:cs="Times New Roman"/>
          <w:sz w:val="24"/>
        </w:rPr>
        <w:t>4  项目平面布置及分区防渗图</w:t>
      </w:r>
    </w:p>
    <w:p>
      <w:pPr>
        <w:spacing w:line="360" w:lineRule="auto"/>
        <w:ind w:firstLine="720" w:firstLineChars="300"/>
        <w:jc w:val="left"/>
        <w:rPr>
          <w:rFonts w:ascii="Times New Roman" w:hAnsi="Times New Roman" w:cs="Times New Roman"/>
          <w:sz w:val="24"/>
        </w:rPr>
      </w:pPr>
      <w:r>
        <w:rPr>
          <w:rFonts w:ascii="Times New Roman" w:hAnsi="Times New Roman" w:cs="Times New Roman"/>
          <w:sz w:val="24"/>
        </w:rPr>
        <w:t>附图5</w:t>
      </w:r>
      <w:r>
        <w:rPr>
          <w:rFonts w:hint="eastAsia" w:ascii="Times New Roman" w:hAnsi="Times New Roman" w:cs="Times New Roman"/>
          <w:sz w:val="24"/>
        </w:rPr>
        <w:t xml:space="preserve">  </w:t>
      </w:r>
      <w:r>
        <w:rPr>
          <w:rFonts w:ascii="Times New Roman" w:hAnsi="Times New Roman" w:cs="Times New Roman"/>
          <w:sz w:val="24"/>
        </w:rPr>
        <w:t>项目</w:t>
      </w:r>
      <w:r>
        <w:rPr>
          <w:rFonts w:hint="eastAsia" w:ascii="Times New Roman" w:hAnsi="Times New Roman" w:cs="Times New Roman"/>
          <w:sz w:val="24"/>
          <w:lang w:eastAsia="zh-CN"/>
        </w:rPr>
        <w:t>相关图</w:t>
      </w:r>
      <w:r>
        <w:rPr>
          <w:rFonts w:ascii="Times New Roman" w:hAnsi="Times New Roman" w:cs="Times New Roman"/>
          <w:sz w:val="24"/>
        </w:rPr>
        <w:t>片</w:t>
      </w:r>
    </w:p>
    <w:p>
      <w:pPr>
        <w:spacing w:line="360" w:lineRule="auto"/>
        <w:jc w:val="left"/>
        <w:rPr>
          <w:rFonts w:ascii="Times New Roman" w:hAnsi="Times New Roman" w:cs="Times New Roman"/>
          <w:b/>
          <w:sz w:val="28"/>
          <w:szCs w:val="28"/>
        </w:rPr>
      </w:pPr>
      <w:r>
        <w:rPr>
          <w:rFonts w:ascii="Times New Roman" w:hAnsi="Times New Roman" w:cs="Times New Roman"/>
          <w:b/>
          <w:sz w:val="28"/>
          <w:szCs w:val="28"/>
        </w:rPr>
        <w:t>附件：</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附件1  投资备案表</w:t>
      </w:r>
    </w:p>
    <w:p>
      <w:pPr>
        <w:spacing w:line="360" w:lineRule="auto"/>
        <w:ind w:firstLine="720" w:firstLineChars="300"/>
        <w:rPr>
          <w:rFonts w:hint="eastAsia" w:ascii="Times New Roman" w:hAnsi="Times New Roman" w:cs="Times New Roman"/>
          <w:sz w:val="24"/>
        </w:rPr>
      </w:pPr>
      <w:r>
        <w:rPr>
          <w:rFonts w:hint="eastAsia" w:ascii="Times New Roman" w:hAnsi="Times New Roman" w:cs="Times New Roman"/>
          <w:sz w:val="24"/>
        </w:rPr>
        <w:t>附件2   项目环评批复</w:t>
      </w:r>
    </w:p>
    <w:p>
      <w:pPr>
        <w:spacing w:line="360" w:lineRule="auto"/>
        <w:ind w:firstLine="720" w:firstLineChars="300"/>
        <w:rPr>
          <w:rFonts w:hint="eastAsia" w:eastAsiaTheme="minorEastAsia"/>
          <w:lang w:eastAsia="zh-CN"/>
        </w:rPr>
      </w:pPr>
      <w:r>
        <w:rPr>
          <w:rFonts w:hint="eastAsia" w:ascii="Times New Roman" w:hAnsi="Times New Roman" w:cs="Times New Roman"/>
          <w:sz w:val="24"/>
        </w:rPr>
        <w:t>附件</w:t>
      </w:r>
      <w:r>
        <w:rPr>
          <w:rFonts w:hint="eastAsia" w:ascii="Times New Roman" w:hAnsi="Times New Roman" w:cs="Times New Roman"/>
          <w:sz w:val="24"/>
          <w:lang w:val="en-US" w:eastAsia="zh-CN"/>
        </w:rPr>
        <w:t>3</w:t>
      </w:r>
      <w:r>
        <w:rPr>
          <w:rFonts w:hint="eastAsia" w:ascii="Times New Roman" w:hAnsi="Times New Roman" w:cs="Times New Roman"/>
          <w:sz w:val="24"/>
        </w:rPr>
        <w:t xml:space="preserve">   </w:t>
      </w:r>
      <w:r>
        <w:rPr>
          <w:rFonts w:hint="eastAsia" w:ascii="Times New Roman" w:hAnsi="Times New Roman" w:cs="Times New Roman"/>
          <w:sz w:val="24"/>
          <w:lang w:eastAsia="zh-CN"/>
        </w:rPr>
        <w:t>排污登记回执</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4</w:t>
      </w:r>
      <w:r>
        <w:rPr>
          <w:rFonts w:hint="eastAsia" w:ascii="Times New Roman" w:hAnsi="Times New Roman" w:cs="Times New Roman"/>
          <w:sz w:val="24"/>
        </w:rPr>
        <w:t xml:space="preserve">   验收情况说明</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5</w:t>
      </w:r>
      <w:r>
        <w:rPr>
          <w:rFonts w:hint="eastAsia" w:ascii="Times New Roman" w:hAnsi="Times New Roman" w:cs="Times New Roman"/>
          <w:sz w:val="24"/>
        </w:rPr>
        <w:t xml:space="preserve">  企业营业执照</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6</w:t>
      </w:r>
      <w:r>
        <w:rPr>
          <w:rFonts w:hint="eastAsia" w:ascii="Times New Roman" w:hAnsi="Times New Roman" w:cs="Times New Roman"/>
          <w:sz w:val="24"/>
        </w:rPr>
        <w:t xml:space="preserve">  危废处置协议</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7</w:t>
      </w:r>
      <w:r>
        <w:rPr>
          <w:rFonts w:hint="eastAsia" w:ascii="Times New Roman" w:hAnsi="Times New Roman" w:cs="Times New Roman"/>
          <w:sz w:val="24"/>
        </w:rPr>
        <w:t xml:space="preserve">  环境管理制度</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8</w:t>
      </w:r>
      <w:r>
        <w:rPr>
          <w:rFonts w:hint="eastAsia" w:ascii="Times New Roman" w:hAnsi="Times New Roman" w:cs="Times New Roman"/>
          <w:sz w:val="24"/>
        </w:rPr>
        <w:t xml:space="preserve">  危废管理制度</w:t>
      </w:r>
    </w:p>
    <w:p>
      <w:pPr>
        <w:spacing w:line="360" w:lineRule="auto"/>
        <w:ind w:firstLine="720" w:firstLineChars="300"/>
        <w:rPr>
          <w:rFonts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9</w:t>
      </w:r>
      <w:r>
        <w:rPr>
          <w:rFonts w:hint="eastAsia" w:ascii="Times New Roman" w:hAnsi="Times New Roman" w:cs="Times New Roman"/>
          <w:sz w:val="24"/>
        </w:rPr>
        <w:t xml:space="preserve">  公众参与调查表及统计表</w:t>
      </w:r>
    </w:p>
    <w:p>
      <w:pPr>
        <w:spacing w:line="360" w:lineRule="auto"/>
        <w:ind w:firstLine="720" w:firstLineChars="300"/>
        <w:rPr>
          <w:rFonts w:hint="eastAsia" w:ascii="Times New Roman" w:hAnsi="Times New Roman" w:cs="Times New Roman"/>
          <w:sz w:val="24"/>
        </w:rPr>
      </w:pPr>
      <w:r>
        <w:rPr>
          <w:rFonts w:hint="eastAsia" w:ascii="Times New Roman" w:hAnsi="Times New Roman" w:cs="Times New Roman"/>
          <w:sz w:val="24"/>
        </w:rPr>
        <w:t>附件</w:t>
      </w:r>
      <w:r>
        <w:rPr>
          <w:rFonts w:hint="eastAsia" w:ascii="Times New Roman" w:hAnsi="Times New Roman" w:cs="Times New Roman"/>
          <w:sz w:val="24"/>
          <w:lang w:val="en-US" w:eastAsia="zh-CN"/>
        </w:rPr>
        <w:t>10</w:t>
      </w:r>
      <w:r>
        <w:rPr>
          <w:rFonts w:hint="eastAsia" w:ascii="Times New Roman" w:hAnsi="Times New Roman" w:cs="Times New Roman"/>
          <w:sz w:val="24"/>
        </w:rPr>
        <w:t xml:space="preserve">  验收监测报告</w:t>
      </w:r>
    </w:p>
    <w:p>
      <w:pPr>
        <w:spacing w:line="360" w:lineRule="auto"/>
        <w:ind w:firstLine="720" w:firstLineChars="300"/>
        <w:rPr>
          <w:rFonts w:hint="eastAsia" w:ascii="Times New Roman" w:hAnsi="Times New Roman" w:cs="Times New Roman" w:eastAsiaTheme="minorEastAsia"/>
          <w:sz w:val="24"/>
          <w:lang w:eastAsia="zh-CN"/>
        </w:rPr>
      </w:pPr>
      <w:r>
        <w:rPr>
          <w:rFonts w:hint="eastAsia" w:ascii="Times New Roman" w:hAnsi="Times New Roman" w:cs="Times New Roman"/>
          <w:sz w:val="24"/>
        </w:rPr>
        <w:t>附件</w:t>
      </w:r>
      <w:r>
        <w:rPr>
          <w:rFonts w:hint="eastAsia" w:ascii="Times New Roman" w:hAnsi="Times New Roman" w:cs="Times New Roman"/>
          <w:sz w:val="24"/>
          <w:lang w:val="en-US" w:eastAsia="zh-CN"/>
        </w:rPr>
        <w:t>11</w:t>
      </w:r>
      <w:r>
        <w:rPr>
          <w:rFonts w:hint="eastAsia" w:ascii="Times New Roman" w:hAnsi="Times New Roman" w:cs="Times New Roman"/>
          <w:sz w:val="24"/>
        </w:rPr>
        <w:t xml:space="preserve">  </w:t>
      </w:r>
      <w:r>
        <w:rPr>
          <w:rFonts w:hint="eastAsia" w:ascii="Times New Roman" w:hAnsi="Times New Roman" w:cs="Times New Roman"/>
          <w:sz w:val="24"/>
          <w:lang w:eastAsia="zh-CN"/>
        </w:rPr>
        <w:t>专家意见</w:t>
      </w:r>
    </w:p>
    <w:p>
      <w:pPr>
        <w:spacing w:line="360" w:lineRule="auto"/>
        <w:ind w:firstLine="720" w:firstLineChars="300"/>
        <w:rPr>
          <w:rFonts w:hint="eastAsia" w:ascii="Times New Roman" w:hAnsi="Times New Roman" w:cs="Times New Roman"/>
          <w:sz w:val="24"/>
        </w:rPr>
      </w:pPr>
    </w:p>
    <w:p>
      <w:pPr>
        <w:pStyle w:val="6"/>
      </w:pPr>
    </w:p>
    <w:p>
      <w:pPr>
        <w:rPr>
          <w:rFonts w:ascii="Times New Roman" w:hAnsi="Times New Roman" w:cs="Times New Roman"/>
        </w:rPr>
        <w:sectPr>
          <w:headerReference r:id="rId3" w:type="default"/>
          <w:pgSz w:w="11906" w:h="16838"/>
          <w:pgMar w:top="720" w:right="720" w:bottom="720" w:left="72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hAnsi="Times New Roman" w:cs="Times New Roman"/>
        </w:rPr>
        <w:br w:type="textWrapping"/>
      </w:r>
    </w:p>
    <w:p>
      <w:pPr>
        <w:jc w:val="left"/>
        <w:rPr>
          <w:rFonts w:ascii="Times New Roman" w:hAnsi="Times New Roman" w:cs="Times New Roman"/>
          <w:b/>
          <w:bCs/>
          <w:sz w:val="30"/>
          <w:szCs w:val="30"/>
        </w:rPr>
      </w:pPr>
      <w:r>
        <w:rPr>
          <w:rFonts w:ascii="Times New Roman" w:hAnsi="Times New Roman" w:cs="Times New Roman"/>
          <w:b/>
          <w:bCs/>
          <w:sz w:val="30"/>
          <w:szCs w:val="30"/>
        </w:rPr>
        <w:t>表</w:t>
      </w:r>
      <w:r>
        <w:rPr>
          <w:rFonts w:hint="eastAsia" w:ascii="Times New Roman" w:hAnsi="Times New Roman" w:cs="Times New Roman"/>
          <w:b/>
          <w:bCs/>
          <w:sz w:val="30"/>
          <w:szCs w:val="30"/>
        </w:rPr>
        <w:t>一</w:t>
      </w:r>
      <w:r>
        <w:rPr>
          <w:rFonts w:hint="eastAsia" w:ascii="Times New Roman" w:hAnsi="Times New Roman" w:cs="Times New Roman"/>
          <w:b/>
          <w:bCs/>
          <w:sz w:val="30"/>
          <w:szCs w:val="30"/>
          <w:lang w:val="en-US" w:eastAsia="zh-CN"/>
        </w:rPr>
        <w:t xml:space="preserve">                                                                                                           </w:t>
      </w:r>
      <w:r>
        <w:rPr>
          <w:rFonts w:ascii="Times New Roman" w:hAnsi="Times New Roman" w:cs="Times New Roman"/>
          <w:b/>
          <w:bCs/>
          <w:sz w:val="30"/>
          <w:szCs w:val="30"/>
        </w:rPr>
        <w:t>项目基本情况</w:t>
      </w:r>
    </w:p>
    <w:tbl>
      <w:tblPr>
        <w:tblStyle w:val="24"/>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0"/>
        <w:gridCol w:w="2208"/>
        <w:gridCol w:w="2300"/>
        <w:gridCol w:w="1050"/>
        <w:gridCol w:w="733"/>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建设项目名称</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乐至县众诺诚注塑件项目（分期）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建设单位名称</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资阳众诺诚塑料制品有限责任公司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建设项目性质</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sym w:font="Wingdings" w:char="00FE"/>
            </w:r>
            <w:r>
              <w:rPr>
                <w:rFonts w:hint="default" w:ascii="Times New Roman" w:hAnsi="Times New Roman" w:eastAsia="宋体" w:cs="Times New Roman"/>
                <w:sz w:val="21"/>
                <w:szCs w:val="21"/>
                <w:lang w:val="en-US" w:eastAsia="zh-CN"/>
              </w:rPr>
              <w:t xml:space="preserve">新建  </w:t>
            </w:r>
            <w:r>
              <w:rPr>
                <w:rFonts w:hint="default" w:ascii="Times New Roman" w:hAnsi="Times New Roman" w:eastAsia="宋体" w:cs="Times New Roman"/>
                <w:sz w:val="21"/>
                <w:szCs w:val="21"/>
                <w:lang w:val="en-US" w:eastAsia="zh-CN"/>
              </w:rPr>
              <w:sym w:font="Wingdings" w:char="00A8"/>
            </w:r>
            <w:r>
              <w:rPr>
                <w:rFonts w:hint="default" w:ascii="Times New Roman" w:hAnsi="Times New Roman" w:eastAsia="宋体" w:cs="Times New Roman"/>
                <w:sz w:val="21"/>
                <w:szCs w:val="21"/>
                <w:lang w:val="en-US" w:eastAsia="zh-CN"/>
              </w:rPr>
              <w:t xml:space="preserve">改扩建  </w:t>
            </w:r>
            <w:r>
              <w:rPr>
                <w:rFonts w:hint="default" w:ascii="Times New Roman" w:hAnsi="Times New Roman" w:eastAsia="宋体" w:cs="Times New Roman"/>
                <w:sz w:val="21"/>
                <w:szCs w:val="21"/>
                <w:lang w:val="en-US" w:eastAsia="zh-CN"/>
              </w:rPr>
              <w:sym w:font="Wingdings" w:char="00A8"/>
            </w:r>
            <w:r>
              <w:rPr>
                <w:rFonts w:hint="default" w:ascii="Times New Roman" w:hAnsi="Times New Roman" w:eastAsia="宋体" w:cs="Times New Roman"/>
                <w:sz w:val="21"/>
                <w:szCs w:val="21"/>
                <w:lang w:val="en-US" w:eastAsia="zh-CN"/>
              </w:rPr>
              <w:t xml:space="preserve">技改  </w:t>
            </w:r>
            <w:r>
              <w:rPr>
                <w:rFonts w:hint="default" w:ascii="Times New Roman" w:hAnsi="Times New Roman" w:eastAsia="宋体" w:cs="Times New Roman"/>
                <w:sz w:val="21"/>
                <w:szCs w:val="21"/>
                <w:lang w:val="en-US" w:eastAsia="zh-CN"/>
              </w:rPr>
              <w:sym w:font="Wingdings" w:char="00A8"/>
            </w:r>
            <w:r>
              <w:rPr>
                <w:rFonts w:hint="default" w:ascii="Times New Roman" w:hAnsi="Times New Roman" w:eastAsia="宋体" w:cs="Times New Roman"/>
                <w:sz w:val="21"/>
                <w:szCs w:val="21"/>
                <w:lang w:val="en-US" w:eastAsia="zh-CN"/>
              </w:rPr>
              <w:t xml:space="preserve">迁建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建设地点</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乐至县童家发展区文峰园区文峰东路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主要产品名称</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cs="Times New Roman" w:eastAsiaTheme="minorEastAsia"/>
                <w:sz w:val="21"/>
                <w:szCs w:val="21"/>
                <w:lang w:eastAsia="zh-CN"/>
              </w:rPr>
            </w:pPr>
            <w:r>
              <w:rPr>
                <w:rFonts w:hint="eastAsia"/>
                <w:bCs/>
              </w:rPr>
              <w:t>包装袋、各类膜产品、汽配注塑件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设计生产能力</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szCs w:val="21"/>
                <w:lang w:eastAsia="zh-CN"/>
              </w:rPr>
            </w:pPr>
            <w:r>
              <w:rPr>
                <w:rFonts w:hint="default" w:ascii="Times New Roman" w:hAnsi="Times New Roman" w:cs="Times New Roman"/>
                <w:bCs/>
              </w:rPr>
              <w:t>包装袋1800t、各类膜产品600t、汽配注塑件600t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实际生产能力</w:t>
            </w:r>
          </w:p>
        </w:tc>
        <w:tc>
          <w:tcPr>
            <w:tcW w:w="739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bCs/>
              </w:rPr>
              <w:t>包装袋1800t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环评时间</w:t>
            </w:r>
          </w:p>
        </w:tc>
        <w:tc>
          <w:tcPr>
            <w:tcW w:w="2208"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月</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开工日期</w:t>
            </w:r>
          </w:p>
        </w:tc>
        <w:tc>
          <w:tcPr>
            <w:tcW w:w="28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调试时间</w:t>
            </w:r>
          </w:p>
        </w:tc>
        <w:tc>
          <w:tcPr>
            <w:tcW w:w="2208"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月</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验收现场监测时间</w:t>
            </w:r>
          </w:p>
        </w:tc>
        <w:tc>
          <w:tcPr>
            <w:tcW w:w="28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202</w:t>
            </w:r>
            <w:r>
              <w:rPr>
                <w:rFonts w:hint="eastAsia"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年</w:t>
            </w:r>
            <w:r>
              <w:rPr>
                <w:rFonts w:hint="eastAsia" w:ascii="Times New Roman" w:hAnsi="Times New Roman" w:eastAsia="宋体" w:cs="Times New Roman"/>
                <w:sz w:val="21"/>
                <w:szCs w:val="21"/>
                <w:highlight w:val="none"/>
                <w:lang w:val="en-US" w:eastAsia="zh-CN"/>
              </w:rPr>
              <w:t>7</w:t>
            </w:r>
            <w:r>
              <w:rPr>
                <w:rFonts w:hint="default" w:ascii="Times New Roman" w:hAnsi="Times New Roman" w:eastAsia="宋体" w:cs="Times New Roman"/>
                <w:sz w:val="21"/>
                <w:szCs w:val="21"/>
                <w:highlight w:val="none"/>
              </w:rPr>
              <w:t>月</w:t>
            </w:r>
            <w:r>
              <w:rPr>
                <w:rFonts w:hint="eastAsia" w:ascii="Times New Roman" w:hAnsi="Times New Roman" w:eastAsia="宋体" w:cs="Times New Roman"/>
                <w:sz w:val="21"/>
                <w:szCs w:val="21"/>
                <w:highlight w:val="none"/>
                <w:lang w:val="en-US" w:eastAsia="zh-CN"/>
              </w:rPr>
              <w:t>18日-19日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环评表审批部门</w:t>
            </w:r>
          </w:p>
        </w:tc>
        <w:tc>
          <w:tcPr>
            <w:tcW w:w="2208"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资阳市生态环境局</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环评报告表编制单位</w:t>
            </w:r>
          </w:p>
        </w:tc>
        <w:tc>
          <w:tcPr>
            <w:tcW w:w="28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重庆市江津区成硕环保工程有限公司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投资总概算</w:t>
            </w:r>
          </w:p>
        </w:tc>
        <w:tc>
          <w:tcPr>
            <w:tcW w:w="2208"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2600</w:t>
            </w:r>
            <w:r>
              <w:rPr>
                <w:rFonts w:hint="default" w:ascii="Times New Roman" w:hAnsi="Times New Roman" w:eastAsia="宋体" w:cs="Times New Roman"/>
                <w:sz w:val="21"/>
                <w:szCs w:val="21"/>
              </w:rPr>
              <w:t>万元</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预算环保投资</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36.3</w:t>
            </w:r>
            <w:r>
              <w:rPr>
                <w:rFonts w:hint="default" w:ascii="Times New Roman" w:hAnsi="Times New Roman" w:eastAsia="宋体" w:cs="Times New Roman"/>
                <w:sz w:val="21"/>
                <w:szCs w:val="21"/>
              </w:rPr>
              <w:t>万元</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比例</w:t>
            </w:r>
          </w:p>
        </w:tc>
        <w:tc>
          <w:tcPr>
            <w:tcW w:w="1107"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1.4</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82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实际总投资</w:t>
            </w:r>
          </w:p>
        </w:tc>
        <w:tc>
          <w:tcPr>
            <w:tcW w:w="2208"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2000</w:t>
            </w:r>
            <w:r>
              <w:rPr>
                <w:rFonts w:hint="default" w:ascii="Times New Roman" w:hAnsi="Times New Roman" w:eastAsia="宋体" w:cs="Times New Roman"/>
                <w:sz w:val="21"/>
                <w:szCs w:val="21"/>
                <w:highlight w:val="none"/>
              </w:rPr>
              <w:t>万元</w:t>
            </w:r>
          </w:p>
        </w:tc>
        <w:tc>
          <w:tcPr>
            <w:tcW w:w="2300"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实际环保投资</w:t>
            </w:r>
          </w:p>
        </w:tc>
        <w:tc>
          <w:tcPr>
            <w:tcW w:w="1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35.4</w:t>
            </w:r>
            <w:r>
              <w:rPr>
                <w:rFonts w:hint="default" w:ascii="Times New Roman" w:hAnsi="Times New Roman" w:eastAsia="宋体" w:cs="Times New Roman"/>
                <w:sz w:val="21"/>
                <w:szCs w:val="21"/>
                <w:highlight w:val="none"/>
              </w:rPr>
              <w:t>万元</w:t>
            </w:r>
          </w:p>
        </w:tc>
        <w:tc>
          <w:tcPr>
            <w:tcW w:w="733"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比例</w:t>
            </w:r>
          </w:p>
        </w:tc>
        <w:tc>
          <w:tcPr>
            <w:tcW w:w="1107" w:type="dxa"/>
            <w:vAlign w:val="center"/>
          </w:tcPr>
          <w:p>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1.77</w:t>
            </w:r>
            <w:r>
              <w:rPr>
                <w:rFonts w:hint="default" w:ascii="Times New Roman" w:hAnsi="Times New Roman" w:eastAsia="宋体" w:cs="Times New Roman"/>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0" w:type="dxa"/>
          </w:tcPr>
          <w:p>
            <w:pPr>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验</w:t>
            </w: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收</w:t>
            </w: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监</w:t>
            </w: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测</w:t>
            </w: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依</w:t>
            </w:r>
          </w:p>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据</w:t>
            </w:r>
          </w:p>
        </w:tc>
        <w:tc>
          <w:tcPr>
            <w:tcW w:w="7398" w:type="dxa"/>
            <w:gridSpan w:val="5"/>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1、《中华人民共和国环境保护法》；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2、《中华人民共和国固体废物污染环境防治法》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3、中华人民共和国国务院，第682号令《建设项目环境保护管理条例》（修订）（2017年7月16日）；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4、《关于发布〈建设项目竣工环境保护验收暂行办法〉的公告》（中华人民共和国环境保护部，国环规环评[2017]4号，2017年11月22日）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5、《成都市环境保护局关于贯彻落实〈建设项目竣工环境保护验收暂行办法〉的通知》（成环发[2018]8号，2018年5月16日）。；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6、《关于进一步加强环境影响评价管理防范环境风险的通知》（环发[2012]77号，国家环境保护总局，2012.7.3）；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7、</w:t>
            </w:r>
            <w:r>
              <w:rPr>
                <w:rFonts w:hint="eastAsia" w:ascii="Times New Roman" w:hAnsi="Times New Roman" w:eastAsia="宋体" w:cs="Times New Roman"/>
                <w:bCs/>
                <w:sz w:val="24"/>
                <w:szCs w:val="24"/>
                <w:lang w:eastAsia="zh-CN"/>
              </w:rPr>
              <w:t>资阳众诺诚塑料制品有限责任公司</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乐至县众诺诚注塑件项目</w:t>
            </w:r>
            <w:r>
              <w:rPr>
                <w:rFonts w:hint="default" w:ascii="Times New Roman" w:hAnsi="Times New Roman" w:eastAsia="宋体" w:cs="Times New Roman"/>
                <w:bCs/>
                <w:sz w:val="24"/>
                <w:szCs w:val="24"/>
              </w:rPr>
              <w:t>环境影响报告表》；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8、</w:t>
            </w:r>
            <w:r>
              <w:rPr>
                <w:rFonts w:hint="eastAsia" w:ascii="Times New Roman" w:hAnsi="Times New Roman" w:eastAsia="宋体" w:cs="Times New Roman"/>
                <w:sz w:val="24"/>
                <w:szCs w:val="24"/>
                <w:lang w:eastAsia="zh-CN"/>
              </w:rPr>
              <w:t>资阳市生态环境局</w:t>
            </w:r>
            <w:r>
              <w:rPr>
                <w:rFonts w:hint="default" w:ascii="Times New Roman" w:hAnsi="Times New Roman" w:eastAsia="宋体" w:cs="Times New Roman"/>
                <w:sz w:val="24"/>
                <w:szCs w:val="24"/>
              </w:rPr>
              <w:t>《</w:t>
            </w:r>
            <w:r>
              <w:rPr>
                <w:rFonts w:hint="eastAsia" w:ascii="Times New Roman" w:hAnsi="Times New Roman" w:eastAsia="宋体" w:cs="Times New Roman"/>
                <w:bCs/>
                <w:sz w:val="24"/>
                <w:szCs w:val="24"/>
                <w:lang w:eastAsia="zh-CN"/>
              </w:rPr>
              <w:t>关于乐至县众诺诚注塑件项目环境影响报告表的批复</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资环审批乐诺[2020]4号</w:t>
            </w:r>
            <w:r>
              <w:rPr>
                <w:rFonts w:hint="default" w:ascii="Times New Roman" w:hAnsi="Times New Roman" w:eastAsia="宋体" w:cs="Times New Roman"/>
                <w:bCs/>
                <w:sz w:val="24"/>
                <w:szCs w:val="24"/>
              </w:rPr>
              <w:t>）。</w:t>
            </w:r>
          </w:p>
        </w:tc>
      </w:tr>
    </w:tbl>
    <w:p/>
    <w:tbl>
      <w:tblPr>
        <w:tblStyle w:val="24"/>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20"/>
        <w:gridCol w:w="7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20" w:type="dxa"/>
            <w:vAlign w:val="center"/>
          </w:tcPr>
          <w:p>
            <w:pPr>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验收监测标准、标号、级别、限值</w:t>
            </w:r>
          </w:p>
        </w:tc>
        <w:tc>
          <w:tcPr>
            <w:tcW w:w="7398" w:type="dxa"/>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废水：</w:t>
            </w:r>
            <w:r>
              <w:rPr>
                <w:rFonts w:hint="default" w:ascii="Times New Roman" w:hAnsi="Times New Roman" w:eastAsia="宋体" w:cs="Times New Roman"/>
                <w:sz w:val="24"/>
                <w:szCs w:val="24"/>
              </w:rPr>
              <w:t>本项目废水执行《污水综合排放标准》（GB8978-1996）中三级标准限值，</w:t>
            </w:r>
            <w:r>
              <w:rPr>
                <w:rFonts w:hint="eastAsia" w:ascii="Times New Roman" w:hAnsi="Times New Roman" w:eastAsia="宋体" w:cs="Times New Roman"/>
                <w:sz w:val="24"/>
                <w:szCs w:val="24"/>
                <w:lang w:eastAsia="zh-CN"/>
              </w:rPr>
              <w:t>其中</w:t>
            </w:r>
            <w:r>
              <w:rPr>
                <w:rFonts w:hint="default" w:ascii="Times New Roman" w:hAnsi="Times New Roman" w:eastAsia="宋体" w:cs="Times New Roman"/>
                <w:sz w:val="24"/>
                <w:szCs w:val="24"/>
              </w:rPr>
              <w:t>氨氮、总磷参照执行《污水排入城镇下水道水质标准》（GB/T31962-2015）；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废气：</w:t>
            </w:r>
            <w:r>
              <w:rPr>
                <w:rFonts w:hint="eastAsia" w:ascii="Times New Roman" w:hAnsi="Times New Roman" w:eastAsia="宋体" w:cs="Times New Roman"/>
                <w:bCs/>
                <w:sz w:val="24"/>
                <w:szCs w:val="24"/>
                <w:lang w:eastAsia="zh-CN"/>
              </w:rPr>
              <w:t>有机废气</w:t>
            </w:r>
            <w:r>
              <w:rPr>
                <w:rFonts w:hint="default" w:ascii="Times New Roman" w:hAnsi="Times New Roman" w:eastAsia="宋体" w:cs="Times New Roman"/>
                <w:bCs/>
                <w:sz w:val="24"/>
                <w:szCs w:val="24"/>
              </w:rPr>
              <w:t>执行《四川省固定汚染源大气挥发性有机物排放标准》（DB51/2377-2017）表3、表5限值要求。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rPr>
              <w:t>噪声：</w:t>
            </w:r>
            <w:r>
              <w:rPr>
                <w:rFonts w:hint="default" w:ascii="Times New Roman" w:hAnsi="Times New Roman" w:eastAsia="宋体" w:cs="Times New Roman"/>
                <w:bCs/>
                <w:sz w:val="24"/>
                <w:szCs w:val="24"/>
              </w:rPr>
              <w:t>厂界噪声执行《工业企业厂界环境噪声排放标准》（GB12348-2008）中3类标准。</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固废</w:t>
            </w:r>
            <w:r>
              <w:rPr>
                <w:rFonts w:hint="default" w:ascii="Times New Roman" w:hAnsi="Times New Roman" w:eastAsia="宋体" w:cs="Times New Roman"/>
                <w:sz w:val="24"/>
                <w:szCs w:val="24"/>
              </w:rPr>
              <w:t>：一般固废执行《一般工业固体废物贮存和填埋污染控制标准》（GB18599－2020），危险废物储存执行《危险废物贮存污染控制标准》（GB18597－2001）中相关规定及2013年修改单。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218" w:type="dxa"/>
            <w:gridSpan w:val="2"/>
          </w:tcPr>
          <w:p>
            <w:pPr>
              <w:spacing w:beforeLines="30" w:afterLines="30" w:line="360" w:lineRule="auto"/>
              <w:contextualSpacing/>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一、项目由来</w:t>
            </w:r>
          </w:p>
          <w:p>
            <w:pPr>
              <w:spacing w:line="360" w:lineRule="auto"/>
              <w:ind w:firstLine="480" w:firstLineChars="200"/>
              <w:contextualSpacing/>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资阳众诺诚塑料制品有限责任公司成立于2019年1月25日，选址位于四川省资阳市乐至县童家发展区文峰园区，主要经营范围为：塑料零件及其他塑料制品制造；销售塑料制品；包装装潢及其他印刷等。公司在乐至县童家发展区文峰园区建立“乐至县众诺诚注塑件项目（分期）”（以下简称“本项目”），本项目拟投资2600万元，修建厂房约10000m</w:t>
            </w:r>
            <w:r>
              <w:rPr>
                <w:rFonts w:hint="default" w:ascii="Times New Roman" w:hAnsi="Times New Roman" w:eastAsia="宋体" w:cs="Times New Roman"/>
                <w:bCs/>
                <w:sz w:val="24"/>
                <w:szCs w:val="24"/>
                <w:vertAlign w:val="superscript"/>
              </w:rPr>
              <w:t>2</w:t>
            </w:r>
            <w:r>
              <w:rPr>
                <w:rFonts w:hint="default" w:ascii="Times New Roman" w:hAnsi="Times New Roman" w:eastAsia="宋体" w:cs="Times New Roman"/>
                <w:bCs/>
                <w:sz w:val="24"/>
                <w:szCs w:val="24"/>
              </w:rPr>
              <w:t>，并购置吹膜机、制袋机、造粒机、气泡膜机、缠绕膜机、印刷机、造粒机、搅拌机、注塑机、空压机等生产设备，建设年产包装袋1800t、各类膜产品600t、汽配注塑件600t生产线。</w:t>
            </w:r>
          </w:p>
          <w:p>
            <w:pPr>
              <w:spacing w:line="360" w:lineRule="auto"/>
              <w:ind w:firstLine="480" w:firstLineChars="200"/>
              <w:contextualSpacing/>
              <w:rPr>
                <w:rFonts w:hint="default"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eastAsia="zh-CN"/>
              </w:rPr>
              <w:t>在</w:t>
            </w:r>
            <w:r>
              <w:rPr>
                <w:rFonts w:hint="default" w:ascii="Times New Roman" w:hAnsi="Times New Roman" w:eastAsia="宋体" w:cs="Times New Roman"/>
                <w:bCs/>
                <w:sz w:val="24"/>
                <w:szCs w:val="24"/>
                <w:highlight w:val="none"/>
              </w:rPr>
              <w:t>实际建设中，厂房面积不变，</w:t>
            </w:r>
            <w:r>
              <w:rPr>
                <w:rFonts w:hint="eastAsia" w:ascii="Times New Roman" w:hAnsi="Times New Roman" w:eastAsia="宋体" w:cs="Times New Roman"/>
                <w:bCs/>
                <w:sz w:val="24"/>
                <w:szCs w:val="24"/>
                <w:highlight w:val="none"/>
                <w:lang w:eastAsia="zh-CN"/>
              </w:rPr>
              <w:t>部分外租，</w:t>
            </w:r>
            <w:r>
              <w:rPr>
                <w:rFonts w:hint="default" w:ascii="Times New Roman" w:hAnsi="Times New Roman" w:eastAsia="宋体" w:cs="Times New Roman"/>
                <w:bCs/>
                <w:sz w:val="24"/>
                <w:szCs w:val="24"/>
                <w:highlight w:val="none"/>
              </w:rPr>
              <w:t>只建成部分设备及配套的环保设施。目前形成年产包装袋1800t的生产能力。本次验收只针对已建成部分进行，未建部分待建成后另行验收。</w:t>
            </w:r>
          </w:p>
          <w:p>
            <w:pPr>
              <w:spacing w:line="360" w:lineRule="auto"/>
              <w:ind w:firstLine="480" w:firstLineChars="200"/>
              <w:contextualSpacing/>
              <w:rPr>
                <w:rFonts w:hint="default" w:ascii="Times New Roman" w:hAnsi="Times New Roman" w:eastAsia="宋体" w:cs="Times New Roman"/>
                <w:bCs/>
                <w:color w:val="FF0000"/>
                <w:sz w:val="24"/>
                <w:szCs w:val="24"/>
              </w:rPr>
            </w:pPr>
            <w:r>
              <w:rPr>
                <w:rFonts w:hint="eastAsia" w:ascii="Times New Roman" w:hAnsi="Times New Roman" w:eastAsia="宋体" w:cs="Times New Roman"/>
                <w:bCs/>
                <w:sz w:val="24"/>
                <w:szCs w:val="24"/>
                <w:lang w:eastAsia="zh-CN"/>
              </w:rPr>
              <w:t>项目于</w:t>
            </w:r>
            <w:r>
              <w:rPr>
                <w:rFonts w:hint="default" w:ascii="Times New Roman" w:hAnsi="Times New Roman" w:eastAsia="宋体" w:cs="Times New Roman"/>
                <w:bCs/>
                <w:sz w:val="24"/>
                <w:szCs w:val="24"/>
              </w:rPr>
              <w:t>20</w:t>
            </w:r>
            <w:r>
              <w:rPr>
                <w:rFonts w:hint="eastAsia" w:ascii="Times New Roman" w:hAnsi="Times New Roman" w:eastAsia="宋体" w:cs="Times New Roman"/>
                <w:bCs/>
                <w:sz w:val="24"/>
                <w:szCs w:val="24"/>
                <w:lang w:val="en-US" w:eastAsia="zh-CN"/>
              </w:rPr>
              <w:t>20</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月</w:t>
            </w:r>
            <w:r>
              <w:rPr>
                <w:rFonts w:hint="eastAsia" w:ascii="Times New Roman" w:hAnsi="Times New Roman" w:eastAsia="宋体" w:cs="Times New Roman"/>
                <w:bCs/>
                <w:sz w:val="24"/>
                <w:szCs w:val="24"/>
                <w:lang w:val="en-US" w:eastAsia="zh-CN"/>
              </w:rPr>
              <w:t>19</w:t>
            </w:r>
            <w:r>
              <w:rPr>
                <w:rFonts w:hint="default" w:ascii="Times New Roman" w:hAnsi="Times New Roman" w:eastAsia="宋体" w:cs="Times New Roman"/>
                <w:bCs/>
                <w:sz w:val="24"/>
                <w:szCs w:val="24"/>
              </w:rPr>
              <w:t>日取得了</w:t>
            </w:r>
            <w:r>
              <w:rPr>
                <w:rFonts w:hint="eastAsia" w:ascii="Times New Roman" w:hAnsi="Times New Roman" w:eastAsia="宋体" w:cs="Times New Roman"/>
                <w:bCs/>
                <w:sz w:val="24"/>
                <w:szCs w:val="24"/>
                <w:lang w:eastAsia="zh-CN"/>
              </w:rPr>
              <w:t>承诺制</w:t>
            </w:r>
            <w:r>
              <w:rPr>
                <w:rFonts w:hint="default" w:ascii="Times New Roman" w:hAnsi="Times New Roman" w:eastAsia="宋体" w:cs="Times New Roman"/>
                <w:bCs/>
                <w:sz w:val="24"/>
                <w:szCs w:val="24"/>
              </w:rPr>
              <w:t>环评批复（</w:t>
            </w:r>
            <w:r>
              <w:rPr>
                <w:rFonts w:hint="eastAsia" w:ascii="Times New Roman" w:hAnsi="Times New Roman" w:eastAsia="宋体" w:cs="Times New Roman"/>
                <w:bCs/>
                <w:sz w:val="24"/>
                <w:szCs w:val="24"/>
                <w:lang w:eastAsia="zh-CN"/>
              </w:rPr>
              <w:t>资环审批乐诺[2020]4号</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重庆市江津区成硕环保工程有限公司于202</w:t>
            </w:r>
            <w:r>
              <w:rPr>
                <w:rFonts w:hint="eastAsia" w:ascii="Times New Roman" w:hAnsi="Times New Roman" w:eastAsia="宋体" w:cs="Times New Roman"/>
                <w:bCs/>
                <w:sz w:val="24"/>
                <w:szCs w:val="24"/>
                <w:lang w:val="en-US" w:eastAsia="zh-CN"/>
              </w:rPr>
              <w:t>0</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7</w:t>
            </w:r>
            <w:r>
              <w:rPr>
                <w:rFonts w:hint="default" w:ascii="Times New Roman" w:hAnsi="Times New Roman" w:eastAsia="宋体" w:cs="Times New Roman"/>
                <w:bCs/>
                <w:sz w:val="24"/>
                <w:szCs w:val="24"/>
              </w:rPr>
              <w:t>月完成了该项目环境影响评价工作，202</w:t>
            </w:r>
            <w:r>
              <w:rPr>
                <w:rFonts w:hint="eastAsia" w:ascii="Times New Roman" w:hAnsi="Times New Roman" w:eastAsia="宋体" w:cs="Times New Roman"/>
                <w:bCs/>
                <w:sz w:val="24"/>
                <w:szCs w:val="24"/>
                <w:lang w:val="en-US" w:eastAsia="zh-CN"/>
              </w:rPr>
              <w:t>0</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月开始建设，并于202</w:t>
            </w:r>
            <w:r>
              <w:rPr>
                <w:rFonts w:hint="eastAsia"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月建成并投入运行。</w:t>
            </w:r>
          </w:p>
          <w:p>
            <w:pPr>
              <w:spacing w:line="360" w:lineRule="auto"/>
              <w:ind w:firstLine="482" w:firstLineChars="200"/>
              <w:contextualSpacing/>
              <w:rPr>
                <w:rFonts w:hint="default" w:ascii="Times New Roman" w:hAnsi="Times New Roman" w:eastAsia="宋体" w:cs="Times New Roman"/>
                <w:b/>
                <w:bCs w:val="0"/>
                <w:sz w:val="24"/>
                <w:szCs w:val="24"/>
              </w:rPr>
            </w:pPr>
            <w:r>
              <w:rPr>
                <w:rFonts w:hint="default" w:ascii="Times New Roman" w:hAnsi="Times New Roman" w:eastAsia="宋体" w:cs="Times New Roman"/>
                <w:b/>
                <w:bCs w:val="0"/>
                <w:sz w:val="24"/>
                <w:szCs w:val="24"/>
              </w:rPr>
              <w:t>项目建设、投入生产至今没有收到周边环保投诉，没有发生环保污染事故。</w:t>
            </w:r>
          </w:p>
          <w:p>
            <w:pPr>
              <w:spacing w:line="360" w:lineRule="auto"/>
              <w:ind w:firstLine="480" w:firstLineChars="200"/>
              <w:contextualSpacing/>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根据《建设项目环境保护管理条例》（国务院第682号令）及《建设项目竣工环境保护验收暂行办法》等规定，项目需进行环境保护竣工验收监测并编制验收监测表。参考四川中谦检测有限公司出具的监测报告以及其他相关资料，在满足工况要求的条件下，</w:t>
            </w:r>
            <w:r>
              <w:rPr>
                <w:rFonts w:hint="eastAsia" w:ascii="Times New Roman" w:hAnsi="Times New Roman" w:eastAsia="宋体" w:cs="Times New Roman"/>
                <w:bCs/>
                <w:sz w:val="24"/>
                <w:szCs w:val="24"/>
                <w:lang w:eastAsia="zh-CN"/>
              </w:rPr>
              <w:t>资阳众诺诚塑料制品有限责任公司</w:t>
            </w:r>
            <w:r>
              <w:rPr>
                <w:rFonts w:hint="default" w:ascii="Times New Roman" w:hAnsi="Times New Roman" w:eastAsia="宋体" w:cs="Times New Roman"/>
                <w:bCs/>
                <w:sz w:val="24"/>
                <w:szCs w:val="24"/>
              </w:rPr>
              <w:t>编制了本项目竣工环境保护验收监测报告</w:t>
            </w:r>
            <w:r>
              <w:rPr>
                <w:rFonts w:hint="default" w:ascii="Times New Roman" w:hAnsi="Times New Roman" w:eastAsia="宋体" w:cs="Times New Roman"/>
                <w:sz w:val="24"/>
                <w:szCs w:val="24"/>
              </w:rPr>
              <w:t>。</w:t>
            </w:r>
          </w:p>
          <w:p>
            <w:pPr>
              <w:spacing w:line="360" w:lineRule="auto"/>
              <w:ind w:firstLine="480" w:firstLineChars="200"/>
              <w:contextualSpacing/>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验收期间项目工况为75%以上。</w:t>
            </w:r>
            <w:r>
              <w:rPr>
                <w:rFonts w:hint="default" w:ascii="Times New Roman" w:hAnsi="Times New Roman" w:eastAsia="宋体" w:cs="Times New Roman"/>
                <w:bCs/>
                <w:sz w:val="24"/>
                <w:szCs w:val="24"/>
              </w:rPr>
              <w:t>自投产以来，该项目生产设备、环保设施运行正常，符合验收要求。</w:t>
            </w:r>
            <w:r>
              <w:rPr>
                <w:rFonts w:hint="default" w:ascii="Times New Roman" w:hAnsi="Times New Roman" w:eastAsia="宋体" w:cs="Times New Roman"/>
                <w:sz w:val="24"/>
                <w:szCs w:val="24"/>
              </w:rPr>
              <w:t>符合验收监测条件。</w:t>
            </w:r>
          </w:p>
          <w:p>
            <w:pPr>
              <w:spacing w:beforeLines="30" w:afterLines="30" w:line="360" w:lineRule="auto"/>
              <w:contextualSpacing/>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二、验收监测范围</w:t>
            </w:r>
          </w:p>
          <w:p>
            <w:pPr>
              <w:spacing w:line="360" w:lineRule="auto"/>
              <w:ind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乐至县众诺诚注塑件项目</w:t>
            </w:r>
            <w:r>
              <w:rPr>
                <w:rFonts w:hint="default" w:ascii="Times New Roman" w:hAnsi="Times New Roman" w:eastAsia="宋体" w:cs="Times New Roman"/>
                <w:bCs/>
                <w:sz w:val="24"/>
                <w:szCs w:val="24"/>
              </w:rPr>
              <w:t>”</w:t>
            </w:r>
            <w:r>
              <w:rPr>
                <w:rFonts w:hint="default" w:ascii="Times New Roman" w:hAnsi="Times New Roman" w:eastAsia="宋体" w:cs="Times New Roman"/>
                <w:sz w:val="24"/>
                <w:szCs w:val="24"/>
              </w:rPr>
              <w:t>的主体工程、储运工程、辅助工程、公用工程、环保工程及相关配套设施等。</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本次验收范围见表1-1。</w:t>
            </w:r>
          </w:p>
          <w:p>
            <w:pPr>
              <w:spacing w:beforeLines="50"/>
              <w:contextualSpacing/>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表1-1本次验收范围</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12"/>
              <w:gridCol w:w="6325"/>
              <w:gridCol w:w="7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1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contextualSpacing/>
                    <w:jc w:val="center"/>
                    <w:textAlignment w:val="auto"/>
                    <w:rPr>
                      <w:rFonts w:asciiTheme="minorHAnsi" w:hAnsiTheme="minorHAnsi" w:eastAsiaTheme="minorEastAsia" w:cstheme="minorBidi"/>
                      <w:b/>
                      <w:bCs/>
                      <w:kern w:val="2"/>
                      <w:sz w:val="21"/>
                      <w:szCs w:val="21"/>
                      <w:lang w:val="en-US" w:eastAsia="zh-CN" w:bidi="ar-SA"/>
                    </w:rPr>
                  </w:pPr>
                  <w:r>
                    <w:rPr>
                      <w:b/>
                      <w:bCs/>
                      <w:szCs w:val="21"/>
                    </w:rPr>
                    <w:t>项目组成名称</w:t>
                  </w:r>
                </w:p>
              </w:tc>
              <w:tc>
                <w:tcPr>
                  <w:tcW w:w="6325" w:type="dxa"/>
                  <w:vAlign w:val="center"/>
                </w:tcPr>
                <w:p>
                  <w:pPr>
                    <w:keepNext w:val="0"/>
                    <w:keepLines w:val="0"/>
                    <w:pageBreakBefore w:val="0"/>
                    <w:widowControl w:val="0"/>
                    <w:kinsoku/>
                    <w:wordWrap/>
                    <w:overflowPunct/>
                    <w:topLinePunct w:val="0"/>
                    <w:autoSpaceDE/>
                    <w:autoSpaceDN/>
                    <w:bidi w:val="0"/>
                    <w:adjustRightInd/>
                    <w:snapToGrid/>
                    <w:spacing w:line="240" w:lineRule="atLeast"/>
                    <w:contextualSpacing/>
                    <w:jc w:val="center"/>
                    <w:textAlignment w:val="auto"/>
                    <w:rPr>
                      <w:rFonts w:hint="eastAsia" w:asciiTheme="minorHAnsi" w:hAnsiTheme="minorHAnsi" w:eastAsiaTheme="minorEastAsia" w:cstheme="minorBidi"/>
                      <w:b/>
                      <w:bCs/>
                      <w:kern w:val="2"/>
                      <w:sz w:val="21"/>
                      <w:szCs w:val="21"/>
                      <w:lang w:val="en-US" w:eastAsia="zh-CN" w:bidi="ar-SA"/>
                    </w:rPr>
                  </w:pPr>
                  <w:r>
                    <w:rPr>
                      <w:b/>
                      <w:bCs/>
                      <w:szCs w:val="21"/>
                    </w:rPr>
                    <w:t>建设内容及规模</w:t>
                  </w:r>
                </w:p>
              </w:tc>
              <w:tc>
                <w:tcPr>
                  <w:tcW w:w="773" w:type="dxa"/>
                  <w:vAlign w:val="center"/>
                </w:tcPr>
                <w:p>
                  <w:pPr>
                    <w:keepNext w:val="0"/>
                    <w:keepLines w:val="0"/>
                    <w:pageBreakBefore w:val="0"/>
                    <w:widowControl w:val="0"/>
                    <w:kinsoku/>
                    <w:wordWrap/>
                    <w:overflowPunct/>
                    <w:topLinePunct w:val="0"/>
                    <w:autoSpaceDE/>
                    <w:autoSpaceDN/>
                    <w:bidi w:val="0"/>
                    <w:adjustRightInd/>
                    <w:snapToGrid/>
                    <w:spacing w:line="240" w:lineRule="atLeast"/>
                    <w:contextualSpacing/>
                    <w:jc w:val="center"/>
                    <w:textAlignment w:val="auto"/>
                    <w:rPr>
                      <w:rFonts w:hint="eastAsia" w:asciiTheme="minorHAnsi" w:hAnsiTheme="minorHAnsi" w:eastAsiaTheme="minorEastAsia" w:cstheme="minorBidi"/>
                      <w:b/>
                      <w:bCs/>
                      <w:kern w:val="2"/>
                      <w:sz w:val="21"/>
                      <w:szCs w:val="21"/>
                      <w:lang w:val="en-US" w:eastAsia="zh-CN" w:bidi="ar-SA"/>
                    </w:rPr>
                  </w:pPr>
                  <w:r>
                    <w:rPr>
                      <w:b/>
                      <w:bCs/>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Align w:val="center"/>
                </w:tcPr>
                <w:p>
                  <w:pPr>
                    <w:pStyle w:val="70"/>
                    <w:ind w:firstLine="0" w:firstLineChars="0"/>
                  </w:pPr>
                  <w:r>
                    <w:t>主体</w:t>
                  </w:r>
                </w:p>
                <w:p>
                  <w:pPr>
                    <w:pStyle w:val="70"/>
                    <w:ind w:firstLine="0" w:firstLineChars="0"/>
                    <w:rPr>
                      <w:bCs/>
                      <w:szCs w:val="21"/>
                    </w:rPr>
                  </w:pPr>
                  <w:r>
                    <w:t>工程</w:t>
                  </w:r>
                </w:p>
              </w:tc>
              <w:tc>
                <w:tcPr>
                  <w:tcW w:w="1312" w:type="dxa"/>
                  <w:vAlign w:val="center"/>
                </w:tcPr>
                <w:p>
                  <w:pPr>
                    <w:pStyle w:val="70"/>
                    <w:ind w:firstLine="0" w:firstLineChars="0"/>
                    <w:rPr>
                      <w:szCs w:val="21"/>
                    </w:rPr>
                  </w:pPr>
                  <w:r>
                    <w:rPr>
                      <w:rFonts w:hint="eastAsia"/>
                    </w:rPr>
                    <w:t>生产车间</w:t>
                  </w:r>
                </w:p>
              </w:tc>
              <w:tc>
                <w:tcPr>
                  <w:tcW w:w="6325" w:type="dxa"/>
                  <w:vAlign w:val="center"/>
                </w:tcPr>
                <w:p>
                  <w:pPr>
                    <w:pStyle w:val="70"/>
                    <w:ind w:firstLine="0" w:firstLineChars="0"/>
                    <w:jc w:val="left"/>
                    <w:rPr>
                      <w:szCs w:val="21"/>
                    </w:rPr>
                  </w:pPr>
                  <w:r>
                    <w:rPr>
                      <w:rFonts w:hint="eastAsia"/>
                    </w:rPr>
                    <w:t>2F，钢架结构，</w:t>
                  </w:r>
                  <w:r>
                    <w:rPr>
                      <w:rFonts w:hint="eastAsia"/>
                      <w:lang w:eastAsia="zh-CN"/>
                    </w:rPr>
                    <w:t>东侧部分出租；剩余部分</w:t>
                  </w:r>
                  <w:r>
                    <w:rPr>
                      <w:rFonts w:hint="eastAsia"/>
                      <w:lang w:val="en-US" w:eastAsia="zh-CN"/>
                    </w:rPr>
                    <w:t>1F为</w:t>
                  </w:r>
                  <w:r>
                    <w:rPr>
                      <w:rFonts w:hint="eastAsia"/>
                    </w:rPr>
                    <w:t>生产车间、</w:t>
                  </w:r>
                  <w:r>
                    <w:rPr>
                      <w:rFonts w:hint="eastAsia"/>
                      <w:lang w:eastAsia="zh-CN"/>
                    </w:rPr>
                    <w:t>成品</w:t>
                  </w:r>
                  <w:r>
                    <w:rPr>
                      <w:rFonts w:hint="eastAsia"/>
                    </w:rPr>
                    <w:t>库房；2</w:t>
                  </w:r>
                  <w:r>
                    <w:t>F</w:t>
                  </w:r>
                  <w:r>
                    <w:rPr>
                      <w:rFonts w:hint="eastAsia"/>
                      <w:lang w:eastAsia="zh-CN"/>
                    </w:rPr>
                    <w:t>西侧为</w:t>
                  </w:r>
                  <w:r>
                    <w:rPr>
                      <w:rFonts w:hint="eastAsia"/>
                    </w:rPr>
                    <w:t>成品库房</w:t>
                  </w:r>
                  <w:r>
                    <w:rPr>
                      <w:rFonts w:hint="eastAsia"/>
                      <w:lang w:eastAsia="zh-CN"/>
                    </w:rPr>
                    <w:t>，东侧为生产车间</w:t>
                  </w:r>
                  <w:r>
                    <w:rPr>
                      <w:rFonts w:hint="eastAsia"/>
                    </w:rPr>
                    <w:t>。</w:t>
                  </w:r>
                </w:p>
              </w:tc>
              <w:tc>
                <w:tcPr>
                  <w:tcW w:w="773" w:type="dxa"/>
                  <w:vAlign w:val="center"/>
                </w:tcPr>
                <w:p>
                  <w:pPr>
                    <w:contextualSpacing/>
                    <w:jc w:val="center"/>
                    <w:rPr>
                      <w:rFonts w:hint="eastAsia" w:eastAsiaTheme="minorEastAsia"/>
                      <w:bCs/>
                      <w:szCs w:val="21"/>
                      <w:lang w:eastAsia="zh-CN"/>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restart"/>
                  <w:vAlign w:val="center"/>
                </w:tcPr>
                <w:p>
                  <w:pPr>
                    <w:contextualSpacing/>
                    <w:jc w:val="center"/>
                    <w:rPr>
                      <w:bCs/>
                      <w:szCs w:val="21"/>
                    </w:rPr>
                  </w:pPr>
                  <w:r>
                    <w:rPr>
                      <w:bCs/>
                      <w:szCs w:val="21"/>
                    </w:rPr>
                    <w:t>公用</w:t>
                  </w:r>
                </w:p>
                <w:p>
                  <w:pPr>
                    <w:contextualSpacing/>
                    <w:jc w:val="center"/>
                    <w:rPr>
                      <w:bCs/>
                      <w:szCs w:val="21"/>
                    </w:rPr>
                  </w:pPr>
                  <w:r>
                    <w:rPr>
                      <w:bCs/>
                      <w:szCs w:val="21"/>
                    </w:rPr>
                    <w:t>工程</w:t>
                  </w:r>
                </w:p>
              </w:tc>
              <w:tc>
                <w:tcPr>
                  <w:tcW w:w="1312" w:type="dxa"/>
                  <w:vMerge w:val="restart"/>
                  <w:vAlign w:val="center"/>
                </w:tcPr>
                <w:p>
                  <w:pPr>
                    <w:pStyle w:val="70"/>
                  </w:pPr>
                  <w:r>
                    <w:t>公用</w:t>
                  </w:r>
                </w:p>
                <w:p>
                  <w:pPr>
                    <w:pStyle w:val="70"/>
                    <w:ind w:firstLine="0" w:firstLineChars="0"/>
                    <w:rPr>
                      <w:szCs w:val="21"/>
                    </w:rPr>
                  </w:pPr>
                  <w:r>
                    <w:t>工程</w:t>
                  </w:r>
                </w:p>
              </w:tc>
              <w:tc>
                <w:tcPr>
                  <w:tcW w:w="6325" w:type="dxa"/>
                  <w:vAlign w:val="center"/>
                </w:tcPr>
                <w:p>
                  <w:pPr>
                    <w:pStyle w:val="70"/>
                    <w:ind w:firstLine="0" w:firstLineChars="0"/>
                    <w:rPr>
                      <w:bCs/>
                      <w:szCs w:val="21"/>
                    </w:rPr>
                  </w:pPr>
                  <w:r>
                    <w:t>供电设施</w:t>
                  </w:r>
                </w:p>
              </w:tc>
              <w:tc>
                <w:tcPr>
                  <w:tcW w:w="773" w:type="dxa"/>
                  <w:vAlign w:val="center"/>
                </w:tcPr>
                <w:p>
                  <w:pPr>
                    <w:contextualSpacing/>
                    <w:jc w:val="center"/>
                    <w:rPr>
                      <w:szCs w:val="21"/>
                    </w:rPr>
                  </w:pPr>
                  <w:r>
                    <w:rPr>
                      <w:bCs/>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contextualSpacing/>
                    <w:jc w:val="center"/>
                    <w:rPr>
                      <w:bCs/>
                      <w:szCs w:val="21"/>
                    </w:rPr>
                  </w:pPr>
                </w:p>
              </w:tc>
              <w:tc>
                <w:tcPr>
                  <w:tcW w:w="1312" w:type="dxa"/>
                  <w:vMerge w:val="continue"/>
                  <w:vAlign w:val="center"/>
                </w:tcPr>
                <w:p>
                  <w:pPr>
                    <w:pStyle w:val="70"/>
                    <w:ind w:firstLine="0" w:firstLineChars="0"/>
                    <w:rPr>
                      <w:bCs/>
                      <w:sz w:val="21"/>
                      <w:szCs w:val="21"/>
                    </w:rPr>
                  </w:pPr>
                </w:p>
              </w:tc>
              <w:tc>
                <w:tcPr>
                  <w:tcW w:w="6325" w:type="dxa"/>
                  <w:vAlign w:val="center"/>
                </w:tcPr>
                <w:p>
                  <w:pPr>
                    <w:pStyle w:val="70"/>
                    <w:ind w:firstLine="0" w:firstLineChars="0"/>
                    <w:rPr>
                      <w:szCs w:val="21"/>
                    </w:rPr>
                  </w:pPr>
                  <w:r>
                    <w:t>供水设施</w:t>
                  </w:r>
                </w:p>
              </w:tc>
              <w:tc>
                <w:tcPr>
                  <w:tcW w:w="773" w:type="dxa"/>
                  <w:vAlign w:val="center"/>
                </w:tcPr>
                <w:p>
                  <w:pPr>
                    <w:contextualSpacing/>
                    <w:jc w:val="center"/>
                    <w:rPr>
                      <w:szCs w:val="21"/>
                    </w:rPr>
                  </w:pPr>
                  <w:r>
                    <w:rPr>
                      <w:bCs/>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restart"/>
                  <w:vAlign w:val="center"/>
                </w:tcPr>
                <w:p>
                  <w:pPr>
                    <w:pStyle w:val="70"/>
                    <w:ind w:firstLine="0" w:firstLineChars="0"/>
                    <w:rPr>
                      <w:rFonts w:hint="eastAsia"/>
                    </w:rPr>
                  </w:pPr>
                  <w:r>
                    <w:rPr>
                      <w:rFonts w:hint="eastAsia"/>
                    </w:rPr>
                    <w:t>办公</w:t>
                  </w:r>
                </w:p>
                <w:p>
                  <w:pPr>
                    <w:pStyle w:val="70"/>
                    <w:ind w:firstLine="0" w:firstLineChars="0"/>
                    <w:rPr>
                      <w:bCs/>
                      <w:szCs w:val="21"/>
                    </w:rPr>
                  </w:pPr>
                  <w:r>
                    <w:rPr>
                      <w:rFonts w:hint="eastAsia"/>
                    </w:rPr>
                    <w:t>生活</w:t>
                  </w:r>
                </w:p>
              </w:tc>
              <w:tc>
                <w:tcPr>
                  <w:tcW w:w="1312" w:type="dxa"/>
                  <w:vMerge w:val="restart"/>
                  <w:vAlign w:val="center"/>
                </w:tcPr>
                <w:p>
                  <w:pPr>
                    <w:pStyle w:val="70"/>
                    <w:ind w:firstLine="0" w:firstLineChars="0"/>
                    <w:rPr>
                      <w:bCs/>
                      <w:sz w:val="21"/>
                      <w:szCs w:val="21"/>
                    </w:rPr>
                  </w:pPr>
                  <w:r>
                    <w:rPr>
                      <w:rFonts w:hint="eastAsia"/>
                    </w:rPr>
                    <w:t>综合楼</w:t>
                  </w:r>
                </w:p>
              </w:tc>
              <w:tc>
                <w:tcPr>
                  <w:tcW w:w="6325" w:type="dxa"/>
                  <w:vAlign w:val="center"/>
                </w:tcPr>
                <w:p>
                  <w:pPr>
                    <w:pStyle w:val="70"/>
                    <w:ind w:firstLine="0" w:firstLineChars="0"/>
                    <w:jc w:val="left"/>
                  </w:pPr>
                  <w:r>
                    <w:rPr>
                      <w:rFonts w:hint="eastAsia"/>
                    </w:rPr>
                    <w:t>4</w:t>
                  </w:r>
                  <w:r>
                    <w:t>F</w:t>
                  </w:r>
                  <w:r>
                    <w:rPr>
                      <w:rFonts w:hint="eastAsia"/>
                    </w:rPr>
                    <w:t>，混凝土结构，总建筑面积1332m</w:t>
                  </w:r>
                  <w:r>
                    <w:rPr>
                      <w:rFonts w:hint="eastAsia"/>
                      <w:vertAlign w:val="superscript"/>
                    </w:rPr>
                    <w:t>2</w:t>
                  </w:r>
                  <w:r>
                    <w:rPr>
                      <w:rFonts w:hint="eastAsia"/>
                    </w:rPr>
                    <w:t>。</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bCs/>
                      <w:sz w:val="21"/>
                      <w:szCs w:val="21"/>
                    </w:rPr>
                  </w:pPr>
                </w:p>
              </w:tc>
              <w:tc>
                <w:tcPr>
                  <w:tcW w:w="6325" w:type="dxa"/>
                  <w:vAlign w:val="center"/>
                </w:tcPr>
                <w:p>
                  <w:pPr>
                    <w:pStyle w:val="70"/>
                    <w:ind w:firstLine="0" w:firstLineChars="0"/>
                    <w:jc w:val="left"/>
                  </w:pPr>
                  <w:r>
                    <w:rPr>
                      <w:rFonts w:hint="eastAsia"/>
                    </w:rPr>
                    <w:t>1</w:t>
                  </w:r>
                  <w:r>
                    <w:t>F</w:t>
                  </w:r>
                  <w:r>
                    <w:rPr>
                      <w:rFonts w:hint="eastAsia"/>
                    </w:rPr>
                    <w:t>为卫生间、门卫室、展示大厅、餐厅、厨房</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bCs/>
                      <w:sz w:val="21"/>
                      <w:szCs w:val="21"/>
                    </w:rPr>
                  </w:pPr>
                </w:p>
              </w:tc>
              <w:tc>
                <w:tcPr>
                  <w:tcW w:w="6325" w:type="dxa"/>
                  <w:vAlign w:val="center"/>
                </w:tcPr>
                <w:p>
                  <w:pPr>
                    <w:pStyle w:val="70"/>
                    <w:ind w:firstLine="0" w:firstLineChars="0"/>
                    <w:jc w:val="left"/>
                  </w:pPr>
                  <w:r>
                    <w:rPr>
                      <w:rFonts w:hint="eastAsia"/>
                    </w:rPr>
                    <w:t>2</w:t>
                  </w:r>
                  <w:r>
                    <w:t>F</w:t>
                  </w:r>
                  <w:r>
                    <w:rPr>
                      <w:rFonts w:hint="eastAsia"/>
                    </w:rPr>
                    <w:t>、3</w:t>
                  </w:r>
                  <w:r>
                    <w:t>F</w:t>
                  </w:r>
                  <w:r>
                    <w:rPr>
                      <w:rFonts w:hint="eastAsia"/>
                    </w:rPr>
                    <w:t>为办公室及宿舍</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bCs/>
                      <w:sz w:val="21"/>
                      <w:szCs w:val="21"/>
                    </w:rPr>
                  </w:pPr>
                </w:p>
              </w:tc>
              <w:tc>
                <w:tcPr>
                  <w:tcW w:w="6325" w:type="dxa"/>
                  <w:vAlign w:val="center"/>
                </w:tcPr>
                <w:p>
                  <w:pPr>
                    <w:pStyle w:val="70"/>
                    <w:ind w:firstLine="0" w:firstLineChars="0"/>
                    <w:jc w:val="left"/>
                  </w:pPr>
                  <w:r>
                    <w:t>4F</w:t>
                  </w:r>
                  <w:r>
                    <w:rPr>
                      <w:rFonts w:hint="eastAsia"/>
                    </w:rPr>
                    <w:t>为屋顶花园、会议室、宿舍</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restart"/>
                  <w:vAlign w:val="center"/>
                </w:tcPr>
                <w:p>
                  <w:pPr>
                    <w:pStyle w:val="70"/>
                    <w:ind w:firstLine="0" w:firstLineChars="0"/>
                    <w:rPr>
                      <w:bCs/>
                      <w:szCs w:val="21"/>
                    </w:rPr>
                  </w:pPr>
                  <w:r>
                    <w:rPr>
                      <w:rFonts w:hint="eastAsia"/>
                    </w:rPr>
                    <w:t>仓储及其他</w:t>
                  </w:r>
                </w:p>
              </w:tc>
              <w:tc>
                <w:tcPr>
                  <w:tcW w:w="1312" w:type="dxa"/>
                  <w:vAlign w:val="center"/>
                </w:tcPr>
                <w:p>
                  <w:pPr>
                    <w:pStyle w:val="70"/>
                    <w:ind w:firstLine="0" w:firstLineChars="0"/>
                    <w:rPr>
                      <w:bCs/>
                      <w:sz w:val="21"/>
                      <w:szCs w:val="21"/>
                    </w:rPr>
                  </w:pPr>
                  <w:r>
                    <w:rPr>
                      <w:rFonts w:hint="eastAsia"/>
                    </w:rPr>
                    <w:t>成品库房</w:t>
                  </w:r>
                </w:p>
              </w:tc>
              <w:tc>
                <w:tcPr>
                  <w:tcW w:w="6325" w:type="dxa"/>
                  <w:vAlign w:val="center"/>
                </w:tcPr>
                <w:p>
                  <w:pPr>
                    <w:pStyle w:val="70"/>
                    <w:ind w:firstLine="0" w:firstLineChars="0"/>
                    <w:jc w:val="left"/>
                  </w:pPr>
                  <w:r>
                    <w:rPr>
                      <w:rFonts w:hint="eastAsia"/>
                    </w:rPr>
                    <w:t>位于生产车间2F，建筑面积5670m</w:t>
                  </w:r>
                  <w:r>
                    <w:rPr>
                      <w:rFonts w:hint="eastAsia"/>
                      <w:vertAlign w:val="superscript"/>
                    </w:rPr>
                    <w:t>2</w:t>
                  </w:r>
                  <w:r>
                    <w:rPr>
                      <w:rFonts w:hint="eastAsia"/>
                    </w:rPr>
                    <w:t>。</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Align w:val="center"/>
                </w:tcPr>
                <w:p>
                  <w:pPr>
                    <w:pStyle w:val="70"/>
                    <w:ind w:firstLine="0" w:firstLineChars="0"/>
                    <w:rPr>
                      <w:bCs/>
                      <w:sz w:val="21"/>
                      <w:szCs w:val="21"/>
                    </w:rPr>
                  </w:pPr>
                  <w:r>
                    <w:rPr>
                      <w:rFonts w:hint="eastAsia"/>
                    </w:rPr>
                    <w:t>原料库存区</w:t>
                  </w:r>
                </w:p>
              </w:tc>
              <w:tc>
                <w:tcPr>
                  <w:tcW w:w="6325" w:type="dxa"/>
                  <w:vAlign w:val="center"/>
                </w:tcPr>
                <w:p>
                  <w:pPr>
                    <w:pStyle w:val="70"/>
                    <w:ind w:firstLine="0" w:firstLineChars="0"/>
                    <w:jc w:val="left"/>
                  </w:pPr>
                  <w:r>
                    <w:rPr>
                      <w:rFonts w:hint="eastAsia"/>
                    </w:rPr>
                    <w:t>位于生产车间1F，建筑面积880m</w:t>
                  </w:r>
                  <w:r>
                    <w:rPr>
                      <w:rFonts w:hint="eastAsia"/>
                      <w:vertAlign w:val="superscript"/>
                    </w:rPr>
                    <w:t>2</w:t>
                  </w:r>
                  <w:r>
                    <w:rPr>
                      <w:rFonts w:hint="eastAsia"/>
                    </w:rPr>
                    <w:t>。</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Align w:val="center"/>
                </w:tcPr>
                <w:p>
                  <w:pPr>
                    <w:pStyle w:val="70"/>
                    <w:ind w:firstLine="0" w:firstLineChars="0"/>
                    <w:rPr>
                      <w:bCs/>
                      <w:sz w:val="21"/>
                      <w:szCs w:val="21"/>
                    </w:rPr>
                  </w:pPr>
                  <w:r>
                    <w:rPr>
                      <w:rFonts w:hint="eastAsia"/>
                    </w:rPr>
                    <w:t>成品暂存区</w:t>
                  </w:r>
                </w:p>
              </w:tc>
              <w:tc>
                <w:tcPr>
                  <w:tcW w:w="6325" w:type="dxa"/>
                  <w:vAlign w:val="center"/>
                </w:tcPr>
                <w:p>
                  <w:pPr>
                    <w:pStyle w:val="70"/>
                    <w:ind w:firstLine="0" w:firstLineChars="0"/>
                    <w:jc w:val="left"/>
                  </w:pPr>
                  <w:r>
                    <w:rPr>
                      <w:rFonts w:hint="eastAsia"/>
                    </w:rPr>
                    <w:t>位于生产车间1F南侧，建筑面积301.6m</w:t>
                  </w:r>
                  <w:r>
                    <w:rPr>
                      <w:rFonts w:hint="eastAsia"/>
                      <w:vertAlign w:val="superscript"/>
                    </w:rPr>
                    <w:t>2</w:t>
                  </w:r>
                  <w:r>
                    <w:rPr>
                      <w:rFonts w:hint="eastAsia"/>
                    </w:rPr>
                    <w:t>。</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restart"/>
                  <w:vAlign w:val="center"/>
                </w:tcPr>
                <w:p>
                  <w:pPr>
                    <w:pStyle w:val="70"/>
                    <w:ind w:firstLine="0" w:firstLineChars="0"/>
                  </w:pPr>
                  <w:r>
                    <w:t>环保</w:t>
                  </w:r>
                </w:p>
                <w:p>
                  <w:pPr>
                    <w:pStyle w:val="70"/>
                    <w:ind w:firstLine="0" w:firstLineChars="0"/>
                    <w:rPr>
                      <w:bCs/>
                      <w:szCs w:val="21"/>
                    </w:rPr>
                  </w:pPr>
                  <w:r>
                    <w:t>工程</w:t>
                  </w:r>
                </w:p>
              </w:tc>
              <w:tc>
                <w:tcPr>
                  <w:tcW w:w="1312" w:type="dxa"/>
                  <w:vAlign w:val="center"/>
                </w:tcPr>
                <w:p>
                  <w:pPr>
                    <w:pStyle w:val="70"/>
                    <w:ind w:firstLine="0" w:firstLineChars="0"/>
                    <w:rPr>
                      <w:rFonts w:hint="eastAsia"/>
                    </w:rPr>
                  </w:pPr>
                  <w:r>
                    <w:t>废水处理</w:t>
                  </w:r>
                </w:p>
              </w:tc>
              <w:tc>
                <w:tcPr>
                  <w:tcW w:w="6325" w:type="dxa"/>
                  <w:vAlign w:val="center"/>
                </w:tcPr>
                <w:p>
                  <w:pPr>
                    <w:pStyle w:val="70"/>
                    <w:jc w:val="left"/>
                  </w:pPr>
                  <w:r>
                    <w:t>隔油池一座，容积</w:t>
                  </w:r>
                  <w:r>
                    <w:rPr>
                      <w:rFonts w:hint="eastAsia"/>
                    </w:rPr>
                    <w:t>5</w:t>
                  </w:r>
                  <w:r>
                    <w:t>m</w:t>
                  </w:r>
                  <w:r>
                    <w:rPr>
                      <w:vertAlign w:val="superscript"/>
                    </w:rPr>
                    <w:t>3</w:t>
                  </w:r>
                  <w:r>
                    <w:t>，</w:t>
                  </w:r>
                  <w:r>
                    <w:rPr>
                      <w:rFonts w:hint="eastAsia"/>
                    </w:rPr>
                    <w:t>综合楼与生产车间之间</w:t>
                  </w:r>
                  <w:r>
                    <w:t>；</w:t>
                  </w:r>
                </w:p>
                <w:p>
                  <w:pPr>
                    <w:pStyle w:val="70"/>
                    <w:ind w:firstLine="0" w:firstLineChars="0"/>
                    <w:jc w:val="left"/>
                    <w:rPr>
                      <w:rFonts w:hint="eastAsia"/>
                    </w:rPr>
                  </w:pPr>
                  <w:r>
                    <w:rPr>
                      <w:rFonts w:hint="eastAsia"/>
                    </w:rPr>
                    <w:t>化粪池2座，单座容积20</w:t>
                  </w:r>
                  <w:r>
                    <w:t>m</w:t>
                  </w:r>
                  <w:r>
                    <w:rPr>
                      <w:vertAlign w:val="superscript"/>
                    </w:rPr>
                    <w:t>3</w:t>
                  </w:r>
                  <w:r>
                    <w:t>，</w:t>
                  </w:r>
                  <w:r>
                    <w:rPr>
                      <w:rFonts w:hint="eastAsia"/>
                    </w:rPr>
                    <w:t>分别</w:t>
                  </w:r>
                  <w:r>
                    <w:t>位于</w:t>
                  </w:r>
                  <w:r>
                    <w:rPr>
                      <w:rFonts w:hint="eastAsia"/>
                    </w:rPr>
                    <w:t>生产车间西侧、综合楼与生产车间之间。</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restart"/>
                  <w:vAlign w:val="center"/>
                </w:tcPr>
                <w:p>
                  <w:pPr>
                    <w:pStyle w:val="70"/>
                    <w:rPr>
                      <w:rFonts w:hint="eastAsia"/>
                    </w:rPr>
                  </w:pPr>
                  <w:r>
                    <w:rPr>
                      <w:rFonts w:hint="eastAsia"/>
                    </w:rPr>
                    <w:t>废气处理设施</w:t>
                  </w:r>
                </w:p>
              </w:tc>
              <w:tc>
                <w:tcPr>
                  <w:tcW w:w="6325" w:type="dxa"/>
                  <w:vAlign w:val="center"/>
                </w:tcPr>
                <w:p>
                  <w:pPr>
                    <w:pStyle w:val="70"/>
                    <w:ind w:firstLine="0" w:firstLineChars="0"/>
                    <w:jc w:val="left"/>
                    <w:rPr>
                      <w:rFonts w:hint="eastAsia"/>
                    </w:rPr>
                  </w:pPr>
                  <w:r>
                    <w:rPr>
                      <w:rFonts w:hint="eastAsia"/>
                      <w:lang w:eastAsia="zh-CN"/>
                    </w:rPr>
                    <w:t>印刷</w:t>
                  </w:r>
                  <w:r>
                    <w:rPr>
                      <w:rFonts w:hint="eastAsia"/>
                    </w:rPr>
                    <w:t>、</w:t>
                  </w:r>
                  <w:r>
                    <w:t>吹膜</w:t>
                  </w:r>
                  <w:r>
                    <w:rPr>
                      <w:rFonts w:hint="eastAsia"/>
                    </w:rPr>
                    <w:t>有机废气：</w:t>
                  </w:r>
                  <w:r>
                    <w:rPr>
                      <w:szCs w:val="21"/>
                    </w:rPr>
                    <w:t>集气罩+</w:t>
                  </w:r>
                  <w:r>
                    <w:rPr>
                      <w:rFonts w:hint="eastAsia"/>
                      <w:szCs w:val="21"/>
                    </w:rPr>
                    <w:t>活性炭</w:t>
                  </w:r>
                  <w:r>
                    <w:rPr>
                      <w:szCs w:val="21"/>
                    </w:rPr>
                    <w:t>吸附设备</w:t>
                  </w:r>
                  <w:r>
                    <w:rPr>
                      <w:rFonts w:hint="eastAsia"/>
                      <w:szCs w:val="21"/>
                    </w:rPr>
                    <w:t>+</w:t>
                  </w:r>
                  <w:r>
                    <w:rPr>
                      <w:szCs w:val="21"/>
                    </w:rPr>
                    <w:t>15m高排气筒排放</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rFonts w:hint="eastAsia"/>
                    </w:rPr>
                  </w:pPr>
                </w:p>
              </w:tc>
              <w:tc>
                <w:tcPr>
                  <w:tcW w:w="6325" w:type="dxa"/>
                  <w:vAlign w:val="center"/>
                </w:tcPr>
                <w:p>
                  <w:pPr>
                    <w:pStyle w:val="70"/>
                    <w:ind w:firstLine="0" w:firstLineChars="0"/>
                    <w:jc w:val="left"/>
                    <w:rPr>
                      <w:rFonts w:hint="default" w:eastAsiaTheme="minorEastAsia"/>
                      <w:lang w:val="en-US" w:eastAsia="zh-CN"/>
                    </w:rPr>
                  </w:pPr>
                  <w:r>
                    <w:rPr>
                      <w:rFonts w:hint="eastAsia"/>
                      <w:lang w:eastAsia="zh-CN"/>
                    </w:rPr>
                    <w:t>造粒有机废气：集气罩</w:t>
                  </w:r>
                  <w:r>
                    <w:rPr>
                      <w:rFonts w:hint="eastAsia"/>
                      <w:lang w:val="en-US" w:eastAsia="zh-CN"/>
                    </w:rPr>
                    <w:t>+活性炭吸附设备+15m高排气筒排放</w:t>
                  </w:r>
                </w:p>
              </w:tc>
              <w:tc>
                <w:tcPr>
                  <w:tcW w:w="773" w:type="dxa"/>
                  <w:vAlign w:val="center"/>
                </w:tcPr>
                <w:p>
                  <w:pPr>
                    <w:contextualSpacing/>
                    <w:jc w:val="center"/>
                    <w:rPr>
                      <w:rFonts w:hint="eastAsia" w:asciiTheme="minorHAnsi" w:hAnsiTheme="minorHAnsi" w:eastAsiaTheme="minorEastAsia" w:cstheme="minorBidi"/>
                      <w:bCs/>
                      <w:kern w:val="2"/>
                      <w:sz w:val="21"/>
                      <w:szCs w:val="21"/>
                      <w:lang w:val="en-US" w:eastAsia="zh-CN" w:bidi="ar-SA"/>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rFonts w:hint="eastAsia"/>
                    </w:rPr>
                  </w:pPr>
                </w:p>
              </w:tc>
              <w:tc>
                <w:tcPr>
                  <w:tcW w:w="6325" w:type="dxa"/>
                  <w:vAlign w:val="center"/>
                </w:tcPr>
                <w:p>
                  <w:pPr>
                    <w:pStyle w:val="70"/>
                    <w:ind w:firstLine="0" w:firstLineChars="0"/>
                    <w:jc w:val="left"/>
                    <w:rPr>
                      <w:rFonts w:hint="eastAsia"/>
                    </w:rPr>
                  </w:pPr>
                  <w:r>
                    <w:rPr>
                      <w:rFonts w:hint="eastAsia"/>
                    </w:rPr>
                    <w:t>食堂油烟：经油烟净化器处理后，经专用烟道引至楼顶排放</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Align w:val="center"/>
                </w:tcPr>
                <w:p>
                  <w:pPr>
                    <w:pStyle w:val="70"/>
                    <w:ind w:firstLine="0" w:firstLineChars="0"/>
                    <w:rPr>
                      <w:rFonts w:hint="eastAsia"/>
                    </w:rPr>
                  </w:pPr>
                  <w:r>
                    <w:t>降噪</w:t>
                  </w:r>
                  <w:r>
                    <w:rPr>
                      <w:rFonts w:hint="eastAsia"/>
                    </w:rPr>
                    <w:t>措施</w:t>
                  </w:r>
                </w:p>
              </w:tc>
              <w:tc>
                <w:tcPr>
                  <w:tcW w:w="6325" w:type="dxa"/>
                  <w:vAlign w:val="center"/>
                </w:tcPr>
                <w:p>
                  <w:pPr>
                    <w:pStyle w:val="70"/>
                    <w:ind w:firstLine="0" w:firstLineChars="0"/>
                    <w:jc w:val="left"/>
                    <w:rPr>
                      <w:rFonts w:hint="eastAsia"/>
                    </w:rPr>
                  </w:pPr>
                  <w:r>
                    <w:t>选用低噪声设备、基础减振、建筑隔声</w:t>
                  </w:r>
                  <w:r>
                    <w:rPr>
                      <w:rFonts w:hint="eastAsia"/>
                    </w:rPr>
                    <w:t>等</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restart"/>
                  <w:vAlign w:val="center"/>
                </w:tcPr>
                <w:p>
                  <w:pPr>
                    <w:pStyle w:val="70"/>
                    <w:ind w:firstLine="0" w:firstLineChars="0"/>
                    <w:rPr>
                      <w:rFonts w:hint="eastAsia"/>
                    </w:rPr>
                  </w:pPr>
                  <w:r>
                    <w:rPr>
                      <w:rFonts w:hint="eastAsia"/>
                    </w:rPr>
                    <w:t>固废处理措施</w:t>
                  </w:r>
                </w:p>
              </w:tc>
              <w:tc>
                <w:tcPr>
                  <w:tcW w:w="6325" w:type="dxa"/>
                  <w:vAlign w:val="center"/>
                </w:tcPr>
                <w:p>
                  <w:pPr>
                    <w:pStyle w:val="70"/>
                    <w:ind w:firstLine="0" w:firstLineChars="0"/>
                    <w:jc w:val="left"/>
                    <w:rPr>
                      <w:rFonts w:hint="eastAsia"/>
                    </w:rPr>
                  </w:pPr>
                  <w:r>
                    <w:t>生活垃圾</w:t>
                  </w:r>
                  <w:r>
                    <w:rPr>
                      <w:rFonts w:hint="eastAsia"/>
                    </w:rPr>
                    <w:t>：设若干生活垃圾桶，收集后交园区环卫部门处理</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rFonts w:hint="eastAsia"/>
                    </w:rPr>
                  </w:pPr>
                </w:p>
              </w:tc>
              <w:tc>
                <w:tcPr>
                  <w:tcW w:w="6325" w:type="dxa"/>
                  <w:vAlign w:val="center"/>
                </w:tcPr>
                <w:p>
                  <w:pPr>
                    <w:pStyle w:val="70"/>
                    <w:ind w:firstLine="0" w:firstLineChars="0"/>
                    <w:jc w:val="left"/>
                    <w:rPr>
                      <w:rFonts w:hint="eastAsia"/>
                    </w:rPr>
                  </w:pPr>
                  <w:r>
                    <w:rPr>
                      <w:rFonts w:hint="eastAsia"/>
                    </w:rPr>
                    <w:t>一般固废暂存间</w:t>
                  </w:r>
                  <w:r>
                    <w:rPr>
                      <w:rFonts w:hint="eastAsia"/>
                      <w:lang w:val="en-US" w:eastAsia="zh-CN"/>
                    </w:rPr>
                    <w:t>1</w:t>
                  </w:r>
                  <w:r>
                    <w:rPr>
                      <w:rFonts w:hint="eastAsia"/>
                    </w:rPr>
                    <w:t>座，</w:t>
                  </w:r>
                  <w:r>
                    <w:rPr>
                      <w:rFonts w:hint="eastAsia"/>
                      <w:lang w:val="en-US" w:eastAsia="zh-CN"/>
                    </w:rPr>
                    <w:t>6</w:t>
                  </w:r>
                  <w:r>
                    <w:t>m</w:t>
                  </w:r>
                  <w:r>
                    <w:rPr>
                      <w:vertAlign w:val="superscript"/>
                    </w:rPr>
                    <w:t>2</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Merge w:val="continue"/>
                  <w:vAlign w:val="center"/>
                </w:tcPr>
                <w:p>
                  <w:pPr>
                    <w:pStyle w:val="70"/>
                    <w:ind w:firstLine="0" w:firstLineChars="0"/>
                    <w:rPr>
                      <w:rFonts w:hint="eastAsia"/>
                    </w:rPr>
                  </w:pPr>
                </w:p>
              </w:tc>
              <w:tc>
                <w:tcPr>
                  <w:tcW w:w="6325" w:type="dxa"/>
                  <w:vAlign w:val="center"/>
                </w:tcPr>
                <w:p>
                  <w:pPr>
                    <w:pStyle w:val="70"/>
                    <w:ind w:firstLine="0" w:firstLineChars="0"/>
                    <w:jc w:val="left"/>
                    <w:rPr>
                      <w:rFonts w:hint="eastAsia"/>
                    </w:rPr>
                  </w:pPr>
                  <w:r>
                    <w:rPr>
                      <w:rFonts w:hint="eastAsia"/>
                    </w:rPr>
                    <w:t>危废暂存间1座，面积</w:t>
                  </w:r>
                  <w:r>
                    <w:rPr>
                      <w:rFonts w:hint="eastAsia"/>
                      <w:lang w:val="en-US" w:eastAsia="zh-CN"/>
                    </w:rPr>
                    <w:t>6</w:t>
                  </w:r>
                  <w:r>
                    <w:t>m</w:t>
                  </w:r>
                  <w:r>
                    <w:rPr>
                      <w:vertAlign w:val="superscript"/>
                    </w:rPr>
                    <w:t>2</w:t>
                  </w:r>
                  <w:r>
                    <w:rPr>
                      <w:rFonts w:hint="eastAsia"/>
                    </w:rPr>
                    <w:t>。废活性炭、废润滑油、废润滑油桶、含有抹布/手套等危险废物</w:t>
                  </w:r>
                  <w:r>
                    <w:t>集中收集后暂存于危险</w:t>
                  </w:r>
                  <w:r>
                    <w:rPr>
                      <w:rFonts w:hint="eastAsia"/>
                    </w:rPr>
                    <w:t>废物</w:t>
                  </w:r>
                  <w:r>
                    <w:t>暂存区</w:t>
                  </w:r>
                  <w:r>
                    <w:rPr>
                      <w:rFonts w:hint="eastAsia"/>
                    </w:rPr>
                    <w:t>，交由有资质的单位进行处理</w:t>
                  </w:r>
                </w:p>
              </w:tc>
              <w:tc>
                <w:tcPr>
                  <w:tcW w:w="773" w:type="dxa"/>
                  <w:vAlign w:val="center"/>
                </w:tcPr>
                <w:p>
                  <w:pPr>
                    <w:contextualSpacing/>
                    <w:jc w:val="center"/>
                    <w:rPr>
                      <w:bCs/>
                      <w:szCs w:val="21"/>
                    </w:rPr>
                  </w:pPr>
                  <w:r>
                    <w:rPr>
                      <w:rFonts w:hint="eastAsia"/>
                      <w:bCs/>
                      <w:szCs w:val="21"/>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98" w:type="dxa"/>
                  <w:vMerge w:val="continue"/>
                  <w:vAlign w:val="center"/>
                </w:tcPr>
                <w:p>
                  <w:pPr>
                    <w:pStyle w:val="70"/>
                    <w:ind w:firstLine="0" w:firstLineChars="0"/>
                    <w:rPr>
                      <w:bCs/>
                      <w:szCs w:val="21"/>
                    </w:rPr>
                  </w:pPr>
                </w:p>
              </w:tc>
              <w:tc>
                <w:tcPr>
                  <w:tcW w:w="1312" w:type="dxa"/>
                  <w:vAlign w:val="center"/>
                </w:tcPr>
                <w:p>
                  <w:pPr>
                    <w:pStyle w:val="70"/>
                    <w:ind w:firstLine="0" w:firstLineChars="0"/>
                    <w:rPr>
                      <w:rFonts w:hint="eastAsia"/>
                    </w:rPr>
                  </w:pPr>
                  <w:r>
                    <w:rPr>
                      <w:rFonts w:hint="eastAsia"/>
                    </w:rPr>
                    <w:t>地下水防渗措施</w:t>
                  </w:r>
                </w:p>
              </w:tc>
              <w:tc>
                <w:tcPr>
                  <w:tcW w:w="6325" w:type="dxa"/>
                  <w:vAlign w:val="center"/>
                </w:tcPr>
                <w:p>
                  <w:pPr>
                    <w:pStyle w:val="70"/>
                    <w:jc w:val="left"/>
                    <w:rPr>
                      <w:rFonts w:hint="eastAsia"/>
                    </w:rPr>
                  </w:pPr>
                  <w:r>
                    <w:rPr>
                      <w:rFonts w:hint="eastAsia"/>
                    </w:rPr>
                    <w:t>重点防渗区：</w:t>
                  </w:r>
                  <w:r>
                    <w:t>危废暂存间</w:t>
                  </w:r>
                  <w:r>
                    <w:rPr>
                      <w:rFonts w:hint="eastAsia"/>
                    </w:rPr>
                    <w:t>、化粪池、隔油池；</w:t>
                  </w:r>
                </w:p>
                <w:p>
                  <w:pPr>
                    <w:pStyle w:val="70"/>
                    <w:jc w:val="left"/>
                    <w:rPr>
                      <w:rFonts w:hint="eastAsia"/>
                      <w:spacing w:val="2"/>
                    </w:rPr>
                  </w:pPr>
                  <w:r>
                    <w:rPr>
                      <w:rFonts w:hint="eastAsia"/>
                    </w:rPr>
                    <w:t>一般防渗区：生产车间</w:t>
                  </w:r>
                </w:p>
                <w:p>
                  <w:pPr>
                    <w:pStyle w:val="70"/>
                    <w:ind w:firstLine="0" w:firstLineChars="0"/>
                    <w:jc w:val="left"/>
                    <w:rPr>
                      <w:rFonts w:hint="eastAsia"/>
                    </w:rPr>
                  </w:pPr>
                  <w:r>
                    <w:rPr>
                      <w:rFonts w:hint="eastAsia"/>
                    </w:rPr>
                    <w:t>简单防渗区：</w:t>
                  </w:r>
                  <w:r>
                    <w:rPr>
                      <w:spacing w:val="2"/>
                    </w:rPr>
                    <w:t>办公区</w:t>
                  </w:r>
                  <w:r>
                    <w:rPr>
                      <w:rFonts w:hint="eastAsia"/>
                      <w:spacing w:val="2"/>
                    </w:rPr>
                    <w:t>及厂区其他地面</w:t>
                  </w:r>
                </w:p>
              </w:tc>
              <w:tc>
                <w:tcPr>
                  <w:tcW w:w="773" w:type="dxa"/>
                  <w:vAlign w:val="center"/>
                </w:tcPr>
                <w:p>
                  <w:pPr>
                    <w:contextualSpacing/>
                    <w:jc w:val="center"/>
                    <w:rPr>
                      <w:bCs/>
                      <w:szCs w:val="21"/>
                    </w:rPr>
                  </w:pPr>
                  <w:r>
                    <w:rPr>
                      <w:rFonts w:hint="eastAsia"/>
                      <w:bCs/>
                      <w:szCs w:val="21"/>
                      <w:lang w:eastAsia="zh-CN"/>
                    </w:rPr>
                    <w:t>新建</w:t>
                  </w:r>
                </w:p>
              </w:tc>
            </w:tr>
          </w:tbl>
          <w:p/>
          <w:p>
            <w:pPr>
              <w:spacing w:beforeLines="30" w:afterLines="30" w:line="360" w:lineRule="auto"/>
              <w:contextualSpacing/>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三、本次验收监测内容</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（1）废水处理设施检查、废水排放监测；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（2）废气处理设施检查、废气排放监测；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（3）厂界环境噪声排放监测；</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（4）固体废物处置情况检查</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（5）环境管理检查；</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（6）公众意见调查；</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（7）风险事故防范措施落实情况及应急预案检查。</w:t>
            </w:r>
          </w:p>
          <w:p>
            <w:pPr>
              <w:spacing w:line="360" w:lineRule="auto"/>
              <w:rPr>
                <w:rFonts w:hint="default" w:ascii="Times New Roman" w:hAnsi="Times New Roman" w:eastAsia="宋体" w:cs="Times New Roman"/>
                <w:bCs/>
                <w:sz w:val="24"/>
                <w:szCs w:val="24"/>
              </w:rPr>
            </w:pPr>
            <w:r>
              <w:rPr>
                <w:rFonts w:hint="default" w:ascii="Times New Roman" w:hAnsi="Times New Roman" w:eastAsia="宋体" w:cs="Times New Roman"/>
                <w:b/>
                <w:bCs/>
                <w:sz w:val="24"/>
                <w:szCs w:val="24"/>
              </w:rPr>
              <w:t>四、项目概况</w:t>
            </w:r>
          </w:p>
          <w:p>
            <w:pPr>
              <w:spacing w:line="360" w:lineRule="auto"/>
              <w:ind w:firstLine="472" w:firstLineChars="196"/>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1、项目名称、性质及地点</w:t>
            </w:r>
          </w:p>
          <w:p>
            <w:pPr>
              <w:spacing w:line="360" w:lineRule="auto"/>
              <w:ind w:firstLine="480" w:firstLineChars="20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建设项目名称：</w:t>
            </w:r>
            <w:r>
              <w:rPr>
                <w:rFonts w:hint="eastAsia" w:ascii="Times New Roman" w:hAnsi="Times New Roman" w:eastAsia="宋体" w:cs="Times New Roman"/>
                <w:bCs/>
                <w:sz w:val="24"/>
                <w:szCs w:val="24"/>
                <w:lang w:eastAsia="zh-CN"/>
              </w:rPr>
              <w:t>乐至县众诺诚注塑件项目</w:t>
            </w:r>
            <w:r>
              <w:rPr>
                <w:rFonts w:hint="default" w:ascii="Times New Roman" w:hAnsi="Times New Roman" w:eastAsia="宋体" w:cs="Times New Roman"/>
                <w:bCs/>
                <w:sz w:val="24"/>
                <w:szCs w:val="24"/>
              </w:rPr>
              <w:t>（分期）</w:t>
            </w:r>
          </w:p>
          <w:p>
            <w:pPr>
              <w:spacing w:line="360" w:lineRule="auto"/>
              <w:ind w:firstLine="480" w:firstLineChars="20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rPr>
              <w:t>建设单位：</w:t>
            </w:r>
            <w:r>
              <w:rPr>
                <w:rFonts w:hint="eastAsia" w:ascii="Times New Roman" w:hAnsi="Times New Roman" w:eastAsia="宋体" w:cs="Times New Roman"/>
                <w:bCs/>
                <w:sz w:val="24"/>
                <w:szCs w:val="24"/>
                <w:lang w:eastAsia="zh-CN"/>
              </w:rPr>
              <w:t>资阳众诺诚塑料制品有限责任公司</w:t>
            </w:r>
          </w:p>
          <w:p>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bCs/>
                <w:sz w:val="24"/>
                <w:szCs w:val="24"/>
              </w:rPr>
              <w:t>建设地点：</w:t>
            </w:r>
            <w:r>
              <w:rPr>
                <w:rFonts w:hint="eastAsia" w:ascii="Times New Roman" w:hAnsi="Times New Roman" w:eastAsia="宋体" w:cs="Times New Roman"/>
                <w:bCs/>
                <w:sz w:val="24"/>
                <w:szCs w:val="24"/>
                <w:lang w:eastAsia="zh-CN"/>
              </w:rPr>
              <w:t>乐至县童家发展区文峰园区文峰东路</w:t>
            </w:r>
          </w:p>
          <w:p>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劳动定员：环评拟定</w:t>
            </w:r>
            <w:r>
              <w:rPr>
                <w:rFonts w:hint="eastAsia" w:ascii="Times New Roman" w:hAnsi="Times New Roman" w:eastAsia="宋体" w:cs="Times New Roman"/>
                <w:sz w:val="24"/>
                <w:szCs w:val="24"/>
                <w:lang w:val="en-US" w:eastAsia="zh-CN"/>
              </w:rPr>
              <w:t>120</w:t>
            </w:r>
            <w:r>
              <w:rPr>
                <w:rFonts w:hint="default" w:ascii="Times New Roman" w:hAnsi="Times New Roman" w:eastAsia="宋体" w:cs="Times New Roman"/>
                <w:sz w:val="24"/>
                <w:szCs w:val="24"/>
              </w:rPr>
              <w:t>人，项目实际工作人员为</w:t>
            </w:r>
            <w:r>
              <w:rPr>
                <w:rFonts w:hint="eastAsia" w:ascii="Times New Roman" w:hAnsi="Times New Roman" w:eastAsia="宋体" w:cs="Times New Roman"/>
                <w:sz w:val="24"/>
                <w:szCs w:val="24"/>
                <w:lang w:val="en-US" w:eastAsia="zh-CN"/>
              </w:rPr>
              <w:t>50</w:t>
            </w:r>
            <w:r>
              <w:rPr>
                <w:rFonts w:hint="default" w:ascii="Times New Roman" w:hAnsi="Times New Roman" w:eastAsia="宋体" w:cs="Times New Roman"/>
                <w:sz w:val="24"/>
                <w:szCs w:val="24"/>
              </w:rPr>
              <w:t>人</w:t>
            </w:r>
            <w:r>
              <w:rPr>
                <w:rFonts w:hint="eastAsia" w:ascii="Times New Roman" w:hAnsi="Times New Roman" w:eastAsia="宋体" w:cs="Times New Roman"/>
                <w:sz w:val="24"/>
                <w:szCs w:val="24"/>
                <w:lang w:eastAsia="zh-CN"/>
              </w:rPr>
              <w:t>。</w:t>
            </w:r>
          </w:p>
          <w:p>
            <w:pPr>
              <w:spacing w:line="360" w:lineRule="auto"/>
              <w:ind w:firstLine="480" w:firstLineChars="20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工作制度：环评年工作时间为300天，</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班制，每班工作8小时。项目实际年工作时间300天，</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班制，每班工作8小时</w:t>
            </w:r>
            <w:r>
              <w:rPr>
                <w:rFonts w:hint="eastAsia" w:ascii="Times New Roman" w:hAnsi="Times New Roman" w:eastAsia="宋体" w:cs="Times New Roman"/>
                <w:sz w:val="24"/>
                <w:szCs w:val="24"/>
                <w:lang w:eastAsia="zh-CN"/>
              </w:rPr>
              <w:t>。</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2、外环境关系</w:t>
            </w:r>
          </w:p>
          <w:p>
            <w:pPr>
              <w:spacing w:line="360" w:lineRule="auto"/>
              <w:ind w:firstLine="480" w:firstLineChars="200"/>
              <w:rPr>
                <w:rFonts w:hint="eastAsia"/>
                <w:kern w:val="0"/>
                <w:sz w:val="24"/>
                <w:szCs w:val="20"/>
                <w:lang w:eastAsia="zh-CN"/>
              </w:rPr>
            </w:pPr>
            <w:r>
              <w:rPr>
                <w:rFonts w:hint="eastAsia"/>
                <w:kern w:val="0"/>
                <w:sz w:val="24"/>
                <w:szCs w:val="20"/>
                <w:lang w:eastAsia="zh-CN"/>
              </w:rPr>
              <w:t>本项目位于乐至童家发展区文峰园区，项目外环境关系如下：</w:t>
            </w:r>
          </w:p>
          <w:p>
            <w:pPr>
              <w:spacing w:line="360" w:lineRule="auto"/>
              <w:ind w:firstLine="480" w:firstLineChars="200"/>
              <w:rPr>
                <w:rFonts w:hint="eastAsia"/>
                <w:kern w:val="0"/>
                <w:sz w:val="24"/>
                <w:szCs w:val="20"/>
                <w:lang w:eastAsia="zh-CN"/>
              </w:rPr>
            </w:pPr>
            <w:r>
              <w:rPr>
                <w:rFonts w:hint="eastAsia"/>
                <w:kern w:val="0"/>
                <w:sz w:val="24"/>
                <w:szCs w:val="20"/>
                <w:lang w:eastAsia="zh-CN"/>
              </w:rPr>
              <w:t>项目厂界东北侧约3</w:t>
            </w:r>
            <w:r>
              <w:rPr>
                <w:rFonts w:hint="eastAsia"/>
                <w:kern w:val="0"/>
                <w:sz w:val="24"/>
                <w:szCs w:val="20"/>
                <w:lang w:val="en-US" w:eastAsia="zh-CN"/>
              </w:rPr>
              <w:t>10</w:t>
            </w:r>
            <w:r>
              <w:rPr>
                <w:rFonts w:hint="eastAsia"/>
                <w:kern w:val="0"/>
                <w:sz w:val="24"/>
                <w:szCs w:val="20"/>
                <w:lang w:eastAsia="zh-CN"/>
              </w:rPr>
              <w:t>m处为群乐村居民点2#（居民20户，约60人），东北侧约47</w:t>
            </w:r>
            <w:r>
              <w:rPr>
                <w:rFonts w:hint="eastAsia"/>
                <w:kern w:val="0"/>
                <w:sz w:val="24"/>
                <w:szCs w:val="20"/>
                <w:lang w:val="en-US" w:eastAsia="zh-CN"/>
              </w:rPr>
              <w:t>0</w:t>
            </w:r>
            <w:r>
              <w:rPr>
                <w:rFonts w:hint="eastAsia"/>
                <w:kern w:val="0"/>
                <w:sz w:val="24"/>
                <w:szCs w:val="20"/>
                <w:lang w:eastAsia="zh-CN"/>
              </w:rPr>
              <w:t>m处为安置房居民点（居民500户，约1600人）。此外，项目北侧约</w:t>
            </w:r>
            <w:r>
              <w:rPr>
                <w:rFonts w:hint="eastAsia"/>
                <w:kern w:val="0"/>
                <w:sz w:val="24"/>
                <w:szCs w:val="20"/>
                <w:lang w:val="en-US" w:eastAsia="zh-CN"/>
              </w:rPr>
              <w:t>5</w:t>
            </w:r>
            <w:r>
              <w:rPr>
                <w:rFonts w:hint="eastAsia"/>
                <w:kern w:val="0"/>
                <w:sz w:val="24"/>
                <w:szCs w:val="20"/>
                <w:lang w:eastAsia="zh-CN"/>
              </w:rPr>
              <w:t>m处为四川省昂利汽车零部件有限公司厂房，南侧约200m处隔天福路为新建的四川宏泰熊猫专用汽车制造有限公司的厂房。</w:t>
            </w:r>
          </w:p>
          <w:p>
            <w:pPr>
              <w:spacing w:line="360" w:lineRule="auto"/>
              <w:ind w:firstLine="480" w:firstLineChars="200"/>
              <w:rPr>
                <w:rFonts w:hint="eastAsia"/>
                <w:kern w:val="0"/>
                <w:sz w:val="24"/>
                <w:szCs w:val="20"/>
                <w:lang w:eastAsia="zh-CN"/>
              </w:rPr>
            </w:pPr>
            <w:r>
              <w:rPr>
                <w:rFonts w:hint="eastAsia"/>
                <w:kern w:val="0"/>
                <w:sz w:val="24"/>
                <w:szCs w:val="20"/>
                <w:lang w:eastAsia="zh-CN"/>
              </w:rPr>
              <w:t>根据项目外环境关系可知，项目卫生防护距离范围内无其他企业及敏感点，200m范围内无其他企业及敏感点等，不会对本项目形成环境制约。评价范围内不涉及自然保护区、风景名胜区、饮用水源保护区等环境敏感区域。</w:t>
            </w:r>
          </w:p>
          <w:p>
            <w:pPr>
              <w:spacing w:line="360" w:lineRule="auto"/>
              <w:ind w:firstLine="480" w:firstLineChars="200"/>
              <w:rPr>
                <w:rFonts w:hint="default" w:ascii="Times New Roman" w:hAnsi="Times New Roman" w:eastAsia="宋体" w:cs="Times New Roman"/>
                <w:bCs/>
                <w:sz w:val="24"/>
                <w:szCs w:val="24"/>
                <w:u w:val="single"/>
              </w:rPr>
            </w:pPr>
            <w:r>
              <w:rPr>
                <w:rFonts w:hint="default" w:ascii="Times New Roman" w:hAnsi="Times New Roman" w:eastAsia="宋体" w:cs="Times New Roman"/>
                <w:bCs/>
                <w:sz w:val="24"/>
                <w:szCs w:val="24"/>
                <w:u w:val="single"/>
              </w:rPr>
              <w:t>项目建设位置与环评拟建位置一致，环评至验收期间外环境敏感点无变化。项目外环境关系见附图。</w:t>
            </w:r>
          </w:p>
          <w:p>
            <w:pPr>
              <w:spacing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3、建设规模、内容</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本项目建设规模、建设内容对比见表1-3。</w:t>
            </w:r>
          </w:p>
          <w:p>
            <w:pPr>
              <w:keepNext w:val="0"/>
              <w:keepLines w:val="0"/>
              <w:pageBreakBefore w:val="0"/>
              <w:widowControl w:val="0"/>
              <w:kinsoku/>
              <w:wordWrap/>
              <w:overflowPunct/>
              <w:topLinePunct w:val="0"/>
              <w:autoSpaceDE/>
              <w:autoSpaceDN/>
              <w:bidi w:val="0"/>
              <w:adjustRightInd/>
              <w:snapToGrid/>
              <w:ind w:right="0" w:firstLine="482" w:firstLineChars="20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表1-3   建设规模、建设内容对比</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28" w:type="dxa"/>
                <w:bottom w:w="0" w:type="dxa"/>
                <w:right w:w="28" w:type="dxa"/>
              </w:tblCellMar>
            </w:tblPr>
            <w:tblGrid>
              <w:gridCol w:w="3978"/>
              <w:gridCol w:w="4061"/>
              <w:gridCol w:w="1169"/>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5000" w:type="pct"/>
                  <w:gridSpan w:val="3"/>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建设规模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397" w:hRule="atLeast"/>
                <w:jc w:val="center"/>
              </w:trPr>
              <w:tc>
                <w:tcPr>
                  <w:tcW w:w="2160"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环评设计建设规模</w:t>
                  </w:r>
                </w:p>
              </w:tc>
              <w:tc>
                <w:tcPr>
                  <w:tcW w:w="2205"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实际建设及验收情况</w:t>
                  </w:r>
                </w:p>
              </w:tc>
              <w:tc>
                <w:tcPr>
                  <w:tcW w:w="634"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2160"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拟投资2600万元，修建厂房约10000m</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，建设年产包装袋1800t、各类膜产品600t、汽配注塑件600t生产线</w:t>
                  </w:r>
                </w:p>
              </w:tc>
              <w:tc>
                <w:tcPr>
                  <w:tcW w:w="2205"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eastAsia="zh-CN"/>
                    </w:rPr>
                    <w:t>实际</w:t>
                  </w:r>
                  <w:r>
                    <w:rPr>
                      <w:rFonts w:hint="default" w:ascii="Times New Roman" w:hAnsi="Times New Roman" w:eastAsia="宋体" w:cs="Times New Roman"/>
                      <w:sz w:val="21"/>
                      <w:szCs w:val="21"/>
                      <w:highlight w:val="none"/>
                    </w:rPr>
                    <w:t>投资2</w:t>
                  </w:r>
                  <w:r>
                    <w:rPr>
                      <w:rFonts w:hint="eastAsia" w:ascii="Times New Roman" w:hAnsi="Times New Roman" w:eastAsia="宋体" w:cs="Times New Roman"/>
                      <w:sz w:val="21"/>
                      <w:szCs w:val="21"/>
                      <w:highlight w:val="none"/>
                      <w:lang w:val="en-US" w:eastAsia="zh-CN"/>
                    </w:rPr>
                    <w:t>0</w:t>
                  </w:r>
                  <w:r>
                    <w:rPr>
                      <w:rFonts w:hint="default" w:ascii="Times New Roman" w:hAnsi="Times New Roman" w:eastAsia="宋体" w:cs="Times New Roman"/>
                      <w:sz w:val="21"/>
                      <w:szCs w:val="21"/>
                      <w:highlight w:val="none"/>
                    </w:rPr>
                    <w:t>00万元，修建厂房约10000m</w:t>
                  </w:r>
                  <w:r>
                    <w:rPr>
                      <w:rFonts w:hint="default" w:ascii="Times New Roman" w:hAnsi="Times New Roman" w:eastAsia="宋体" w:cs="Times New Roman"/>
                      <w:sz w:val="21"/>
                      <w:szCs w:val="21"/>
                      <w:highlight w:val="none"/>
                      <w:vertAlign w:val="superscript"/>
                    </w:rPr>
                    <w:t>2</w:t>
                  </w:r>
                  <w:r>
                    <w:rPr>
                      <w:rFonts w:hint="default" w:ascii="Times New Roman" w:hAnsi="Times New Roman" w:eastAsia="宋体" w:cs="Times New Roman"/>
                      <w:sz w:val="21"/>
                      <w:szCs w:val="21"/>
                      <w:highlight w:val="none"/>
                    </w:rPr>
                    <w:t>，建设年产包装袋1800t</w:t>
                  </w:r>
                </w:p>
              </w:tc>
              <w:tc>
                <w:tcPr>
                  <w:tcW w:w="634"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eastAsia="宋体" w:cs="Times New Roman"/>
                      <w:bCs/>
                      <w:sz w:val="21"/>
                      <w:szCs w:val="21"/>
                      <w:lang w:eastAsia="zh-CN"/>
                    </w:rPr>
                    <w:t>分期验收</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2160" w:type="pct"/>
                  <w:vAlign w:val="center"/>
                </w:tcPr>
                <w:p>
                  <w:pPr>
                    <w:keepNext w:val="0"/>
                    <w:keepLines w:val="0"/>
                    <w:pageBreakBefore w:val="0"/>
                    <w:widowControl w:val="0"/>
                    <w:kinsoku/>
                    <w:wordWrap/>
                    <w:overflowPunct w:val="0"/>
                    <w:topLinePunct/>
                    <w:autoSpaceDE/>
                    <w:autoSpaceDN/>
                    <w:bidi w:val="0"/>
                    <w:adjustRightInd/>
                    <w:snapToGrid/>
                    <w:spacing w:line="240" w:lineRule="atLeast"/>
                    <w:jc w:val="center"/>
                    <w:textAlignment w:val="auto"/>
                    <w:rPr>
                      <w:rFonts w:hint="default" w:ascii="Times New Roman" w:hAnsi="Times New Roman" w:eastAsia="宋体" w:cs="Times New Roman"/>
                      <w:sz w:val="21"/>
                      <w:szCs w:val="21"/>
                      <w:lang w:val="zh-CN"/>
                    </w:rPr>
                  </w:pPr>
                  <w:r>
                    <w:rPr>
                      <w:rFonts w:hint="default" w:ascii="Times New Roman" w:hAnsi="Times New Roman" w:eastAsia="宋体" w:cs="Times New Roman"/>
                      <w:sz w:val="21"/>
                      <w:szCs w:val="21"/>
                      <w:lang w:val="zh-CN"/>
                    </w:rPr>
                    <w:t>主体工程（</w:t>
                  </w:r>
                  <w:r>
                    <w:rPr>
                      <w:rFonts w:hint="eastAsia" w:ascii="Times New Roman" w:hAnsi="Times New Roman" w:eastAsia="宋体" w:cs="Times New Roman"/>
                      <w:sz w:val="21"/>
                      <w:szCs w:val="21"/>
                      <w:lang w:val="zh-CN" w:eastAsia="zh-CN"/>
                    </w:rPr>
                    <w:t>生产厂房</w:t>
                  </w:r>
                  <w:r>
                    <w:rPr>
                      <w:rFonts w:hint="default" w:ascii="Times New Roman" w:hAnsi="Times New Roman" w:eastAsia="宋体" w:cs="Times New Roman"/>
                      <w:sz w:val="21"/>
                      <w:szCs w:val="21"/>
                      <w:lang w:val="zh-CN"/>
                    </w:rPr>
                    <w:t>）</w:t>
                  </w:r>
                  <w:r>
                    <w:rPr>
                      <w:rFonts w:hint="eastAsia" w:ascii="Times New Roman" w:hAnsi="Times New Roman" w:eastAsia="宋体" w:cs="Times New Roman"/>
                      <w:sz w:val="21"/>
                      <w:szCs w:val="21"/>
                      <w:lang w:val="zh-CN"/>
                    </w:rPr>
                    <w:t>、</w:t>
                  </w:r>
                  <w:r>
                    <w:rPr>
                      <w:rFonts w:hint="default" w:ascii="Times New Roman" w:hAnsi="Times New Roman" w:eastAsia="宋体" w:cs="Times New Roman"/>
                      <w:sz w:val="21"/>
                      <w:szCs w:val="21"/>
                      <w:lang w:val="zh-CN"/>
                    </w:rPr>
                    <w:t>公辅工程（</w:t>
                  </w:r>
                  <w:r>
                    <w:rPr>
                      <w:rFonts w:hint="eastAsia" w:ascii="Times New Roman" w:hAnsi="Times New Roman" w:eastAsia="宋体" w:cs="Times New Roman"/>
                      <w:sz w:val="21"/>
                      <w:szCs w:val="21"/>
                      <w:lang w:val="zh-CN" w:eastAsia="zh-CN"/>
                    </w:rPr>
                    <w:t>办公楼、市政用水用电</w:t>
                  </w:r>
                  <w:r>
                    <w:rPr>
                      <w:rFonts w:hint="default" w:ascii="Times New Roman" w:hAnsi="Times New Roman" w:eastAsia="宋体" w:cs="Times New Roman"/>
                      <w:sz w:val="21"/>
                      <w:szCs w:val="21"/>
                      <w:lang w:val="zh-CN"/>
                    </w:rPr>
                    <w:t>）、仓储工程（</w:t>
                  </w:r>
                  <w:r>
                    <w:rPr>
                      <w:rFonts w:hint="eastAsia" w:ascii="Times New Roman" w:hAnsi="Times New Roman" w:eastAsia="宋体" w:cs="Times New Roman"/>
                      <w:sz w:val="21"/>
                      <w:szCs w:val="21"/>
                      <w:lang w:val="zh-CN"/>
                    </w:rPr>
                    <w:t>成品区、半成品区</w:t>
                  </w:r>
                  <w:r>
                    <w:rPr>
                      <w:rFonts w:hint="default" w:ascii="Times New Roman" w:hAnsi="Times New Roman" w:eastAsia="宋体" w:cs="Times New Roman"/>
                      <w:sz w:val="21"/>
                      <w:szCs w:val="21"/>
                      <w:lang w:val="zh-CN"/>
                    </w:rPr>
                    <w:t>）</w:t>
                  </w:r>
                </w:p>
              </w:tc>
              <w:tc>
                <w:tcPr>
                  <w:tcW w:w="2205" w:type="pct"/>
                  <w:vAlign w:val="center"/>
                </w:tcPr>
                <w:p>
                  <w:pPr>
                    <w:keepNext w:val="0"/>
                    <w:keepLines w:val="0"/>
                    <w:pageBreakBefore w:val="0"/>
                    <w:widowControl w:val="0"/>
                    <w:kinsoku/>
                    <w:wordWrap/>
                    <w:overflowPunct w:val="0"/>
                    <w:topLinePunct/>
                    <w:autoSpaceDE/>
                    <w:autoSpaceDN/>
                    <w:bidi w:val="0"/>
                    <w:adjustRightInd/>
                    <w:snapToGrid/>
                    <w:spacing w:line="240" w:lineRule="atLeast"/>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lang w:val="zh-CN"/>
                    </w:rPr>
                    <w:t>主体工程（</w:t>
                  </w:r>
                  <w:r>
                    <w:rPr>
                      <w:rFonts w:hint="eastAsia" w:ascii="Times New Roman" w:hAnsi="Times New Roman" w:eastAsia="宋体" w:cs="Times New Roman"/>
                      <w:sz w:val="21"/>
                      <w:szCs w:val="21"/>
                      <w:lang w:val="zh-CN" w:eastAsia="zh-CN"/>
                    </w:rPr>
                    <w:t>生产厂房</w:t>
                  </w:r>
                  <w:r>
                    <w:rPr>
                      <w:rFonts w:hint="default" w:ascii="Times New Roman" w:hAnsi="Times New Roman" w:eastAsia="宋体" w:cs="Times New Roman"/>
                      <w:sz w:val="21"/>
                      <w:szCs w:val="21"/>
                      <w:lang w:val="zh-CN"/>
                    </w:rPr>
                    <w:t>）</w:t>
                  </w:r>
                  <w:r>
                    <w:rPr>
                      <w:rFonts w:hint="eastAsia" w:ascii="Times New Roman" w:hAnsi="Times New Roman" w:eastAsia="宋体" w:cs="Times New Roman"/>
                      <w:sz w:val="21"/>
                      <w:szCs w:val="21"/>
                      <w:lang w:val="zh-CN"/>
                    </w:rPr>
                    <w:t>、</w:t>
                  </w:r>
                  <w:r>
                    <w:rPr>
                      <w:rFonts w:hint="default" w:ascii="Times New Roman" w:hAnsi="Times New Roman" w:eastAsia="宋体" w:cs="Times New Roman"/>
                      <w:sz w:val="21"/>
                      <w:szCs w:val="21"/>
                      <w:lang w:val="zh-CN"/>
                    </w:rPr>
                    <w:t>公辅工程（</w:t>
                  </w:r>
                  <w:r>
                    <w:rPr>
                      <w:rFonts w:hint="eastAsia" w:ascii="Times New Roman" w:hAnsi="Times New Roman" w:eastAsia="宋体" w:cs="Times New Roman"/>
                      <w:sz w:val="21"/>
                      <w:szCs w:val="21"/>
                      <w:lang w:val="zh-CN" w:eastAsia="zh-CN"/>
                    </w:rPr>
                    <w:t>办公楼、市政用水用电</w:t>
                  </w:r>
                  <w:r>
                    <w:rPr>
                      <w:rFonts w:hint="default" w:ascii="Times New Roman" w:hAnsi="Times New Roman" w:eastAsia="宋体" w:cs="Times New Roman"/>
                      <w:sz w:val="21"/>
                      <w:szCs w:val="21"/>
                      <w:lang w:val="zh-CN"/>
                    </w:rPr>
                    <w:t>）、仓储工程（</w:t>
                  </w:r>
                  <w:r>
                    <w:rPr>
                      <w:rFonts w:hint="eastAsia" w:ascii="Times New Roman" w:hAnsi="Times New Roman" w:eastAsia="宋体" w:cs="Times New Roman"/>
                      <w:sz w:val="21"/>
                      <w:szCs w:val="21"/>
                      <w:lang w:val="zh-CN"/>
                    </w:rPr>
                    <w:t>成品区、半成品区</w:t>
                  </w:r>
                  <w:r>
                    <w:rPr>
                      <w:rFonts w:hint="default" w:ascii="Times New Roman" w:hAnsi="Times New Roman" w:eastAsia="宋体" w:cs="Times New Roman"/>
                      <w:sz w:val="21"/>
                      <w:szCs w:val="21"/>
                      <w:lang w:val="zh-CN"/>
                    </w:rPr>
                    <w:t>）</w:t>
                  </w:r>
                </w:p>
              </w:tc>
              <w:tc>
                <w:tcPr>
                  <w:tcW w:w="634"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不变</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28" w:type="dxa"/>
                  <w:bottom w:w="0" w:type="dxa"/>
                  <w:right w:w="28" w:type="dxa"/>
                </w:tblCellMar>
              </w:tblPrEx>
              <w:trPr>
                <w:trHeight w:val="680" w:hRule="atLeast"/>
                <w:jc w:val="center"/>
              </w:trPr>
              <w:tc>
                <w:tcPr>
                  <w:tcW w:w="2160" w:type="pct"/>
                  <w:vAlign w:val="center"/>
                </w:tcPr>
                <w:p>
                  <w:pPr>
                    <w:keepNext w:val="0"/>
                    <w:keepLines w:val="0"/>
                    <w:pageBreakBefore w:val="0"/>
                    <w:widowControl w:val="0"/>
                    <w:kinsoku/>
                    <w:wordWrap/>
                    <w:overflowPunct w:val="0"/>
                    <w:topLinePunct/>
                    <w:autoSpaceDE/>
                    <w:autoSpaceDN/>
                    <w:bidi w:val="0"/>
                    <w:adjustRightInd/>
                    <w:snapToGrid/>
                    <w:spacing w:line="240" w:lineRule="atLeast"/>
                    <w:jc w:val="center"/>
                    <w:textAlignment w:val="auto"/>
                    <w:rPr>
                      <w:rFonts w:hint="default" w:ascii="Times New Roman" w:hAnsi="Times New Roman" w:eastAsia="宋体" w:cs="Times New Roman"/>
                      <w:sz w:val="21"/>
                      <w:szCs w:val="21"/>
                      <w:lang w:val="zh-CN" w:eastAsia="zh-CN"/>
                    </w:rPr>
                  </w:pPr>
                  <w:r>
                    <w:rPr>
                      <w:rFonts w:hint="default" w:ascii="Times New Roman" w:hAnsi="Times New Roman" w:eastAsia="宋体" w:cs="Times New Roman"/>
                      <w:sz w:val="21"/>
                      <w:szCs w:val="21"/>
                      <w:lang w:val="zh-CN" w:eastAsia="zh-CN"/>
                    </w:rPr>
                    <w:t>环保工程（预处理池、危废暂存间、一般固废区、</w:t>
                  </w:r>
                  <w:r>
                    <w:rPr>
                      <w:rFonts w:hint="eastAsia" w:ascii="Times New Roman" w:hAnsi="Times New Roman" w:eastAsia="宋体" w:cs="Times New Roman"/>
                      <w:sz w:val="21"/>
                      <w:szCs w:val="21"/>
                      <w:lang w:val="zh-CN" w:eastAsia="zh-CN"/>
                    </w:rPr>
                    <w:t>集气罩</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zh-CN" w:eastAsia="zh-CN"/>
                    </w:rPr>
                    <w:t>活性炭吸附装置</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zh-CN" w:eastAsia="zh-CN"/>
                    </w:rPr>
                    <w:t>15m高排气筒等）</w:t>
                  </w:r>
                </w:p>
              </w:tc>
              <w:tc>
                <w:tcPr>
                  <w:tcW w:w="2205" w:type="pct"/>
                  <w:vAlign w:val="center"/>
                </w:tcPr>
                <w:p>
                  <w:pPr>
                    <w:keepNext w:val="0"/>
                    <w:keepLines w:val="0"/>
                    <w:pageBreakBefore w:val="0"/>
                    <w:widowControl w:val="0"/>
                    <w:kinsoku/>
                    <w:wordWrap/>
                    <w:overflowPunct w:val="0"/>
                    <w:topLinePunct/>
                    <w:autoSpaceDE/>
                    <w:autoSpaceDN/>
                    <w:bidi w:val="0"/>
                    <w:adjustRightInd/>
                    <w:snapToGrid/>
                    <w:spacing w:line="240" w:lineRule="atLeast"/>
                    <w:jc w:val="center"/>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lang w:val="zh-CN" w:eastAsia="zh-CN"/>
                    </w:rPr>
                    <w:t>环保工程（预处理池、危废暂存间、一般固废区、</w:t>
                  </w:r>
                  <w:r>
                    <w:rPr>
                      <w:rFonts w:hint="eastAsia" w:ascii="Times New Roman" w:hAnsi="Times New Roman" w:eastAsia="宋体" w:cs="Times New Roman"/>
                      <w:sz w:val="21"/>
                      <w:szCs w:val="21"/>
                      <w:lang w:val="zh-CN" w:eastAsia="zh-CN"/>
                    </w:rPr>
                    <w:t>集气罩</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z w:val="21"/>
                      <w:szCs w:val="21"/>
                      <w:lang w:val="zh-CN" w:eastAsia="zh-CN"/>
                    </w:rPr>
                    <w:t>活性炭吸附装置</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val="zh-CN" w:eastAsia="zh-CN"/>
                    </w:rPr>
                    <w:t>15m高排气筒</w:t>
                  </w:r>
                  <w:r>
                    <w:rPr>
                      <w:rFonts w:hint="eastAsia" w:ascii="Times New Roman" w:hAnsi="Times New Roman" w:eastAsia="宋体" w:cs="Times New Roman"/>
                      <w:sz w:val="21"/>
                      <w:szCs w:val="21"/>
                      <w:lang w:val="en-US" w:eastAsia="zh-CN"/>
                    </w:rPr>
                    <w:t>2套等</w:t>
                  </w:r>
                  <w:r>
                    <w:rPr>
                      <w:rFonts w:hint="default" w:ascii="Times New Roman" w:hAnsi="Times New Roman" w:eastAsia="宋体" w:cs="Times New Roman"/>
                      <w:sz w:val="21"/>
                      <w:szCs w:val="21"/>
                      <w:lang w:val="zh-CN" w:eastAsia="zh-CN"/>
                    </w:rPr>
                    <w:t>）</w:t>
                  </w:r>
                </w:p>
              </w:tc>
              <w:tc>
                <w:tcPr>
                  <w:tcW w:w="634" w:type="pct"/>
                  <w:vAlign w:val="center"/>
                </w:tcPr>
                <w:p>
                  <w:pPr>
                    <w:keepNext w:val="0"/>
                    <w:keepLines w:val="0"/>
                    <w:pageBreakBefore w:val="0"/>
                    <w:widowControl w:val="0"/>
                    <w:kinsoku/>
                    <w:wordWrap/>
                    <w:autoSpaceDE/>
                    <w:autoSpaceDN/>
                    <w:bidi w:val="0"/>
                    <w:adjustRightInd/>
                    <w:snapToGrid/>
                    <w:spacing w:line="240" w:lineRule="atLeast"/>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增加</w:t>
                  </w:r>
                  <w:r>
                    <w:rPr>
                      <w:rFonts w:hint="eastAsia" w:ascii="Times New Roman" w:hAnsi="Times New Roman" w:eastAsia="宋体" w:cs="Times New Roman"/>
                      <w:sz w:val="21"/>
                      <w:szCs w:val="21"/>
                      <w:lang w:val="en-US" w:eastAsia="zh-CN"/>
                    </w:rPr>
                    <w:t>1套有机废气处理设施</w:t>
                  </w:r>
                </w:p>
              </w:tc>
            </w:tr>
          </w:tbl>
          <w:p>
            <w:pPr>
              <w:spacing w:line="360" w:lineRule="auto"/>
              <w:ind w:firstLine="472" w:firstLineChars="196"/>
              <w:rPr>
                <w:rFonts w:hint="default" w:ascii="Times New Roman" w:hAnsi="Times New Roman" w:eastAsia="宋体" w:cs="Times New Roman"/>
                <w:b/>
                <w:bCs/>
                <w:sz w:val="24"/>
                <w:szCs w:val="24"/>
              </w:rPr>
            </w:pPr>
          </w:p>
          <w:p>
            <w:pPr>
              <w:pStyle w:val="17"/>
              <w:rPr>
                <w:rFonts w:hint="default"/>
              </w:rPr>
            </w:pPr>
          </w:p>
          <w:p>
            <w:pPr>
              <w:spacing w:line="360" w:lineRule="auto"/>
              <w:ind w:firstLine="472" w:firstLineChars="196"/>
              <w:rPr>
                <w:rFonts w:hint="default" w:ascii="Times New Roman" w:hAnsi="Times New Roman" w:eastAsia="宋体" w:cs="Times New Roman"/>
                <w:b/>
                <w:bCs/>
                <w:sz w:val="24"/>
                <w:szCs w:val="24"/>
              </w:rPr>
            </w:pPr>
          </w:p>
          <w:p>
            <w:pPr>
              <w:spacing w:line="360" w:lineRule="auto"/>
              <w:ind w:firstLine="472" w:firstLineChars="196"/>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4、建设项目组成及主要环境问题</w:t>
            </w:r>
          </w:p>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环评及实际建设项目组成及主要环境问题见表1-4。</w:t>
            </w:r>
          </w:p>
          <w:p>
            <w:pPr>
              <w:ind w:right="-329"/>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表1-4</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项目组成对比表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593"/>
              <w:gridCol w:w="919"/>
              <w:gridCol w:w="3699"/>
              <w:gridCol w:w="3150"/>
              <w:gridCol w:w="8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1"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kern w:val="0"/>
                      <w:sz w:val="21"/>
                      <w:szCs w:val="21"/>
                    </w:rPr>
                    <w:t>名称</w:t>
                  </w:r>
                </w:p>
              </w:tc>
              <w:tc>
                <w:tcPr>
                  <w:tcW w:w="2008" w:type="pct"/>
                  <w:tcBorders>
                    <w:tl2br w:val="nil"/>
                    <w:tr2bl w:val="nil"/>
                  </w:tcBorders>
                  <w:noWrap w:val="0"/>
                  <w:vAlign w:val="center"/>
                </w:tcPr>
                <w:p>
                  <w:pPr>
                    <w:pStyle w:val="63"/>
                    <w:keepNext w:val="0"/>
                    <w:keepLines w:val="0"/>
                    <w:pageBreakBefore w:val="0"/>
                    <w:widowControl w:val="0"/>
                    <w:kinsoku/>
                    <w:wordWrap/>
                    <w:overflowPunct/>
                    <w:topLinePunct w:val="0"/>
                    <w:bidi w:val="0"/>
                    <w:snapToGrid/>
                    <w:spacing w:line="240" w:lineRule="atLeast"/>
                    <w:ind w:firstLine="0" w:firstLineChars="0"/>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环评建设内容及规模</w:t>
                  </w:r>
                </w:p>
              </w:tc>
              <w:tc>
                <w:tcPr>
                  <w:tcW w:w="1710" w:type="pct"/>
                  <w:tcBorders>
                    <w:tl2br w:val="nil"/>
                    <w:tr2bl w:val="nil"/>
                  </w:tcBorders>
                  <w:noWrap w:val="0"/>
                  <w:vAlign w:val="center"/>
                </w:tcPr>
                <w:p>
                  <w:pPr>
                    <w:keepNext w:val="0"/>
                    <w:keepLines w:val="0"/>
                    <w:pageBreakBefore w:val="0"/>
                    <w:widowControl w:val="0"/>
                    <w:kinsoku/>
                    <w:wordWrap/>
                    <w:overflowPunct/>
                    <w:topLinePunct w:val="0"/>
                    <w:bidi w:val="0"/>
                    <w:snapToGrid/>
                    <w:spacing w:line="240" w:lineRule="atLeast"/>
                    <w:contextualSpacing/>
                    <w:jc w:val="center"/>
                    <w:textAlignment w:val="auto"/>
                    <w:rPr>
                      <w:rFonts w:hint="default" w:ascii="Times New Roman" w:hAnsi="Times New Roman" w:cs="Times New Roman"/>
                      <w:kern w:val="0"/>
                      <w:sz w:val="21"/>
                      <w:szCs w:val="21"/>
                    </w:rPr>
                  </w:pPr>
                  <w:r>
                    <w:rPr>
                      <w:rFonts w:hint="default" w:ascii="Times New Roman" w:hAnsi="Times New Roman" w:eastAsia="宋体" w:cs="Times New Roman"/>
                      <w:b/>
                      <w:sz w:val="21"/>
                      <w:szCs w:val="21"/>
                    </w:rPr>
                    <w:t>实际建设内容</w:t>
                  </w:r>
                </w:p>
              </w:tc>
              <w:tc>
                <w:tcPr>
                  <w:tcW w:w="460" w:type="pct"/>
                  <w:tcBorders>
                    <w:tl2br w:val="nil"/>
                    <w:tr2bl w:val="nil"/>
                  </w:tcBorders>
                  <w:noWrap w:val="0"/>
                  <w:vAlign w:val="center"/>
                </w:tcPr>
                <w:p>
                  <w:pPr>
                    <w:pStyle w:val="63"/>
                    <w:keepNext w:val="0"/>
                    <w:keepLines w:val="0"/>
                    <w:pageBreakBefore w:val="0"/>
                    <w:widowControl w:val="0"/>
                    <w:kinsoku/>
                    <w:wordWrap/>
                    <w:overflowPunct/>
                    <w:topLinePunct w:val="0"/>
                    <w:bidi w:val="0"/>
                    <w:snapToGrid/>
                    <w:spacing w:line="240" w:lineRule="atLeast"/>
                    <w:ind w:firstLine="0" w:firstLineChars="0"/>
                    <w:textAlignment w:val="auto"/>
                    <w:rPr>
                      <w:rFonts w:hint="eastAsia" w:ascii="Times New Roman" w:hAnsi="Times New Roman" w:eastAsia="宋体" w:cs="Times New Roman"/>
                      <w:kern w:val="0"/>
                      <w:sz w:val="21"/>
                      <w:szCs w:val="21"/>
                      <w:lang w:eastAsia="zh-CN"/>
                    </w:rPr>
                  </w:pPr>
                  <w:r>
                    <w:rPr>
                      <w:rFonts w:hint="eastAsia" w:ascii="Times New Roman" w:hAnsi="Times New Roman" w:cs="Times New Roman"/>
                      <w:kern w:val="0"/>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主体工程</w:t>
                  </w:r>
                </w:p>
              </w:tc>
              <w:tc>
                <w:tcPr>
                  <w:tcW w:w="498" w:type="pc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生产车间</w:t>
                  </w:r>
                </w:p>
              </w:tc>
              <w:tc>
                <w:tcPr>
                  <w:tcW w:w="2008" w:type="pct"/>
                  <w:tcBorders>
                    <w:tl2br w:val="nil"/>
                    <w:tr2bl w:val="nil"/>
                  </w:tcBorders>
                  <w:noWrap w:val="0"/>
                  <w:vAlign w:val="center"/>
                </w:tcPr>
                <w:p>
                  <w:pPr>
                    <w:pStyle w:val="70"/>
                    <w:ind w:firstLine="0" w:firstLineChars="0"/>
                    <w:jc w:val="left"/>
                    <w:rPr>
                      <w:rFonts w:hint="default" w:asciiTheme="minorHAnsi" w:hAnsiTheme="minorHAnsi" w:eastAsiaTheme="minorEastAsia" w:cstheme="minorBidi"/>
                      <w:kern w:val="0"/>
                      <w:sz w:val="21"/>
                      <w:szCs w:val="24"/>
                      <w:lang w:val="en-US" w:eastAsia="zh-CN" w:bidi="ar-SA"/>
                    </w:rPr>
                  </w:pPr>
                  <w:r>
                    <w:rPr>
                      <w:rFonts w:hint="eastAsia"/>
                    </w:rPr>
                    <w:t>2F，钢架结构，1</w:t>
                  </w:r>
                  <w:r>
                    <w:t>F</w:t>
                  </w:r>
                  <w:r>
                    <w:rPr>
                      <w:rFonts w:hint="eastAsia"/>
                    </w:rPr>
                    <w:t>为生产车间、原料库房；2</w:t>
                  </w:r>
                  <w:r>
                    <w:t>F</w:t>
                  </w:r>
                  <w:r>
                    <w:rPr>
                      <w:rFonts w:hint="eastAsia"/>
                    </w:rPr>
                    <w:t>为成品库房。</w:t>
                  </w:r>
                </w:p>
              </w:tc>
              <w:tc>
                <w:tcPr>
                  <w:tcW w:w="3150" w:type="dxa"/>
                  <w:tcBorders>
                    <w:tl2br w:val="nil"/>
                    <w:tr2bl w:val="nil"/>
                  </w:tcBorders>
                  <w:noWrap w:val="0"/>
                  <w:vAlign w:val="center"/>
                </w:tcPr>
                <w:p>
                  <w:pPr>
                    <w:pStyle w:val="70"/>
                    <w:ind w:firstLine="0" w:firstLineChars="0"/>
                    <w:jc w:val="left"/>
                    <w:rPr>
                      <w:rFonts w:hint="default" w:ascii="Times New Roman" w:hAnsi="Times New Roman" w:eastAsia="宋体" w:cs="Times New Roman"/>
                      <w:b/>
                      <w:bCs/>
                      <w:kern w:val="0"/>
                      <w:sz w:val="21"/>
                      <w:szCs w:val="21"/>
                      <w:highlight w:val="none"/>
                      <w:lang w:val="en-US" w:eastAsia="zh-CN" w:bidi="ar-SA"/>
                    </w:rPr>
                  </w:pPr>
                  <w:r>
                    <w:rPr>
                      <w:rFonts w:hint="eastAsia"/>
                    </w:rPr>
                    <w:t>2F，钢架结构，</w:t>
                  </w:r>
                  <w:r>
                    <w:rPr>
                      <w:rFonts w:hint="eastAsia"/>
                      <w:lang w:eastAsia="zh-CN"/>
                    </w:rPr>
                    <w:t>东侧部分出租；剩余部分</w:t>
                  </w:r>
                  <w:r>
                    <w:rPr>
                      <w:rFonts w:hint="eastAsia"/>
                      <w:lang w:val="en-US" w:eastAsia="zh-CN"/>
                    </w:rPr>
                    <w:t>1F为</w:t>
                  </w:r>
                  <w:r>
                    <w:rPr>
                      <w:rFonts w:hint="eastAsia"/>
                    </w:rPr>
                    <w:t>生产车间、</w:t>
                  </w:r>
                  <w:r>
                    <w:rPr>
                      <w:rFonts w:hint="eastAsia"/>
                      <w:lang w:eastAsia="zh-CN"/>
                    </w:rPr>
                    <w:t>成品</w:t>
                  </w:r>
                  <w:r>
                    <w:rPr>
                      <w:rFonts w:hint="eastAsia"/>
                    </w:rPr>
                    <w:t>库房；2</w:t>
                  </w:r>
                  <w:r>
                    <w:t>F</w:t>
                  </w:r>
                  <w:r>
                    <w:rPr>
                      <w:rFonts w:hint="eastAsia"/>
                      <w:lang w:eastAsia="zh-CN"/>
                    </w:rPr>
                    <w:t>西侧为</w:t>
                  </w:r>
                  <w:r>
                    <w:rPr>
                      <w:rFonts w:hint="eastAsia"/>
                    </w:rPr>
                    <w:t>成品库房</w:t>
                  </w:r>
                  <w:r>
                    <w:rPr>
                      <w:rFonts w:hint="eastAsia"/>
                      <w:lang w:eastAsia="zh-CN"/>
                    </w:rPr>
                    <w:t>，东侧为生产车间</w:t>
                  </w:r>
                  <w:r>
                    <w:rPr>
                      <w:rFonts w:hint="eastAsia"/>
                    </w:rPr>
                    <w:t>。</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cstheme="minorBidi"/>
                      <w:bCs/>
                      <w:kern w:val="2"/>
                      <w:sz w:val="21"/>
                      <w:szCs w:val="21"/>
                      <w:lang w:val="en-US" w:eastAsia="zh-CN" w:bidi="ar-SA"/>
                    </w:rPr>
                    <w:t>部分出租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restart"/>
                  <w:tcBorders>
                    <w:tl2br w:val="nil"/>
                    <w:tr2bl w:val="nil"/>
                  </w:tcBorders>
                  <w:noWrap w:val="0"/>
                  <w:vAlign w:val="center"/>
                </w:tcPr>
                <w:p>
                  <w:pPr>
                    <w:pStyle w:val="70"/>
                  </w:pPr>
                  <w:r>
                    <w:t>公用</w:t>
                  </w:r>
                </w:p>
                <w:p>
                  <w:pPr>
                    <w:pStyle w:val="70"/>
                    <w:ind w:firstLine="0" w:firstLineChars="0"/>
                    <w:rPr>
                      <w:rFonts w:hint="default" w:ascii="Times New Roman" w:hAnsi="Times New Roman" w:cs="Times New Roman"/>
                      <w:kern w:val="0"/>
                      <w:sz w:val="21"/>
                      <w:szCs w:val="21"/>
                    </w:rPr>
                  </w:pPr>
                  <w:r>
                    <w:t>工程</w:t>
                  </w:r>
                </w:p>
              </w:tc>
              <w:tc>
                <w:tcPr>
                  <w:tcW w:w="498" w:type="pc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供电设施</w:t>
                  </w:r>
                </w:p>
              </w:tc>
              <w:tc>
                <w:tcPr>
                  <w:tcW w:w="2008" w:type="pct"/>
                  <w:tcBorders>
                    <w:tl2br w:val="nil"/>
                    <w:tr2bl w:val="nil"/>
                  </w:tcBorders>
                  <w:noWrap w:val="0"/>
                  <w:vAlign w:val="center"/>
                </w:tcPr>
                <w:p>
                  <w:pPr>
                    <w:pStyle w:val="70"/>
                    <w:ind w:firstLine="0" w:firstLineChars="0"/>
                    <w:jc w:val="left"/>
                    <w:rPr>
                      <w:rFonts w:hint="default" w:asciiTheme="minorHAnsi" w:hAnsiTheme="minorHAnsi" w:eastAsiaTheme="minorEastAsia" w:cstheme="minorBidi"/>
                      <w:kern w:val="0"/>
                      <w:sz w:val="21"/>
                      <w:szCs w:val="24"/>
                      <w:lang w:val="en-US" w:eastAsia="zh-CN" w:bidi="ar-SA"/>
                    </w:rPr>
                  </w:pPr>
                  <w:r>
                    <w:t>由园区供电系统提供</w:t>
                  </w:r>
                </w:p>
              </w:tc>
              <w:tc>
                <w:tcPr>
                  <w:tcW w:w="1710" w:type="pct"/>
                  <w:tcBorders>
                    <w:tl2br w:val="nil"/>
                    <w:tr2bl w:val="nil"/>
                  </w:tcBorders>
                  <w:noWrap w:val="0"/>
                  <w:vAlign w:val="center"/>
                </w:tcPr>
                <w:p>
                  <w:pPr>
                    <w:pStyle w:val="70"/>
                    <w:ind w:firstLine="0" w:firstLineChars="0"/>
                    <w:rPr>
                      <w:rFonts w:hint="eastAsia" w:ascii="Times New Roman" w:hAnsi="Times New Roman" w:cs="Times New Roman" w:eastAsiaTheme="minorEastAsia"/>
                      <w:b/>
                      <w:bCs/>
                      <w:kern w:val="0"/>
                      <w:sz w:val="21"/>
                      <w:szCs w:val="21"/>
                      <w:lang w:eastAsia="zh-CN"/>
                    </w:rPr>
                  </w:pPr>
                  <w:r>
                    <w:rPr>
                      <w:rFonts w:hint="eastAsia"/>
                      <w:b/>
                      <w:bCs/>
                      <w:lang w:eastAsia="zh-CN"/>
                    </w:rPr>
                    <w:t>同环评</w:t>
                  </w:r>
                </w:p>
              </w:tc>
              <w:tc>
                <w:tcPr>
                  <w:tcW w:w="460" w:type="pct"/>
                  <w:tcBorders>
                    <w:tl2br w:val="nil"/>
                    <w:tr2bl w:val="nil"/>
                  </w:tcBorders>
                  <w:noWrap w:val="0"/>
                  <w:vAlign w:val="center"/>
                </w:tcPr>
                <w:p>
                  <w:pPr>
                    <w:contextualSpacing/>
                    <w:jc w:val="center"/>
                    <w:rPr>
                      <w:rFonts w:hint="eastAsia"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firstLine="0" w:firstLineChars="0"/>
                    <w:jc w:val="center"/>
                    <w:textAlignment w:val="auto"/>
                    <w:rPr>
                      <w:rFonts w:hint="default" w:ascii="Times New Roman" w:hAnsi="Times New Roman" w:cs="Times New Roman"/>
                      <w:kern w:val="0"/>
                      <w:sz w:val="21"/>
                      <w:szCs w:val="21"/>
                    </w:rPr>
                  </w:pPr>
                </w:p>
              </w:tc>
              <w:tc>
                <w:tcPr>
                  <w:tcW w:w="498" w:type="pc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供水设施</w:t>
                  </w:r>
                </w:p>
              </w:tc>
              <w:tc>
                <w:tcPr>
                  <w:tcW w:w="2008" w:type="pct"/>
                  <w:tcBorders>
                    <w:tl2br w:val="nil"/>
                    <w:tr2bl w:val="nil"/>
                  </w:tcBorders>
                  <w:noWrap w:val="0"/>
                  <w:vAlign w:val="center"/>
                </w:tcPr>
                <w:p>
                  <w:pPr>
                    <w:pStyle w:val="70"/>
                    <w:ind w:firstLine="0" w:firstLineChars="0"/>
                    <w:jc w:val="left"/>
                    <w:rPr>
                      <w:rFonts w:hint="default" w:asciiTheme="minorHAnsi" w:hAnsiTheme="minorHAnsi" w:eastAsiaTheme="minorEastAsia" w:cstheme="minorBidi"/>
                      <w:kern w:val="0"/>
                      <w:sz w:val="21"/>
                      <w:szCs w:val="24"/>
                      <w:lang w:val="en-US" w:eastAsia="zh-CN" w:bidi="ar-SA"/>
                    </w:rPr>
                  </w:pPr>
                  <w:r>
                    <w:rPr>
                      <w:rFonts w:hint="eastAsia"/>
                    </w:rPr>
                    <w:t>市政供水管网提供</w:t>
                  </w:r>
                </w:p>
              </w:tc>
              <w:tc>
                <w:tcPr>
                  <w:tcW w:w="1710" w:type="pct"/>
                  <w:tcBorders>
                    <w:tl2br w:val="nil"/>
                    <w:tr2bl w:val="nil"/>
                  </w:tcBorders>
                  <w:noWrap w:val="0"/>
                  <w:vAlign w:val="center"/>
                </w:tcPr>
                <w:p>
                  <w:pPr>
                    <w:pStyle w:val="70"/>
                    <w:ind w:firstLine="0" w:firstLineChars="0"/>
                    <w:rPr>
                      <w:rFonts w:hint="eastAsia" w:ascii="Times New Roman" w:hAnsi="Times New Roman" w:cs="Times New Roman"/>
                      <w:kern w:val="0"/>
                      <w:sz w:val="21"/>
                      <w:szCs w:val="21"/>
                      <w:lang w:eastAsia="zh-CN"/>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imes New Roman" w:hAnsi="Times New Roman" w:cs="Times New Roman"/>
                      <w:b w:val="0"/>
                      <w:sz w:val="21"/>
                      <w:szCs w:val="21"/>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restart"/>
                  <w:tcBorders>
                    <w:tl2br w:val="nil"/>
                    <w:tr2bl w:val="nil"/>
                  </w:tcBorders>
                  <w:noWrap w:val="0"/>
                  <w:vAlign w:val="center"/>
                </w:tcPr>
                <w:p>
                  <w:pPr>
                    <w:pStyle w:val="70"/>
                    <w:ind w:firstLine="0" w:firstLineChars="0"/>
                    <w:rPr>
                      <w:rFonts w:hint="eastAsia" w:ascii="Times New Roman" w:hAnsi="Times New Roman" w:cs="Times New Roman" w:eastAsiaTheme="minorEastAsia"/>
                      <w:kern w:val="0"/>
                      <w:sz w:val="21"/>
                      <w:szCs w:val="21"/>
                      <w:lang w:eastAsia="zh-CN"/>
                    </w:rPr>
                  </w:pPr>
                  <w:r>
                    <w:rPr>
                      <w:rFonts w:hint="eastAsia"/>
                    </w:rPr>
                    <w:t>办公生活</w:t>
                  </w:r>
                </w:p>
              </w:tc>
              <w:tc>
                <w:tcPr>
                  <w:tcW w:w="498" w:type="pct"/>
                  <w:vMerge w:val="restart"/>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r>
                    <w:rPr>
                      <w:rFonts w:hint="eastAsia"/>
                    </w:rPr>
                    <w:t>综合楼</w:t>
                  </w:r>
                </w:p>
              </w:tc>
              <w:tc>
                <w:tcPr>
                  <w:tcW w:w="2008" w:type="pct"/>
                  <w:tcBorders>
                    <w:tl2br w:val="nil"/>
                    <w:tr2bl w:val="nil"/>
                  </w:tcBorders>
                  <w:noWrap w:val="0"/>
                  <w:vAlign w:val="center"/>
                </w:tcPr>
                <w:p>
                  <w:pPr>
                    <w:pStyle w:val="70"/>
                    <w:ind w:firstLine="0" w:firstLineChars="0"/>
                    <w:jc w:val="left"/>
                    <w:rPr>
                      <w:rFonts w:hint="default" w:ascii="Times New Roman" w:hAnsi="Times New Roman" w:cs="Times New Roman"/>
                      <w:kern w:val="0"/>
                      <w:sz w:val="21"/>
                      <w:szCs w:val="21"/>
                    </w:rPr>
                  </w:pPr>
                  <w:r>
                    <w:rPr>
                      <w:rFonts w:hint="eastAsia"/>
                    </w:rPr>
                    <w:t>4</w:t>
                  </w:r>
                  <w:r>
                    <w:t>F</w:t>
                  </w:r>
                  <w:r>
                    <w:rPr>
                      <w:rFonts w:hint="eastAsia"/>
                    </w:rPr>
                    <w:t>，混凝土结构，总建筑面积1332m</w:t>
                  </w:r>
                  <w:r>
                    <w:rPr>
                      <w:rFonts w:hint="eastAsia"/>
                      <w:vertAlign w:val="superscript"/>
                    </w:rPr>
                    <w:t>2</w:t>
                  </w:r>
                  <w:r>
                    <w:rPr>
                      <w:rFonts w:hint="eastAsia"/>
                    </w:rPr>
                    <w:t>。</w:t>
                  </w:r>
                </w:p>
              </w:tc>
              <w:tc>
                <w:tcPr>
                  <w:tcW w:w="1710" w:type="pct"/>
                  <w:tcBorders>
                    <w:tl2br w:val="nil"/>
                    <w:tr2bl w:val="nil"/>
                  </w:tcBorders>
                  <w:noWrap w:val="0"/>
                  <w:vAlign w:val="center"/>
                </w:tcPr>
                <w:p>
                  <w:pPr>
                    <w:pStyle w:val="70"/>
                    <w:ind w:firstLine="0" w:firstLineChars="0"/>
                    <w:rPr>
                      <w:rFonts w:hint="default" w:ascii="Times New Roman" w:hAnsi="Times New Roman" w:eastAsia="宋体" w:cs="Times New Roman"/>
                      <w:b/>
                      <w:bCs/>
                      <w:kern w:val="0"/>
                      <w:sz w:val="21"/>
                      <w:szCs w:val="21"/>
                      <w:highlight w:val="none"/>
                      <w:lang w:val="en-US" w:eastAsia="zh-CN" w:bidi="ar-SA"/>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imes New Roman" w:hAnsi="Times New Roman" w:cs="Times New Roman"/>
                      <w:b w:val="0"/>
                      <w:sz w:val="21"/>
                      <w:szCs w:val="21"/>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pStyle w:val="70"/>
                    <w:ind w:firstLine="0" w:firstLineChars="0"/>
                    <w:rPr>
                      <w:rFonts w:hint="default" w:ascii="Times New Roman" w:hAnsi="Times New Roman" w:cs="Times New Roman"/>
                      <w:kern w:val="0"/>
                      <w:sz w:val="21"/>
                      <w:szCs w:val="21"/>
                    </w:rPr>
                  </w:pPr>
                </w:p>
              </w:tc>
              <w:tc>
                <w:tcPr>
                  <w:tcW w:w="498" w:type="pct"/>
                  <w:vMerge w:val="continue"/>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p>
              </w:tc>
              <w:tc>
                <w:tcPr>
                  <w:tcW w:w="2008" w:type="pct"/>
                  <w:tcBorders>
                    <w:tl2br w:val="nil"/>
                    <w:tr2bl w:val="nil"/>
                  </w:tcBorders>
                  <w:noWrap w:val="0"/>
                  <w:vAlign w:val="center"/>
                </w:tcPr>
                <w:p>
                  <w:pPr>
                    <w:pStyle w:val="70"/>
                    <w:ind w:firstLine="0" w:firstLineChars="0"/>
                    <w:jc w:val="left"/>
                    <w:rPr>
                      <w:rFonts w:hint="default" w:ascii="Times New Roman" w:hAnsi="Times New Roman" w:cs="Times New Roman"/>
                      <w:kern w:val="0"/>
                      <w:sz w:val="21"/>
                      <w:szCs w:val="21"/>
                    </w:rPr>
                  </w:pPr>
                  <w:r>
                    <w:rPr>
                      <w:rFonts w:hint="eastAsia"/>
                    </w:rPr>
                    <w:t>1</w:t>
                  </w:r>
                  <w:r>
                    <w:t>F</w:t>
                  </w:r>
                  <w:r>
                    <w:rPr>
                      <w:rFonts w:hint="eastAsia"/>
                    </w:rPr>
                    <w:t>为卫生间、门卫室、展示大厅、餐厅、厨房</w:t>
                  </w:r>
                </w:p>
              </w:tc>
              <w:tc>
                <w:tcPr>
                  <w:tcW w:w="1710" w:type="pct"/>
                  <w:tcBorders>
                    <w:tl2br w:val="nil"/>
                    <w:tr2bl w:val="nil"/>
                  </w:tcBorders>
                  <w:noWrap w:val="0"/>
                  <w:vAlign w:val="center"/>
                </w:tcPr>
                <w:p>
                  <w:pPr>
                    <w:pStyle w:val="70"/>
                    <w:ind w:firstLine="0" w:firstLineChars="0"/>
                    <w:rPr>
                      <w:rFonts w:hint="default" w:ascii="Times New Roman" w:hAnsi="Times New Roman" w:eastAsia="宋体" w:cs="Times New Roman"/>
                      <w:b/>
                      <w:bCs/>
                      <w:kern w:val="0"/>
                      <w:sz w:val="21"/>
                      <w:szCs w:val="21"/>
                      <w:highlight w:val="none"/>
                      <w:lang w:val="en-US" w:eastAsia="zh-CN" w:bidi="ar-SA"/>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pStyle w:val="70"/>
                    <w:ind w:firstLine="0" w:firstLineChars="0"/>
                    <w:rPr>
                      <w:rFonts w:hint="default" w:ascii="Times New Roman" w:hAnsi="Times New Roman" w:cs="Times New Roman"/>
                      <w:kern w:val="0"/>
                      <w:sz w:val="21"/>
                      <w:szCs w:val="21"/>
                    </w:rPr>
                  </w:pPr>
                </w:p>
              </w:tc>
              <w:tc>
                <w:tcPr>
                  <w:tcW w:w="498" w:type="pct"/>
                  <w:vMerge w:val="continue"/>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p>
              </w:tc>
              <w:tc>
                <w:tcPr>
                  <w:tcW w:w="2008" w:type="pct"/>
                  <w:tcBorders>
                    <w:tl2br w:val="nil"/>
                    <w:tr2bl w:val="nil"/>
                  </w:tcBorders>
                  <w:noWrap w:val="0"/>
                  <w:vAlign w:val="center"/>
                </w:tcPr>
                <w:p>
                  <w:pPr>
                    <w:pStyle w:val="70"/>
                    <w:ind w:firstLine="0" w:firstLineChars="0"/>
                    <w:jc w:val="left"/>
                    <w:rPr>
                      <w:rFonts w:hint="default" w:ascii="Times New Roman" w:hAnsi="Times New Roman" w:cs="Times New Roman"/>
                      <w:kern w:val="0"/>
                      <w:sz w:val="21"/>
                      <w:szCs w:val="21"/>
                    </w:rPr>
                  </w:pPr>
                  <w:r>
                    <w:rPr>
                      <w:rFonts w:hint="eastAsia"/>
                    </w:rPr>
                    <w:t>2</w:t>
                  </w:r>
                  <w:r>
                    <w:t>F</w:t>
                  </w:r>
                  <w:r>
                    <w:rPr>
                      <w:rFonts w:hint="eastAsia"/>
                    </w:rPr>
                    <w:t>、3</w:t>
                  </w:r>
                  <w:r>
                    <w:t>F</w:t>
                  </w:r>
                  <w:r>
                    <w:rPr>
                      <w:rFonts w:hint="eastAsia"/>
                    </w:rPr>
                    <w:t>为办公室及宿舍</w:t>
                  </w:r>
                </w:p>
              </w:tc>
              <w:tc>
                <w:tcPr>
                  <w:tcW w:w="1710" w:type="pct"/>
                  <w:tcBorders>
                    <w:tl2br w:val="nil"/>
                    <w:tr2bl w:val="nil"/>
                  </w:tcBorders>
                  <w:noWrap w:val="0"/>
                  <w:vAlign w:val="center"/>
                </w:tcPr>
                <w:p>
                  <w:pPr>
                    <w:pStyle w:val="70"/>
                    <w:ind w:firstLine="0" w:firstLineChars="0"/>
                    <w:rPr>
                      <w:rFonts w:hint="default" w:asciiTheme="minorHAnsi" w:hAnsiTheme="minorHAnsi" w:eastAsiaTheme="minorEastAsia" w:cstheme="minorBidi"/>
                      <w:bCs/>
                      <w:kern w:val="2"/>
                      <w:sz w:val="21"/>
                      <w:szCs w:val="21"/>
                      <w:lang w:val="en-US" w:eastAsia="zh-CN" w:bidi="ar-SA"/>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pStyle w:val="70"/>
                    <w:ind w:firstLine="0" w:firstLineChars="0"/>
                    <w:rPr>
                      <w:rFonts w:hint="default" w:ascii="Times New Roman" w:hAnsi="Times New Roman" w:cs="Times New Roman"/>
                      <w:kern w:val="0"/>
                      <w:sz w:val="21"/>
                      <w:szCs w:val="21"/>
                    </w:rPr>
                  </w:pPr>
                </w:p>
              </w:tc>
              <w:tc>
                <w:tcPr>
                  <w:tcW w:w="498" w:type="pct"/>
                  <w:vMerge w:val="continue"/>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p>
              </w:tc>
              <w:tc>
                <w:tcPr>
                  <w:tcW w:w="2008" w:type="pct"/>
                  <w:tcBorders>
                    <w:tl2br w:val="nil"/>
                    <w:tr2bl w:val="nil"/>
                  </w:tcBorders>
                  <w:noWrap w:val="0"/>
                  <w:vAlign w:val="center"/>
                </w:tcPr>
                <w:p>
                  <w:pPr>
                    <w:pStyle w:val="70"/>
                    <w:ind w:firstLine="0" w:firstLineChars="0"/>
                    <w:jc w:val="left"/>
                    <w:rPr>
                      <w:rFonts w:hint="default" w:ascii="Times New Roman" w:hAnsi="Times New Roman" w:cs="Times New Roman"/>
                      <w:kern w:val="0"/>
                      <w:sz w:val="21"/>
                      <w:szCs w:val="21"/>
                    </w:rPr>
                  </w:pPr>
                  <w:r>
                    <w:t>4F</w:t>
                  </w:r>
                  <w:r>
                    <w:rPr>
                      <w:rFonts w:hint="eastAsia"/>
                    </w:rPr>
                    <w:t>为屋顶花园、会议室、宿舍</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lang w:val="en-US" w:eastAsia="zh-CN" w:bidi="ar-SA"/>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restart"/>
                  <w:tcBorders>
                    <w:tl2br w:val="nil"/>
                    <w:tr2bl w:val="nil"/>
                  </w:tcBorders>
                  <w:noWrap w:val="0"/>
                  <w:vAlign w:val="center"/>
                </w:tcPr>
                <w:p>
                  <w:pPr>
                    <w:pStyle w:val="70"/>
                    <w:ind w:firstLine="0" w:firstLineChars="0"/>
                    <w:rPr>
                      <w:rFonts w:hint="default" w:ascii="Times New Roman" w:hAnsi="Times New Roman" w:cs="Times New Roman"/>
                      <w:kern w:val="0"/>
                      <w:sz w:val="21"/>
                      <w:szCs w:val="21"/>
                    </w:rPr>
                  </w:pPr>
                  <w:r>
                    <w:rPr>
                      <w:rFonts w:hint="eastAsia"/>
                    </w:rPr>
                    <w:t>仓储及其他</w:t>
                  </w:r>
                </w:p>
              </w:tc>
              <w:tc>
                <w:tcPr>
                  <w:tcW w:w="498" w:type="pct"/>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r>
                    <w:rPr>
                      <w:rFonts w:hint="eastAsia"/>
                    </w:rPr>
                    <w:t>成品库房</w:t>
                  </w:r>
                </w:p>
              </w:tc>
              <w:tc>
                <w:tcPr>
                  <w:tcW w:w="2008" w:type="pct"/>
                  <w:tcBorders>
                    <w:tl2br w:val="nil"/>
                    <w:tr2bl w:val="nil"/>
                  </w:tcBorders>
                  <w:noWrap w:val="0"/>
                  <w:vAlign w:val="center"/>
                </w:tcPr>
                <w:p>
                  <w:pPr>
                    <w:pStyle w:val="70"/>
                    <w:ind w:firstLine="0" w:firstLineChars="0"/>
                    <w:jc w:val="left"/>
                    <w:rPr>
                      <w:rFonts w:hint="default" w:ascii="Times New Roman" w:hAnsi="Times New Roman" w:cs="Times New Roman"/>
                      <w:kern w:val="0"/>
                      <w:sz w:val="21"/>
                      <w:szCs w:val="21"/>
                    </w:rPr>
                  </w:pPr>
                  <w:r>
                    <w:rPr>
                      <w:rFonts w:hint="eastAsia"/>
                    </w:rPr>
                    <w:t>位于生产车间2F，建筑面积5670m</w:t>
                  </w:r>
                  <w:r>
                    <w:rPr>
                      <w:rFonts w:hint="eastAsia"/>
                      <w:vertAlign w:val="superscript"/>
                    </w:rPr>
                    <w:t>2</w:t>
                  </w:r>
                  <w:r>
                    <w:rPr>
                      <w:rFonts w:hint="eastAsia"/>
                    </w:rPr>
                    <w:t>。</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highlight w:val="yellow"/>
                      <w:lang w:val="en-US" w:eastAsia="zh-CN"/>
                    </w:rPr>
                  </w:pPr>
                  <w:r>
                    <w:rPr>
                      <w:rFonts w:hint="eastAsia"/>
                      <w:b/>
                      <w:bCs/>
                      <w:lang w:eastAsia="zh-CN"/>
                    </w:rPr>
                    <w:t>同环评</w:t>
                  </w:r>
                </w:p>
              </w:tc>
              <w:tc>
                <w:tcPr>
                  <w:tcW w:w="460" w:type="pct"/>
                  <w:tcBorders>
                    <w:tl2br w:val="nil"/>
                    <w:tr2bl w:val="nil"/>
                  </w:tcBorders>
                  <w:noWrap w:val="0"/>
                  <w:vAlign w:val="center"/>
                </w:tcPr>
                <w:p>
                  <w:pPr>
                    <w:contextualSpacing/>
                    <w:jc w:val="center"/>
                    <w:rPr>
                      <w:rFonts w:hint="eastAsia"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pStyle w:val="70"/>
                    <w:ind w:firstLine="0" w:firstLineChars="0"/>
                    <w:rPr>
                      <w:rFonts w:hint="default" w:ascii="Times New Roman" w:hAnsi="Times New Roman" w:cs="Times New Roman"/>
                      <w:kern w:val="0"/>
                      <w:sz w:val="21"/>
                      <w:szCs w:val="21"/>
                    </w:rPr>
                  </w:pPr>
                </w:p>
              </w:tc>
              <w:tc>
                <w:tcPr>
                  <w:tcW w:w="498" w:type="pct"/>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r>
                    <w:rPr>
                      <w:rFonts w:hint="eastAsia"/>
                    </w:rPr>
                    <w:t>原料库存区</w:t>
                  </w:r>
                </w:p>
              </w:tc>
              <w:tc>
                <w:tcPr>
                  <w:tcW w:w="2008" w:type="pct"/>
                  <w:tcBorders>
                    <w:tl2br w:val="nil"/>
                    <w:tr2bl w:val="nil"/>
                  </w:tcBorders>
                  <w:noWrap w:val="0"/>
                  <w:vAlign w:val="center"/>
                </w:tcPr>
                <w:p>
                  <w:pPr>
                    <w:pStyle w:val="70"/>
                    <w:ind w:firstLine="0" w:firstLineChars="0"/>
                    <w:jc w:val="left"/>
                    <w:rPr>
                      <w:rFonts w:hint="default" w:ascii="Times New Roman" w:hAnsi="Times New Roman" w:cs="Times New Roman"/>
                      <w:kern w:val="0"/>
                      <w:sz w:val="21"/>
                      <w:szCs w:val="21"/>
                    </w:rPr>
                  </w:pPr>
                  <w:r>
                    <w:rPr>
                      <w:rFonts w:hint="eastAsia"/>
                    </w:rPr>
                    <w:t>位于生产车间1F，建筑面积880m</w:t>
                  </w:r>
                  <w:r>
                    <w:rPr>
                      <w:rFonts w:hint="eastAsia"/>
                      <w:vertAlign w:val="superscript"/>
                    </w:rPr>
                    <w:t>2</w:t>
                  </w:r>
                  <w:r>
                    <w:rPr>
                      <w:rFonts w:hint="eastAsia"/>
                    </w:rPr>
                    <w:t>。</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highlight w:val="yellow"/>
                      <w:lang w:val="en-US" w:eastAsia="zh-CN"/>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pStyle w:val="70"/>
                    <w:ind w:firstLine="0" w:firstLineChars="0"/>
                    <w:rPr>
                      <w:rFonts w:hint="default" w:ascii="Times New Roman" w:hAnsi="Times New Roman" w:cs="Times New Roman"/>
                      <w:kern w:val="0"/>
                      <w:sz w:val="21"/>
                      <w:szCs w:val="21"/>
                    </w:rPr>
                  </w:pPr>
                </w:p>
              </w:tc>
              <w:tc>
                <w:tcPr>
                  <w:tcW w:w="498" w:type="pct"/>
                  <w:tcBorders>
                    <w:tl2br w:val="nil"/>
                    <w:tr2bl w:val="nil"/>
                  </w:tcBorders>
                  <w:noWrap w:val="0"/>
                  <w:vAlign w:val="center"/>
                </w:tcPr>
                <w:p>
                  <w:pPr>
                    <w:pStyle w:val="70"/>
                    <w:ind w:firstLine="0" w:firstLineChars="0"/>
                    <w:rPr>
                      <w:rFonts w:hint="default" w:ascii="Times New Roman" w:hAnsi="Times New Roman" w:cs="Times New Roman"/>
                      <w:b w:val="0"/>
                      <w:kern w:val="0"/>
                      <w:sz w:val="21"/>
                      <w:szCs w:val="21"/>
                    </w:rPr>
                  </w:pPr>
                  <w:r>
                    <w:rPr>
                      <w:rFonts w:hint="eastAsia"/>
                    </w:rPr>
                    <w:t>成品暂存区</w:t>
                  </w:r>
                </w:p>
              </w:tc>
              <w:tc>
                <w:tcPr>
                  <w:tcW w:w="2008" w:type="pct"/>
                  <w:tcBorders>
                    <w:tl2br w:val="nil"/>
                    <w:tr2bl w:val="nil"/>
                  </w:tcBorders>
                  <w:noWrap w:val="0"/>
                  <w:vAlign w:val="center"/>
                </w:tcPr>
                <w:p>
                  <w:pPr>
                    <w:pStyle w:val="70"/>
                    <w:ind w:firstLine="0" w:firstLineChars="0"/>
                    <w:jc w:val="left"/>
                    <w:rPr>
                      <w:bCs/>
                      <w:szCs w:val="21"/>
                    </w:rPr>
                  </w:pPr>
                  <w:r>
                    <w:rPr>
                      <w:rFonts w:hint="eastAsia"/>
                    </w:rPr>
                    <w:t>位于生产车间1F南侧，建筑面积301.6m</w:t>
                  </w:r>
                  <w:r>
                    <w:rPr>
                      <w:rFonts w:hint="eastAsia"/>
                      <w:vertAlign w:val="superscript"/>
                    </w:rPr>
                    <w:t>2</w:t>
                  </w:r>
                  <w:r>
                    <w:rPr>
                      <w:rFonts w:hint="eastAsia"/>
                    </w:rPr>
                    <w:t>。</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lang w:val="en-US" w:eastAsia="zh-CN"/>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restar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环保工程</w:t>
                  </w:r>
                </w:p>
              </w:tc>
              <w:tc>
                <w:tcPr>
                  <w:tcW w:w="498" w:type="pc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废水处理</w:t>
                  </w:r>
                </w:p>
              </w:tc>
              <w:tc>
                <w:tcPr>
                  <w:tcW w:w="2008" w:type="pct"/>
                  <w:tcBorders>
                    <w:tl2br w:val="nil"/>
                    <w:tr2bl w:val="nil"/>
                  </w:tcBorders>
                  <w:noWrap w:val="0"/>
                  <w:vAlign w:val="center"/>
                </w:tcPr>
                <w:p>
                  <w:pPr>
                    <w:pStyle w:val="70"/>
                    <w:jc w:val="left"/>
                  </w:pPr>
                  <w:r>
                    <w:t>隔油池一座，容积</w:t>
                  </w:r>
                  <w:r>
                    <w:rPr>
                      <w:rFonts w:hint="eastAsia"/>
                    </w:rPr>
                    <w:t>5</w:t>
                  </w:r>
                  <w:r>
                    <w:t>m</w:t>
                  </w:r>
                  <w:r>
                    <w:rPr>
                      <w:vertAlign w:val="superscript"/>
                    </w:rPr>
                    <w:t>3</w:t>
                  </w:r>
                  <w:r>
                    <w:t>，</w:t>
                  </w:r>
                  <w:r>
                    <w:rPr>
                      <w:rFonts w:hint="eastAsia"/>
                    </w:rPr>
                    <w:t>综合楼与生产车间之间</w:t>
                  </w:r>
                  <w:r>
                    <w:t>；</w:t>
                  </w:r>
                </w:p>
                <w:p>
                  <w:pPr>
                    <w:pStyle w:val="70"/>
                    <w:ind w:firstLine="0" w:firstLineChars="0"/>
                    <w:jc w:val="left"/>
                    <w:rPr>
                      <w:rFonts w:hint="eastAsia" w:asciiTheme="minorHAnsi" w:hAnsiTheme="minorHAnsi" w:eastAsiaTheme="minorEastAsia" w:cstheme="minorBidi"/>
                      <w:kern w:val="0"/>
                      <w:sz w:val="21"/>
                      <w:szCs w:val="24"/>
                      <w:lang w:val="en-US" w:eastAsia="zh-CN" w:bidi="ar-SA"/>
                    </w:rPr>
                  </w:pPr>
                  <w:r>
                    <w:rPr>
                      <w:rFonts w:hint="eastAsia"/>
                    </w:rPr>
                    <w:t>化粪池2座，单座容积20</w:t>
                  </w:r>
                  <w:r>
                    <w:t>m</w:t>
                  </w:r>
                  <w:r>
                    <w:rPr>
                      <w:vertAlign w:val="superscript"/>
                    </w:rPr>
                    <w:t>3</w:t>
                  </w:r>
                  <w:r>
                    <w:t>，</w:t>
                  </w:r>
                  <w:r>
                    <w:rPr>
                      <w:rFonts w:hint="eastAsia"/>
                    </w:rPr>
                    <w:t>分别</w:t>
                  </w:r>
                  <w:r>
                    <w:t>位于</w:t>
                  </w:r>
                  <w:r>
                    <w:rPr>
                      <w:rFonts w:hint="eastAsia"/>
                    </w:rPr>
                    <w:t>生产车间西侧、综合楼与生产车间之间。</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lang w:val="en-US" w:eastAsia="zh-CN"/>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imes New Roman" w:hAnsi="Times New Roman" w:cs="Times New Roman"/>
                      <w:b w:val="0"/>
                      <w:sz w:val="21"/>
                      <w:szCs w:val="21"/>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contextualSpacing/>
                    <w:jc w:val="center"/>
                    <w:rPr>
                      <w:rFonts w:hint="default" w:ascii="Times New Roman" w:hAnsi="Times New Roman" w:cs="Times New Roman"/>
                      <w:kern w:val="0"/>
                      <w:sz w:val="21"/>
                      <w:szCs w:val="21"/>
                    </w:rPr>
                  </w:pPr>
                </w:p>
              </w:tc>
              <w:tc>
                <w:tcPr>
                  <w:tcW w:w="498" w:type="pct"/>
                  <w:vMerge w:val="restart"/>
                  <w:tcBorders>
                    <w:tl2br w:val="nil"/>
                    <w:tr2bl w:val="nil"/>
                  </w:tcBorders>
                  <w:noWrap w:val="0"/>
                  <w:vAlign w:val="center"/>
                </w:tcPr>
                <w:p>
                  <w:pPr>
                    <w:pStyle w:val="70"/>
                  </w:pPr>
                  <w:r>
                    <w:rPr>
                      <w:rFonts w:hint="eastAsia"/>
                    </w:rPr>
                    <w:t>废气处</w:t>
                  </w:r>
                </w:p>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理设施</w:t>
                  </w:r>
                </w:p>
              </w:tc>
              <w:tc>
                <w:tcPr>
                  <w:tcW w:w="2008" w:type="pct"/>
                  <w:tcBorders>
                    <w:tl2br w:val="nil"/>
                    <w:tr2bl w:val="nil"/>
                  </w:tcBorders>
                  <w:noWrap w:val="0"/>
                  <w:vAlign w:val="center"/>
                </w:tcPr>
                <w:p>
                  <w:pPr>
                    <w:pStyle w:val="70"/>
                    <w:ind w:firstLine="0" w:firstLineChars="0"/>
                    <w:jc w:val="left"/>
                    <w:rPr>
                      <w:rFonts w:hint="eastAsia" w:asciiTheme="minorHAnsi" w:hAnsiTheme="minorHAnsi" w:eastAsiaTheme="minorEastAsia" w:cstheme="minorBidi"/>
                      <w:kern w:val="0"/>
                      <w:sz w:val="21"/>
                      <w:szCs w:val="21"/>
                      <w:lang w:val="en-US" w:eastAsia="zh-CN" w:bidi="ar-SA"/>
                    </w:rPr>
                  </w:pPr>
                  <w:r>
                    <w:rPr>
                      <w:rFonts w:hint="eastAsia"/>
                    </w:rPr>
                    <w:t>注塑、</w:t>
                  </w:r>
                  <w:r>
                    <w:t>吹膜</w:t>
                  </w:r>
                  <w:r>
                    <w:rPr>
                      <w:rFonts w:hint="eastAsia"/>
                    </w:rPr>
                    <w:t>有机废气：</w:t>
                  </w:r>
                  <w:r>
                    <w:rPr>
                      <w:szCs w:val="21"/>
                    </w:rPr>
                    <w:t>集气罩+</w:t>
                  </w:r>
                  <w:r>
                    <w:rPr>
                      <w:rFonts w:hint="eastAsia"/>
                      <w:szCs w:val="21"/>
                    </w:rPr>
                    <w:t>二级活性炭</w:t>
                  </w:r>
                  <w:r>
                    <w:rPr>
                      <w:szCs w:val="21"/>
                    </w:rPr>
                    <w:t>吸附设备</w:t>
                  </w:r>
                  <w:r>
                    <w:rPr>
                      <w:rFonts w:hint="eastAsia"/>
                      <w:szCs w:val="21"/>
                    </w:rPr>
                    <w:t>+</w:t>
                  </w:r>
                  <w:r>
                    <w:rPr>
                      <w:szCs w:val="21"/>
                    </w:rPr>
                    <w:t>15m高排气筒排放</w:t>
                  </w:r>
                  <w:r>
                    <w:rPr>
                      <w:rFonts w:hint="eastAsia"/>
                      <w:szCs w:val="21"/>
                    </w:rPr>
                    <w:t>；</w:t>
                  </w:r>
                </w:p>
              </w:tc>
              <w:tc>
                <w:tcPr>
                  <w:tcW w:w="1710" w:type="pct"/>
                  <w:tcBorders>
                    <w:tl2br w:val="nil"/>
                    <w:tr2bl w:val="nil"/>
                  </w:tcBorders>
                  <w:noWrap w:val="0"/>
                  <w:vAlign w:val="center"/>
                </w:tcPr>
                <w:p>
                  <w:pPr>
                    <w:pStyle w:val="70"/>
                    <w:ind w:firstLine="0" w:firstLineChars="0"/>
                    <w:jc w:val="left"/>
                    <w:rPr>
                      <w:rFonts w:hint="eastAsia"/>
                      <w:szCs w:val="21"/>
                      <w:lang w:eastAsia="zh-CN"/>
                    </w:rPr>
                  </w:pPr>
                  <w:r>
                    <w:rPr>
                      <w:rFonts w:hint="eastAsia"/>
                      <w:lang w:eastAsia="zh-CN"/>
                    </w:rPr>
                    <w:t>印刷</w:t>
                  </w:r>
                  <w:r>
                    <w:rPr>
                      <w:rFonts w:hint="eastAsia"/>
                    </w:rPr>
                    <w:t>、</w:t>
                  </w:r>
                  <w:r>
                    <w:t>吹膜</w:t>
                  </w:r>
                  <w:r>
                    <w:rPr>
                      <w:rFonts w:hint="eastAsia"/>
                    </w:rPr>
                    <w:t>有机废气：</w:t>
                  </w:r>
                  <w:r>
                    <w:rPr>
                      <w:szCs w:val="21"/>
                    </w:rPr>
                    <w:t>集气罩+</w:t>
                  </w:r>
                  <w:r>
                    <w:rPr>
                      <w:rFonts w:hint="eastAsia"/>
                      <w:szCs w:val="21"/>
                    </w:rPr>
                    <w:t>活性炭</w:t>
                  </w:r>
                  <w:r>
                    <w:rPr>
                      <w:szCs w:val="21"/>
                    </w:rPr>
                    <w:t>吸附设备</w:t>
                  </w:r>
                  <w:r>
                    <w:rPr>
                      <w:rFonts w:hint="eastAsia"/>
                      <w:szCs w:val="21"/>
                    </w:rPr>
                    <w:t>+</w:t>
                  </w:r>
                  <w:r>
                    <w:rPr>
                      <w:szCs w:val="21"/>
                    </w:rPr>
                    <w:t>15m高排气筒排放</w:t>
                  </w:r>
                  <w:r>
                    <w:rPr>
                      <w:rFonts w:hint="eastAsia"/>
                      <w:szCs w:val="21"/>
                      <w:lang w:eastAsia="zh-CN"/>
                    </w:rPr>
                    <w:t>；</w:t>
                  </w:r>
                </w:p>
                <w:p>
                  <w:pPr>
                    <w:pStyle w:val="70"/>
                    <w:ind w:firstLine="0" w:firstLineChars="0"/>
                    <w:jc w:val="left"/>
                    <w:rPr>
                      <w:rFonts w:hint="eastAsia" w:ascii="Times New Roman" w:hAnsi="Times New Roman" w:cs="Times New Roman" w:eastAsiaTheme="minorEastAsia"/>
                      <w:kern w:val="0"/>
                      <w:sz w:val="21"/>
                      <w:szCs w:val="21"/>
                      <w:highlight w:val="yellow"/>
                      <w:lang w:val="en-US" w:eastAsia="zh-CN"/>
                    </w:rPr>
                  </w:pPr>
                  <w:r>
                    <w:rPr>
                      <w:rFonts w:hint="eastAsia"/>
                      <w:lang w:eastAsia="zh-CN"/>
                    </w:rPr>
                    <w:t>造粒有机废气：集气罩</w:t>
                  </w:r>
                  <w:r>
                    <w:rPr>
                      <w:rFonts w:hint="eastAsia"/>
                      <w:lang w:val="en-US" w:eastAsia="zh-CN"/>
                    </w:rPr>
                    <w:t>+活性炭吸附设备+15m高排气筒排放</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cstheme="minorBidi"/>
                      <w:bCs/>
                      <w:kern w:val="2"/>
                      <w:sz w:val="21"/>
                      <w:szCs w:val="21"/>
                      <w:lang w:val="en-US" w:eastAsia="zh-CN" w:bidi="ar-SA"/>
                    </w:rPr>
                    <w:t>增加一套处理设施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contextualSpacing/>
                    <w:jc w:val="center"/>
                    <w:rPr>
                      <w:rFonts w:hint="default" w:ascii="Times New Roman" w:hAnsi="Times New Roman" w:cs="Times New Roman"/>
                      <w:kern w:val="0"/>
                      <w:sz w:val="21"/>
                      <w:szCs w:val="21"/>
                    </w:rPr>
                  </w:pPr>
                </w:p>
              </w:tc>
              <w:tc>
                <w:tcPr>
                  <w:tcW w:w="498" w:type="pct"/>
                  <w:vMerge w:val="continue"/>
                  <w:tcBorders>
                    <w:tl2br w:val="nil"/>
                    <w:tr2bl w:val="nil"/>
                  </w:tcBorders>
                  <w:noWrap w:val="0"/>
                  <w:vAlign w:val="center"/>
                </w:tcPr>
                <w:p>
                  <w:pPr>
                    <w:pStyle w:val="13"/>
                    <w:ind w:left="0" w:leftChars="0"/>
                    <w:contextualSpacing/>
                    <w:jc w:val="center"/>
                    <w:rPr>
                      <w:rFonts w:hint="default" w:ascii="Times New Roman" w:hAnsi="Times New Roman" w:cs="Times New Roman"/>
                      <w:b w:val="0"/>
                      <w:kern w:val="0"/>
                      <w:sz w:val="21"/>
                      <w:szCs w:val="21"/>
                    </w:rPr>
                  </w:pPr>
                </w:p>
              </w:tc>
              <w:tc>
                <w:tcPr>
                  <w:tcW w:w="2008" w:type="pct"/>
                  <w:tcBorders>
                    <w:tl2br w:val="nil"/>
                    <w:tr2bl w:val="nil"/>
                  </w:tcBorders>
                  <w:noWrap w:val="0"/>
                  <w:vAlign w:val="center"/>
                </w:tcPr>
                <w:p>
                  <w:pPr>
                    <w:pStyle w:val="70"/>
                    <w:ind w:firstLine="0" w:firstLineChars="0"/>
                    <w:jc w:val="left"/>
                    <w:rPr>
                      <w:rFonts w:hint="eastAsia" w:asciiTheme="minorHAnsi" w:hAnsiTheme="minorHAnsi" w:eastAsiaTheme="minorEastAsia" w:cstheme="minorBidi"/>
                      <w:kern w:val="0"/>
                      <w:sz w:val="21"/>
                      <w:szCs w:val="24"/>
                      <w:lang w:val="en-US" w:eastAsia="zh-CN" w:bidi="ar-SA"/>
                    </w:rPr>
                  </w:pPr>
                  <w:r>
                    <w:rPr>
                      <w:rFonts w:hint="eastAsia"/>
                    </w:rPr>
                    <w:t>食堂油烟：经油烟净化器处理后，经专用烟道引至楼顶排放</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lang w:val="en-US" w:eastAsia="zh-CN" w:bidi="ar-SA"/>
                    </w:rPr>
                  </w:pPr>
                  <w:r>
                    <w:rPr>
                      <w:rFonts w:hint="eastAsia"/>
                      <w:b/>
                      <w:bCs/>
                      <w:lang w:eastAsia="zh-CN"/>
                    </w:rPr>
                    <w:t>同环评</w:t>
                  </w:r>
                </w:p>
              </w:tc>
              <w:tc>
                <w:tcPr>
                  <w:tcW w:w="460" w:type="pct"/>
                  <w:tcBorders>
                    <w:tl2br w:val="nil"/>
                    <w:tr2bl w:val="nil"/>
                  </w:tcBorders>
                  <w:noWrap w:val="0"/>
                  <w:vAlign w:val="center"/>
                </w:tcPr>
                <w:p>
                  <w:pPr>
                    <w:contextualSpacing/>
                    <w:jc w:val="center"/>
                    <w:rPr>
                      <w:rFonts w:hint="default"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Borders>
                    <w:tl2br w:val="nil"/>
                    <w:tr2bl w:val="nil"/>
                  </w:tcBorders>
                  <w:noWrap w:val="0"/>
                  <w:vAlign w:val="center"/>
                </w:tcPr>
                <w:p>
                  <w:pPr>
                    <w:contextualSpacing/>
                    <w:jc w:val="center"/>
                    <w:rPr>
                      <w:rFonts w:hint="default" w:ascii="Times New Roman" w:hAnsi="Times New Roman" w:cs="Times New Roman"/>
                      <w:kern w:val="0"/>
                      <w:sz w:val="21"/>
                      <w:szCs w:val="21"/>
                    </w:rPr>
                  </w:pPr>
                </w:p>
              </w:tc>
              <w:tc>
                <w:tcPr>
                  <w:tcW w:w="498" w:type="pct"/>
                  <w:tcBorders>
                    <w:tl2br w:val="nil"/>
                    <w:tr2bl w:val="nil"/>
                  </w:tcBorders>
                  <w:noWrap w:val="0"/>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降噪</w:t>
                  </w:r>
                  <w:r>
                    <w:rPr>
                      <w:rFonts w:hint="eastAsia"/>
                    </w:rPr>
                    <w:t>措施</w:t>
                  </w:r>
                </w:p>
              </w:tc>
              <w:tc>
                <w:tcPr>
                  <w:tcW w:w="2008" w:type="pct"/>
                  <w:tcBorders>
                    <w:tl2br w:val="nil"/>
                    <w:tr2bl w:val="nil"/>
                  </w:tcBorders>
                  <w:noWrap w:val="0"/>
                  <w:vAlign w:val="center"/>
                </w:tcPr>
                <w:p>
                  <w:pPr>
                    <w:pStyle w:val="70"/>
                    <w:ind w:firstLine="0" w:firstLineChars="0"/>
                    <w:jc w:val="left"/>
                    <w:rPr>
                      <w:rFonts w:hint="eastAsia" w:asciiTheme="minorHAnsi" w:hAnsiTheme="minorHAnsi" w:eastAsiaTheme="minorEastAsia" w:cstheme="minorBidi"/>
                      <w:kern w:val="0"/>
                      <w:sz w:val="21"/>
                      <w:szCs w:val="24"/>
                      <w:lang w:val="en-US" w:eastAsia="zh-CN" w:bidi="ar-SA"/>
                    </w:rPr>
                  </w:pPr>
                  <w:r>
                    <w:t>选用低噪声设备、基础减振、建筑隔声</w:t>
                  </w:r>
                  <w:r>
                    <w:rPr>
                      <w:rFonts w:hint="eastAsia"/>
                    </w:rPr>
                    <w:t>等</w:t>
                  </w:r>
                </w:p>
              </w:tc>
              <w:tc>
                <w:tcPr>
                  <w:tcW w:w="1710" w:type="pct"/>
                  <w:tcBorders>
                    <w:tl2br w:val="nil"/>
                    <w:tr2bl w:val="nil"/>
                  </w:tcBorders>
                  <w:noWrap w:val="0"/>
                  <w:vAlign w:val="center"/>
                </w:tcPr>
                <w:p>
                  <w:pPr>
                    <w:pStyle w:val="70"/>
                    <w:ind w:firstLine="0" w:firstLineChars="0"/>
                    <w:rPr>
                      <w:rFonts w:hint="default" w:ascii="Times New Roman" w:hAnsi="Times New Roman" w:cs="Times New Roman" w:eastAsiaTheme="minorEastAsia"/>
                      <w:kern w:val="0"/>
                      <w:sz w:val="21"/>
                      <w:szCs w:val="21"/>
                      <w:lang w:val="en-US" w:eastAsia="zh-CN" w:bidi="ar-SA"/>
                    </w:rPr>
                  </w:pPr>
                  <w:r>
                    <w:rPr>
                      <w:rFonts w:hint="eastAsia"/>
                      <w:b/>
                      <w:bCs/>
                      <w:lang w:eastAsia="zh-CN"/>
                    </w:rPr>
                    <w:t>同环评</w:t>
                  </w:r>
                </w:p>
              </w:tc>
              <w:tc>
                <w:tcPr>
                  <w:tcW w:w="460" w:type="pct"/>
                  <w:tcBorders>
                    <w:tl2br w:val="nil"/>
                    <w:tr2bl w:val="nil"/>
                  </w:tcBorders>
                  <w:noWrap w:val="0"/>
                  <w:vAlign w:val="center"/>
                </w:tcPr>
                <w:p>
                  <w:pPr>
                    <w:contextualSpacing/>
                    <w:jc w:val="center"/>
                    <w:rPr>
                      <w:rFonts w:hint="eastAsia"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Pr>
                <w:p>
                  <w:pPr>
                    <w:contextualSpacing/>
                    <w:jc w:val="center"/>
                    <w:rPr>
                      <w:rFonts w:hint="default" w:ascii="Times New Roman" w:hAnsi="Times New Roman" w:cs="Times New Roman"/>
                      <w:kern w:val="0"/>
                      <w:sz w:val="21"/>
                      <w:szCs w:val="21"/>
                    </w:rPr>
                  </w:pPr>
                </w:p>
              </w:tc>
              <w:tc>
                <w:tcPr>
                  <w:tcW w:w="498" w:type="pct"/>
                  <w:vMerge w:val="restart"/>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固废处理措施</w:t>
                  </w:r>
                </w:p>
              </w:tc>
              <w:tc>
                <w:tcPr>
                  <w:tcW w:w="2008" w:type="pct"/>
                  <w:vAlign w:val="center"/>
                </w:tcPr>
                <w:p>
                  <w:pPr>
                    <w:pStyle w:val="70"/>
                    <w:ind w:firstLine="0" w:firstLineChars="0"/>
                    <w:jc w:val="left"/>
                    <w:rPr>
                      <w:rFonts w:asciiTheme="minorHAnsi" w:hAnsiTheme="minorHAnsi" w:eastAsiaTheme="minorEastAsia" w:cstheme="minorBidi"/>
                      <w:kern w:val="0"/>
                      <w:sz w:val="21"/>
                      <w:szCs w:val="24"/>
                      <w:lang w:val="en-US" w:eastAsia="zh-CN" w:bidi="ar-SA"/>
                    </w:rPr>
                  </w:pPr>
                  <w:r>
                    <w:t>生活垃圾</w:t>
                  </w:r>
                  <w:r>
                    <w:rPr>
                      <w:rFonts w:hint="eastAsia"/>
                    </w:rPr>
                    <w:t>：设若干生活垃圾桶，收集后交园区环卫部门处理</w:t>
                  </w:r>
                </w:p>
              </w:tc>
              <w:tc>
                <w:tcPr>
                  <w:tcW w:w="1710" w:type="pct"/>
                  <w:vAlign w:val="center"/>
                </w:tcPr>
                <w:p>
                  <w:pPr>
                    <w:pStyle w:val="70"/>
                    <w:ind w:firstLine="0" w:firstLineChars="0"/>
                    <w:rPr>
                      <w:rFonts w:hint="default" w:ascii="Times New Roman" w:hAnsi="Times New Roman" w:cs="Times New Roman" w:eastAsiaTheme="minorEastAsia"/>
                      <w:kern w:val="0"/>
                      <w:sz w:val="21"/>
                      <w:szCs w:val="21"/>
                      <w:lang w:val="en-US" w:eastAsia="zh-CN" w:bidi="ar-SA"/>
                    </w:rPr>
                  </w:pPr>
                  <w:r>
                    <w:rPr>
                      <w:rFonts w:hint="eastAsia"/>
                      <w:b/>
                      <w:bCs/>
                      <w:lang w:eastAsia="zh-CN"/>
                    </w:rPr>
                    <w:t>同环评</w:t>
                  </w:r>
                </w:p>
              </w:tc>
              <w:tc>
                <w:tcPr>
                  <w:tcW w:w="460" w:type="pct"/>
                  <w:vAlign w:val="center"/>
                </w:tcPr>
                <w:p>
                  <w:pPr>
                    <w:contextualSpacing/>
                    <w:jc w:val="center"/>
                    <w:rPr>
                      <w:rFonts w:hint="eastAsia"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Pr>
                <w:p>
                  <w:pPr>
                    <w:contextualSpacing/>
                    <w:jc w:val="center"/>
                    <w:rPr>
                      <w:rFonts w:hint="default" w:ascii="Times New Roman" w:hAnsi="Times New Roman" w:cs="Times New Roman"/>
                      <w:kern w:val="0"/>
                      <w:sz w:val="21"/>
                      <w:szCs w:val="21"/>
                    </w:rPr>
                  </w:pPr>
                </w:p>
              </w:tc>
              <w:tc>
                <w:tcPr>
                  <w:tcW w:w="498" w:type="pct"/>
                  <w:vMerge w:val="continue"/>
                </w:tcPr>
                <w:p>
                  <w:pPr>
                    <w:pStyle w:val="13"/>
                    <w:ind w:left="0" w:leftChars="0"/>
                    <w:contextualSpacing/>
                    <w:jc w:val="center"/>
                    <w:rPr>
                      <w:rFonts w:hint="default" w:ascii="Times New Roman" w:hAnsi="Times New Roman" w:cs="Times New Roman"/>
                      <w:b w:val="0"/>
                      <w:kern w:val="0"/>
                      <w:sz w:val="21"/>
                      <w:szCs w:val="21"/>
                    </w:rPr>
                  </w:pPr>
                </w:p>
              </w:tc>
              <w:tc>
                <w:tcPr>
                  <w:tcW w:w="2008" w:type="pct"/>
                  <w:vAlign w:val="center"/>
                </w:tcPr>
                <w:p>
                  <w:pPr>
                    <w:pStyle w:val="70"/>
                    <w:ind w:firstLine="0" w:firstLineChars="0"/>
                    <w:jc w:val="left"/>
                    <w:rPr>
                      <w:rFonts w:hint="eastAsia" w:asciiTheme="minorHAnsi" w:hAnsiTheme="minorHAnsi" w:eastAsiaTheme="minorEastAsia" w:cstheme="minorBidi"/>
                      <w:kern w:val="0"/>
                      <w:sz w:val="21"/>
                      <w:szCs w:val="24"/>
                      <w:lang w:val="en-US" w:eastAsia="zh-CN" w:bidi="ar-SA"/>
                    </w:rPr>
                  </w:pPr>
                  <w:r>
                    <w:rPr>
                      <w:rFonts w:hint="eastAsia"/>
                    </w:rPr>
                    <w:t>一般固废暂存间</w:t>
                  </w:r>
                  <w:r>
                    <w:rPr>
                      <w:rFonts w:hint="eastAsia"/>
                      <w:lang w:val="en-US" w:eastAsia="zh-CN"/>
                    </w:rPr>
                    <w:t>1</w:t>
                  </w:r>
                  <w:r>
                    <w:rPr>
                      <w:rFonts w:hint="eastAsia"/>
                    </w:rPr>
                    <w:t>座，10</w:t>
                  </w:r>
                  <w:r>
                    <w:t>m</w:t>
                  </w:r>
                  <w:r>
                    <w:rPr>
                      <w:vertAlign w:val="superscript"/>
                    </w:rPr>
                    <w:t>2</w:t>
                  </w:r>
                </w:p>
              </w:tc>
              <w:tc>
                <w:tcPr>
                  <w:tcW w:w="1710" w:type="pct"/>
                  <w:vAlign w:val="center"/>
                </w:tcPr>
                <w:p>
                  <w:pPr>
                    <w:pStyle w:val="70"/>
                    <w:ind w:firstLine="0" w:firstLineChars="0"/>
                    <w:jc w:val="center"/>
                    <w:rPr>
                      <w:rFonts w:hint="default" w:ascii="Times New Roman" w:hAnsi="Times New Roman" w:cs="Times New Roman" w:eastAsiaTheme="minorEastAsia"/>
                      <w:kern w:val="0"/>
                      <w:sz w:val="21"/>
                      <w:szCs w:val="21"/>
                      <w:highlight w:val="yellow"/>
                      <w:lang w:val="en-US" w:eastAsia="zh-CN"/>
                    </w:rPr>
                  </w:pPr>
                  <w:r>
                    <w:rPr>
                      <w:rFonts w:hint="eastAsia"/>
                    </w:rPr>
                    <w:t>一般固废暂存间</w:t>
                  </w:r>
                  <w:r>
                    <w:rPr>
                      <w:rFonts w:hint="eastAsia"/>
                      <w:lang w:val="en-US" w:eastAsia="zh-CN"/>
                    </w:rPr>
                    <w:t>1</w:t>
                  </w:r>
                  <w:r>
                    <w:rPr>
                      <w:rFonts w:hint="eastAsia"/>
                    </w:rPr>
                    <w:t>座，</w:t>
                  </w:r>
                  <w:r>
                    <w:rPr>
                      <w:rFonts w:hint="eastAsia"/>
                      <w:lang w:val="en-US" w:eastAsia="zh-CN"/>
                    </w:rPr>
                    <w:t>6</w:t>
                  </w:r>
                  <w:r>
                    <w:t>m</w:t>
                  </w:r>
                  <w:r>
                    <w:rPr>
                      <w:vertAlign w:val="superscript"/>
                    </w:rPr>
                    <w:t>2</w:t>
                  </w:r>
                </w:p>
              </w:tc>
              <w:tc>
                <w:tcPr>
                  <w:tcW w:w="460" w:type="pct"/>
                  <w:vAlign w:val="center"/>
                </w:tcPr>
                <w:p>
                  <w:pPr>
                    <w:contextualSpacing/>
                    <w:jc w:val="center"/>
                    <w:rPr>
                      <w:rFonts w:hint="eastAsia" w:ascii="Times New Roman" w:hAnsi="Times New Roman" w:cs="Times New Roman"/>
                      <w:b w:val="0"/>
                      <w:sz w:val="21"/>
                      <w:szCs w:val="21"/>
                      <w:lang w:val="en-US" w:eastAsia="zh-CN"/>
                    </w:rPr>
                  </w:pPr>
                  <w:r>
                    <w:rPr>
                      <w:rFonts w:hint="eastAsia" w:ascii="Times New Roman" w:hAnsi="Times New Roman" w:cs="Times New Roman"/>
                      <w:b w:val="0"/>
                      <w:sz w:val="21"/>
                      <w:szCs w:val="21"/>
                      <w:lang w:val="en-US" w:eastAsia="zh-CN"/>
                    </w:rPr>
                    <w:t>面积减小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Pr>
                <w:p>
                  <w:pPr>
                    <w:contextualSpacing/>
                    <w:jc w:val="center"/>
                    <w:rPr>
                      <w:rFonts w:hint="default" w:ascii="Times New Roman" w:hAnsi="Times New Roman" w:cs="Times New Roman"/>
                      <w:kern w:val="0"/>
                      <w:sz w:val="21"/>
                      <w:szCs w:val="21"/>
                    </w:rPr>
                  </w:pPr>
                </w:p>
              </w:tc>
              <w:tc>
                <w:tcPr>
                  <w:tcW w:w="498" w:type="pct"/>
                  <w:vMerge w:val="continue"/>
                </w:tcPr>
                <w:p>
                  <w:pPr>
                    <w:pStyle w:val="13"/>
                    <w:ind w:left="0" w:leftChars="0"/>
                    <w:contextualSpacing/>
                    <w:jc w:val="center"/>
                    <w:rPr>
                      <w:rFonts w:hint="default" w:ascii="Times New Roman" w:hAnsi="Times New Roman" w:cs="Times New Roman"/>
                      <w:b w:val="0"/>
                      <w:kern w:val="0"/>
                      <w:sz w:val="21"/>
                      <w:szCs w:val="21"/>
                    </w:rPr>
                  </w:pPr>
                </w:p>
              </w:tc>
              <w:tc>
                <w:tcPr>
                  <w:tcW w:w="2008" w:type="pct"/>
                  <w:vAlign w:val="center"/>
                </w:tcPr>
                <w:p>
                  <w:pPr>
                    <w:pStyle w:val="70"/>
                    <w:ind w:firstLine="0" w:firstLineChars="0"/>
                    <w:jc w:val="left"/>
                    <w:rPr>
                      <w:rFonts w:hint="eastAsia" w:asciiTheme="minorHAnsi" w:hAnsiTheme="minorHAnsi" w:eastAsiaTheme="minorEastAsia" w:cstheme="minorBidi"/>
                      <w:kern w:val="0"/>
                      <w:sz w:val="21"/>
                      <w:szCs w:val="24"/>
                      <w:lang w:val="en-US" w:eastAsia="zh-CN" w:bidi="ar-SA"/>
                    </w:rPr>
                  </w:pPr>
                  <w:r>
                    <w:rPr>
                      <w:rFonts w:hint="eastAsia"/>
                    </w:rPr>
                    <w:t>危废暂存间1座，面积1</w:t>
                  </w:r>
                  <w:r>
                    <w:t>0m</w:t>
                  </w:r>
                  <w:r>
                    <w:rPr>
                      <w:vertAlign w:val="superscript"/>
                    </w:rPr>
                    <w:t>2</w:t>
                  </w:r>
                  <w:r>
                    <w:rPr>
                      <w:rFonts w:hint="eastAsia"/>
                    </w:rPr>
                    <w:t>。</w:t>
                  </w:r>
                </w:p>
              </w:tc>
              <w:tc>
                <w:tcPr>
                  <w:tcW w:w="1710" w:type="pct"/>
                  <w:vAlign w:val="center"/>
                </w:tcPr>
                <w:p>
                  <w:pPr>
                    <w:pStyle w:val="70"/>
                    <w:ind w:firstLine="0" w:firstLineChars="0"/>
                    <w:jc w:val="center"/>
                    <w:rPr>
                      <w:rFonts w:hint="default" w:ascii="Times New Roman" w:hAnsi="Times New Roman" w:cs="Times New Roman" w:eastAsiaTheme="minorEastAsia"/>
                      <w:kern w:val="0"/>
                      <w:sz w:val="21"/>
                      <w:szCs w:val="21"/>
                      <w:highlight w:val="yellow"/>
                      <w:lang w:val="en-US" w:eastAsia="zh-CN"/>
                    </w:rPr>
                  </w:pPr>
                  <w:r>
                    <w:rPr>
                      <w:rFonts w:hint="eastAsia"/>
                    </w:rPr>
                    <w:t>危废暂存间1座，面积</w:t>
                  </w:r>
                  <w:r>
                    <w:rPr>
                      <w:rFonts w:hint="eastAsia"/>
                      <w:lang w:val="en-US" w:eastAsia="zh-CN"/>
                    </w:rPr>
                    <w:t>6</w:t>
                  </w:r>
                  <w:r>
                    <w:t>m</w:t>
                  </w:r>
                  <w:r>
                    <w:rPr>
                      <w:vertAlign w:val="superscript"/>
                    </w:rPr>
                    <w:t>2</w:t>
                  </w:r>
                </w:p>
              </w:tc>
              <w:tc>
                <w:tcPr>
                  <w:tcW w:w="460" w:type="pct"/>
                  <w:vAlign w:val="center"/>
                </w:tcPr>
                <w:p>
                  <w:pPr>
                    <w:contextualSpacing/>
                    <w:jc w:val="center"/>
                    <w:rPr>
                      <w:rFonts w:hint="eastAsia" w:ascii="Times New Roman" w:hAnsi="Times New Roman" w:cs="Times New Roman"/>
                      <w:b w:val="0"/>
                      <w:sz w:val="21"/>
                      <w:szCs w:val="21"/>
                      <w:lang w:val="en-US" w:eastAsia="zh-CN"/>
                    </w:rPr>
                  </w:pPr>
                  <w:r>
                    <w:rPr>
                      <w:rFonts w:hint="eastAsia" w:ascii="Times New Roman" w:hAnsi="Times New Roman" w:cs="Times New Roman"/>
                      <w:b w:val="0"/>
                      <w:sz w:val="21"/>
                      <w:szCs w:val="21"/>
                      <w:lang w:val="en-US" w:eastAsia="zh-CN"/>
                    </w:rPr>
                    <w:t>面积减小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22" w:type="pct"/>
                  <w:vMerge w:val="continue"/>
                </w:tcPr>
                <w:p>
                  <w:pPr>
                    <w:contextualSpacing/>
                    <w:jc w:val="center"/>
                    <w:rPr>
                      <w:rFonts w:hint="default" w:ascii="Times New Roman" w:hAnsi="Times New Roman" w:cs="Times New Roman"/>
                      <w:kern w:val="0"/>
                      <w:sz w:val="21"/>
                      <w:szCs w:val="21"/>
                    </w:rPr>
                  </w:pPr>
                </w:p>
              </w:tc>
              <w:tc>
                <w:tcPr>
                  <w:tcW w:w="498" w:type="pct"/>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地下水防渗措施</w:t>
                  </w:r>
                </w:p>
              </w:tc>
              <w:tc>
                <w:tcPr>
                  <w:tcW w:w="2008" w:type="pct"/>
                  <w:vAlign w:val="center"/>
                </w:tcPr>
                <w:p>
                  <w:pPr>
                    <w:pStyle w:val="70"/>
                    <w:jc w:val="left"/>
                    <w:rPr>
                      <w:rFonts w:hint="eastAsia"/>
                    </w:rPr>
                  </w:pPr>
                  <w:r>
                    <w:rPr>
                      <w:rFonts w:hint="eastAsia"/>
                    </w:rPr>
                    <w:t>重点防渗区：</w:t>
                  </w:r>
                  <w:r>
                    <w:t>危废暂存间</w:t>
                  </w:r>
                  <w:r>
                    <w:rPr>
                      <w:rFonts w:hint="eastAsia"/>
                    </w:rPr>
                    <w:t>、化粪池、隔油池；</w:t>
                  </w:r>
                </w:p>
                <w:p>
                  <w:pPr>
                    <w:pStyle w:val="70"/>
                    <w:jc w:val="left"/>
                    <w:rPr>
                      <w:rFonts w:hint="eastAsia"/>
                      <w:spacing w:val="2"/>
                    </w:rPr>
                  </w:pPr>
                  <w:r>
                    <w:rPr>
                      <w:rFonts w:hint="eastAsia"/>
                    </w:rPr>
                    <w:t>一般防渗区：生产车间</w:t>
                  </w:r>
                </w:p>
                <w:p>
                  <w:pPr>
                    <w:pStyle w:val="70"/>
                    <w:ind w:firstLine="0" w:firstLineChars="0"/>
                    <w:jc w:val="left"/>
                    <w:rPr>
                      <w:rFonts w:hint="eastAsia" w:asciiTheme="minorHAnsi" w:hAnsiTheme="minorHAnsi" w:eastAsiaTheme="minorEastAsia" w:cstheme="minorBidi"/>
                      <w:kern w:val="0"/>
                      <w:sz w:val="21"/>
                      <w:szCs w:val="24"/>
                      <w:lang w:val="en-US" w:eastAsia="zh-CN" w:bidi="ar-SA"/>
                    </w:rPr>
                  </w:pPr>
                  <w:r>
                    <w:rPr>
                      <w:rFonts w:hint="eastAsia"/>
                    </w:rPr>
                    <w:t>简单防渗区：</w:t>
                  </w:r>
                  <w:r>
                    <w:rPr>
                      <w:spacing w:val="2"/>
                    </w:rPr>
                    <w:t>办公区</w:t>
                  </w:r>
                  <w:r>
                    <w:rPr>
                      <w:rFonts w:hint="eastAsia"/>
                      <w:spacing w:val="2"/>
                    </w:rPr>
                    <w:t>及厂区其他地面</w:t>
                  </w:r>
                </w:p>
              </w:tc>
              <w:tc>
                <w:tcPr>
                  <w:tcW w:w="1710" w:type="pct"/>
                  <w:vAlign w:val="center"/>
                </w:tcPr>
                <w:p>
                  <w:pPr>
                    <w:pStyle w:val="70"/>
                    <w:ind w:firstLine="0" w:firstLineChars="0"/>
                    <w:rPr>
                      <w:rFonts w:hint="default" w:ascii="Times New Roman" w:hAnsi="Times New Roman" w:cs="Times New Roman" w:eastAsiaTheme="minorEastAsia"/>
                      <w:kern w:val="0"/>
                      <w:sz w:val="21"/>
                      <w:szCs w:val="21"/>
                      <w:lang w:val="en-US" w:eastAsia="zh-CN" w:bidi="ar-SA"/>
                    </w:rPr>
                  </w:pPr>
                  <w:r>
                    <w:rPr>
                      <w:rFonts w:hint="eastAsia"/>
                      <w:b/>
                      <w:bCs/>
                      <w:lang w:eastAsia="zh-CN"/>
                    </w:rPr>
                    <w:t>同环评</w:t>
                  </w:r>
                </w:p>
              </w:tc>
              <w:tc>
                <w:tcPr>
                  <w:tcW w:w="460" w:type="pct"/>
                  <w:vAlign w:val="center"/>
                </w:tcPr>
                <w:p>
                  <w:pPr>
                    <w:contextualSpacing/>
                    <w:jc w:val="center"/>
                    <w:rPr>
                      <w:rFonts w:hint="eastAsia" w:asciiTheme="minorHAnsi" w:hAnsiTheme="minorHAnsi" w:eastAsiaTheme="minorEastAsia" w:cstheme="minorBidi"/>
                      <w:bCs/>
                      <w:kern w:val="2"/>
                      <w:sz w:val="21"/>
                      <w:szCs w:val="21"/>
                      <w:lang w:val="en-US" w:eastAsia="zh-CN" w:bidi="ar-SA"/>
                    </w:rPr>
                  </w:pPr>
                  <w:r>
                    <w:rPr>
                      <w:rFonts w:hint="eastAsia" w:ascii="Times New Roman" w:hAnsi="Times New Roman" w:cs="Times New Roman"/>
                      <w:b w:val="0"/>
                      <w:sz w:val="21"/>
                      <w:szCs w:val="21"/>
                      <w:lang w:val="en-US" w:eastAsia="zh-CN"/>
                    </w:rPr>
                    <w:t>/</w:t>
                  </w:r>
                </w:p>
              </w:tc>
            </w:tr>
          </w:tbl>
          <w:p>
            <w:pPr>
              <w:spacing w:beforeLines="50"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5、主要设备清单</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主要设备清单对照表见表1-5。</w:t>
            </w:r>
          </w:p>
          <w:p>
            <w:pPr>
              <w:ind w:firstLine="482" w:firstLineChars="200"/>
              <w:jc w:val="center"/>
              <w:rPr>
                <w:rFonts w:hint="default" w:ascii="Times New Roman" w:hAnsi="Times New Roman" w:eastAsia="宋体" w:cs="Times New Roman"/>
                <w:b/>
                <w:bCs/>
                <w:sz w:val="24"/>
                <w:szCs w:val="24"/>
              </w:rPr>
            </w:pPr>
          </w:p>
          <w:p>
            <w:pPr>
              <w:ind w:firstLine="482" w:firstLineChars="200"/>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表1-5项目主要设备对照表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65"/>
              <w:gridCol w:w="2629"/>
              <w:gridCol w:w="962"/>
              <w:gridCol w:w="2391"/>
              <w:gridCol w:w="1089"/>
              <w:gridCol w:w="14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bookmarkStart w:id="0" w:name="_Hlk80125456"/>
                  <w:r>
                    <w:rPr>
                      <w:rFonts w:hint="default" w:ascii="Times New Roman" w:hAnsi="Times New Roman" w:eastAsia="宋体" w:cs="Times New Roman"/>
                      <w:sz w:val="21"/>
                      <w:szCs w:val="21"/>
                    </w:rPr>
                    <w:t>序号</w:t>
                  </w:r>
                </w:p>
              </w:tc>
              <w:tc>
                <w:tcPr>
                  <w:tcW w:w="1949"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环评拟建设备清单</w:t>
                  </w:r>
                </w:p>
              </w:tc>
              <w:tc>
                <w:tcPr>
                  <w:tcW w:w="1889"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验收设备清单</w:t>
                  </w:r>
                </w:p>
              </w:tc>
              <w:tc>
                <w:tcPr>
                  <w:tcW w:w="799"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p>
              </w:tc>
              <w:tc>
                <w:tcPr>
                  <w:tcW w:w="1427"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522"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设备数量</w:t>
                  </w:r>
                </w:p>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（台</w:t>
                  </w:r>
                  <w:r>
                    <w:rPr>
                      <w:rFonts w:hint="eastAsia" w:ascii="Times New Roman" w:hAnsi="Times New Roman" w:eastAsia="宋体" w:cs="Times New Roman"/>
                      <w:sz w:val="21"/>
                      <w:szCs w:val="21"/>
                      <w:lang w:val="en-US" w:eastAsia="zh-CN"/>
                    </w:rPr>
                    <w:t>/套</w:t>
                  </w:r>
                  <w:r>
                    <w:rPr>
                      <w:rFonts w:hint="eastAsia" w:ascii="Times New Roman" w:hAnsi="Times New Roman" w:eastAsia="宋体" w:cs="Times New Roman"/>
                      <w:sz w:val="21"/>
                      <w:szCs w:val="21"/>
                      <w:lang w:eastAsia="zh-CN"/>
                    </w:rPr>
                    <w:t>）</w:t>
                  </w:r>
                </w:p>
              </w:tc>
              <w:tc>
                <w:tcPr>
                  <w:tcW w:w="1298"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设备名称</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设备数量</w:t>
                  </w:r>
                </w:p>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（台</w:t>
                  </w:r>
                  <w:r>
                    <w:rPr>
                      <w:rFonts w:hint="eastAsia" w:ascii="Times New Roman" w:hAnsi="Times New Roman" w:eastAsia="宋体" w:cs="Times New Roman"/>
                      <w:sz w:val="21"/>
                      <w:szCs w:val="21"/>
                      <w:lang w:val="en-US" w:eastAsia="zh-CN"/>
                    </w:rPr>
                    <w:t>/套</w:t>
                  </w:r>
                  <w:r>
                    <w:rPr>
                      <w:rFonts w:hint="eastAsia" w:ascii="Times New Roman" w:hAnsi="Times New Roman" w:eastAsia="宋体" w:cs="Times New Roman"/>
                      <w:sz w:val="21"/>
                      <w:szCs w:val="21"/>
                      <w:lang w:eastAsia="zh-CN"/>
                    </w:rPr>
                    <w:t>）</w:t>
                  </w:r>
                </w:p>
              </w:tc>
              <w:tc>
                <w:tcPr>
                  <w:tcW w:w="799"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1</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吹膜机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t>70</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吹膜机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w:t>
                  </w:r>
                </w:p>
              </w:tc>
              <w:tc>
                <w:tcPr>
                  <w:tcW w:w="79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2</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印刷机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50</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印刷机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22</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3</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制袋机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40</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制袋机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20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4</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造粒机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5</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造粒机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1</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5</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搅拌机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6</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搅拌机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4</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6</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气泡膜机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1</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气泡膜机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7</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缠绕膜机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2</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缠绕膜机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8</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空压机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5</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空压机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3</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9</w:t>
                  </w:r>
                </w:p>
              </w:tc>
              <w:tc>
                <w:tcPr>
                  <w:tcW w:w="1427" w:type="pct"/>
                  <w:tcBorders>
                    <w:tl2br w:val="nil"/>
                    <w:tr2bl w:val="nil"/>
                  </w:tcBorders>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rPr>
                      <w:rFonts w:hint="eastAsia"/>
                    </w:rPr>
                    <w:t>注塑机</w:t>
                  </w:r>
                </w:p>
              </w:tc>
              <w:tc>
                <w:tcPr>
                  <w:tcW w:w="522" w:type="pct"/>
                  <w:tcBorders>
                    <w:tl2br w:val="nil"/>
                    <w:tr2bl w:val="nil"/>
                  </w:tcBorders>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rPr>
                      <w:rFonts w:hint="eastAsia"/>
                    </w:rPr>
                    <w:t>20</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注塑机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10</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打包袋</w:t>
                  </w:r>
                  <w:r>
                    <w:t>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2</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打包袋</w:t>
                  </w:r>
                  <w:r>
                    <w:t>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17</w:t>
                  </w:r>
                </w:p>
              </w:tc>
              <w:tc>
                <w:tcPr>
                  <w:tcW w:w="79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11</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打包绳</w:t>
                  </w:r>
                  <w:r>
                    <w:t>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2</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打包绳</w:t>
                  </w:r>
                  <w:r>
                    <w:t>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12</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封口</w:t>
                  </w:r>
                  <w:r>
                    <w:t>胶布机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2</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封口</w:t>
                  </w:r>
                  <w:r>
                    <w:t>胶布机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heme="minorHAnsi" w:hAnsiTheme="minorHAnsi" w:eastAsiaTheme="minorEastAsia" w:cstheme="minorBidi"/>
                      <w:kern w:val="2"/>
                      <w:sz w:val="21"/>
                      <w:szCs w:val="21"/>
                      <w:lang w:val="en-US" w:eastAsia="zh-CN" w:bidi="ar-SA"/>
                    </w:rPr>
                  </w:pPr>
                  <w:r>
                    <w:rPr>
                      <w:rFonts w:hint="eastAsia"/>
                      <w:szCs w:val="21"/>
                    </w:rPr>
                    <w:t>13</w:t>
                  </w:r>
                </w:p>
              </w:tc>
              <w:tc>
                <w:tcPr>
                  <w:tcW w:w="1427"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分切机</w:t>
                  </w:r>
                </w:p>
              </w:tc>
              <w:tc>
                <w:tcPr>
                  <w:tcW w:w="522" w:type="pct"/>
                  <w:tcBorders>
                    <w:tl2br w:val="nil"/>
                    <w:tr2bl w:val="nil"/>
                  </w:tcBorders>
                  <w:vAlign w:val="center"/>
                </w:tcPr>
                <w:p>
                  <w:pPr>
                    <w:pStyle w:val="70"/>
                    <w:ind w:firstLine="0" w:firstLineChars="0"/>
                    <w:rPr>
                      <w:rFonts w:hint="default" w:asciiTheme="minorHAnsi" w:hAnsiTheme="minorHAnsi" w:eastAsiaTheme="minorEastAsia" w:cstheme="minorBidi"/>
                      <w:kern w:val="0"/>
                      <w:sz w:val="21"/>
                      <w:szCs w:val="24"/>
                      <w:lang w:val="en-US" w:eastAsia="zh-CN" w:bidi="ar-SA"/>
                    </w:rPr>
                  </w:pPr>
                  <w:r>
                    <w:rPr>
                      <w:rFonts w:hint="eastAsia"/>
                    </w:rPr>
                    <w:t>2</w:t>
                  </w:r>
                </w:p>
              </w:tc>
              <w:tc>
                <w:tcPr>
                  <w:tcW w:w="1298" w:type="pct"/>
                  <w:tcBorders>
                    <w:tl2br w:val="nil"/>
                    <w:tr2bl w:val="nil"/>
                  </w:tcBorders>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rPr>
                      <w:rFonts w:hint="eastAsia"/>
                    </w:rPr>
                    <w:t>分切机</w:t>
                  </w:r>
                </w:p>
              </w:tc>
              <w:tc>
                <w:tcPr>
                  <w:tcW w:w="590"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cs="Times New Roman" w:eastAsiaTheme="minorEastAsia"/>
                      <w:kern w:val="2"/>
                      <w:sz w:val="21"/>
                      <w:szCs w:val="21"/>
                      <w:lang w:val="en-US" w:eastAsia="zh-CN" w:bidi="ar-SA"/>
                    </w:rPr>
                  </w:pPr>
                  <w:r>
                    <w:rPr>
                      <w:rFonts w:hint="eastAsia" w:ascii="Times New Roman" w:hAnsi="Times New Roman" w:cs="Times New Roman"/>
                      <w:kern w:val="2"/>
                      <w:sz w:val="21"/>
                      <w:szCs w:val="21"/>
                      <w:lang w:val="en-US" w:eastAsia="zh-CN" w:bidi="ar-SA"/>
                    </w:rPr>
                    <w:t>0</w:t>
                  </w:r>
                </w:p>
              </w:tc>
              <w:tc>
                <w:tcPr>
                  <w:tcW w:w="147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61"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eastAsia" w:asciiTheme="minorHAnsi" w:hAnsiTheme="minorHAnsi" w:eastAsiaTheme="minorEastAsia" w:cstheme="minorBidi"/>
                      <w:kern w:val="2"/>
                      <w:sz w:val="21"/>
                      <w:szCs w:val="21"/>
                      <w:lang w:val="en-US" w:eastAsia="zh-CN" w:bidi="ar-SA"/>
                    </w:rPr>
                  </w:pPr>
                  <w:r>
                    <w:rPr>
                      <w:rFonts w:hint="eastAsia"/>
                      <w:szCs w:val="21"/>
                    </w:rPr>
                    <w:t>14</w:t>
                  </w:r>
                </w:p>
              </w:tc>
              <w:tc>
                <w:tcPr>
                  <w:tcW w:w="1427" w:type="pct"/>
                  <w:tcBorders>
                    <w:tl2br w:val="nil"/>
                    <w:tr2bl w:val="nil"/>
                  </w:tcBorders>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rPr>
                      <w:rFonts w:hint="eastAsia"/>
                    </w:rPr>
                    <w:t>二级活性炭吸附设备</w:t>
                  </w:r>
                </w:p>
              </w:tc>
              <w:tc>
                <w:tcPr>
                  <w:tcW w:w="522" w:type="pct"/>
                  <w:tcBorders>
                    <w:tl2br w:val="nil"/>
                    <w:tr2bl w:val="nil"/>
                  </w:tcBorders>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t>1</w:t>
                  </w:r>
                </w:p>
              </w:tc>
              <w:tc>
                <w:tcPr>
                  <w:tcW w:w="1298" w:type="pct"/>
                  <w:tcBorders>
                    <w:tl2br w:val="nil"/>
                    <w:tr2bl w:val="nil"/>
                  </w:tcBorders>
                  <w:vAlign w:val="center"/>
                </w:tcPr>
                <w:p>
                  <w:pPr>
                    <w:pStyle w:val="70"/>
                    <w:ind w:firstLine="0" w:firstLineChars="0"/>
                    <w:rPr>
                      <w:rFonts w:hint="eastAsia" w:eastAsiaTheme="minorEastAsia"/>
                      <w:szCs w:val="21"/>
                      <w:lang w:eastAsia="zh-CN"/>
                    </w:rPr>
                  </w:pPr>
                  <w:r>
                    <w:rPr>
                      <w:rFonts w:hint="eastAsia"/>
                    </w:rPr>
                    <w:t>活性炭吸附设备</w:t>
                  </w:r>
                </w:p>
              </w:tc>
              <w:tc>
                <w:tcPr>
                  <w:tcW w:w="59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tLeast"/>
                    <w:contextualSpacing/>
                    <w:jc w:val="center"/>
                    <w:textAlignment w:val="auto"/>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w:t>
                  </w:r>
                </w:p>
              </w:tc>
              <w:tc>
                <w:tcPr>
                  <w:tcW w:w="799"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tLeast"/>
                    <w:contextualSpacing/>
                    <w:jc w:val="center"/>
                    <w:textAlignment w:val="auto"/>
                    <w:rPr>
                      <w:rFonts w:hint="eastAsia" w:ascii="Times New Roman" w:hAnsi="Times New Roman" w:eastAsia="宋体" w:cs="Times New Roman"/>
                      <w:b/>
                      <w:bCs/>
                      <w:sz w:val="21"/>
                      <w:szCs w:val="21"/>
                      <w:lang w:eastAsia="zh-CN"/>
                    </w:rPr>
                  </w:pPr>
                  <w:r>
                    <w:rPr>
                      <w:rFonts w:hint="eastAsia"/>
                      <w:lang w:val="en-US" w:eastAsia="zh-CN"/>
                    </w:rPr>
                    <w:t>增加（1套一级、1套三级）</w:t>
                  </w:r>
                </w:p>
              </w:tc>
            </w:tr>
            <w:bookmarkEnd w:id="0"/>
          </w:tbl>
          <w:p>
            <w:pPr>
              <w:spacing w:beforeLines="50" w:line="360" w:lineRule="auto"/>
              <w:ind w:firstLine="482" w:firstLineChars="200"/>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6、主要原辅材料</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项目主要原辅材料对照表见表1-6。</w:t>
            </w:r>
          </w:p>
          <w:p>
            <w:pPr>
              <w:spacing w:beforeLines="50"/>
              <w:ind w:firstLine="482" w:firstLineChars="200"/>
              <w:contextualSpacing/>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表1-6    项目主要原辅材料对照表</w:t>
            </w:r>
          </w:p>
          <w:tbl>
            <w:tblPr>
              <w:tblStyle w:val="23"/>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83"/>
              <w:gridCol w:w="2962"/>
              <w:gridCol w:w="994"/>
              <w:gridCol w:w="1504"/>
              <w:gridCol w:w="1504"/>
              <w:gridCol w:w="125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tcBorders>
                    <w:tl2br w:val="nil"/>
                    <w:tr2bl w:val="nil"/>
                  </w:tcBorders>
                  <w:noWrap w:val="0"/>
                  <w:vAlign w:val="center"/>
                </w:tcPr>
                <w:p>
                  <w:pPr>
                    <w:keepNext w:val="0"/>
                    <w:keepLines w:val="0"/>
                    <w:pageBreakBefore w:val="0"/>
                    <w:widowControl/>
                    <w:kinsoku/>
                    <w:wordWrap/>
                    <w:overflowPunct/>
                    <w:topLinePunct w:val="0"/>
                    <w:bidi w:val="0"/>
                    <w:snapToGrid/>
                    <w:spacing w:line="240" w:lineRule="atLeast"/>
                    <w:ind w:firstLine="0" w:firstLineChars="0"/>
                    <w:jc w:val="center"/>
                    <w:textAlignment w:val="auto"/>
                    <w:rPr>
                      <w:rFonts w:hint="default" w:ascii="Times New Roman" w:hAnsi="Times New Roman" w:cs="Times New Roman"/>
                      <w:b/>
                      <w:bCs/>
                      <w:kern w:val="0"/>
                      <w:sz w:val="21"/>
                      <w:szCs w:val="21"/>
                    </w:rPr>
                  </w:pPr>
                  <w:bookmarkStart w:id="1" w:name="OLE_LINK1"/>
                  <w:r>
                    <w:rPr>
                      <w:rFonts w:hint="default" w:ascii="Times New Roman" w:hAnsi="Times New Roman" w:cs="Times New Roman"/>
                      <w:b/>
                      <w:bCs/>
                      <w:kern w:val="0"/>
                      <w:sz w:val="21"/>
                      <w:szCs w:val="21"/>
                    </w:rPr>
                    <w:t>项目</w:t>
                  </w:r>
                </w:p>
              </w:tc>
              <w:tc>
                <w:tcPr>
                  <w:tcW w:w="1609" w:type="pct"/>
                  <w:tcBorders>
                    <w:tl2br w:val="nil"/>
                    <w:tr2bl w:val="nil"/>
                  </w:tcBorders>
                  <w:noWrap w:val="0"/>
                  <w:vAlign w:val="center"/>
                </w:tcPr>
                <w:p>
                  <w:pPr>
                    <w:keepNext w:val="0"/>
                    <w:keepLines w:val="0"/>
                    <w:pageBreakBefore w:val="0"/>
                    <w:widowControl/>
                    <w:kinsoku/>
                    <w:wordWrap/>
                    <w:overflowPunct/>
                    <w:topLinePunct w:val="0"/>
                    <w:bidi w:val="0"/>
                    <w:snapToGrid/>
                    <w:spacing w:line="240" w:lineRule="atLeast"/>
                    <w:ind w:firstLine="0" w:firstLineChars="0"/>
                    <w:jc w:val="center"/>
                    <w:textAlignment w:val="auto"/>
                    <w:rPr>
                      <w:rFonts w:hint="default" w:ascii="Times New Roman" w:hAnsi="Times New Roman" w:cs="Times New Roman"/>
                      <w:b/>
                      <w:bCs/>
                      <w:kern w:val="0"/>
                      <w:sz w:val="21"/>
                      <w:szCs w:val="21"/>
                    </w:rPr>
                  </w:pPr>
                  <w:r>
                    <w:rPr>
                      <w:rFonts w:hint="default" w:ascii="Times New Roman" w:hAnsi="Times New Roman" w:cs="Times New Roman"/>
                      <w:b/>
                      <w:bCs/>
                      <w:kern w:val="0"/>
                      <w:sz w:val="21"/>
                      <w:szCs w:val="21"/>
                    </w:rPr>
                    <w:t>名称</w:t>
                  </w:r>
                </w:p>
              </w:tc>
              <w:tc>
                <w:tcPr>
                  <w:tcW w:w="540" w:type="pct"/>
                  <w:tcBorders>
                    <w:tl2br w:val="nil"/>
                    <w:tr2bl w:val="nil"/>
                  </w:tcBorders>
                  <w:noWrap w:val="0"/>
                  <w:vAlign w:val="center"/>
                </w:tcPr>
                <w:p>
                  <w:pPr>
                    <w:keepNext w:val="0"/>
                    <w:keepLines w:val="0"/>
                    <w:pageBreakBefore w:val="0"/>
                    <w:widowControl/>
                    <w:kinsoku/>
                    <w:wordWrap/>
                    <w:overflowPunct/>
                    <w:topLinePunct w:val="0"/>
                    <w:bidi w:val="0"/>
                    <w:snapToGrid/>
                    <w:spacing w:line="240" w:lineRule="atLeast"/>
                    <w:ind w:firstLine="0" w:firstLineChars="0"/>
                    <w:jc w:val="center"/>
                    <w:textAlignment w:val="auto"/>
                    <w:rPr>
                      <w:rFonts w:hint="eastAsia" w:ascii="Times New Roman" w:hAnsi="Times New Roman" w:cs="Times New Roman" w:eastAsiaTheme="minorEastAsia"/>
                      <w:b/>
                      <w:bCs/>
                      <w:kern w:val="0"/>
                      <w:sz w:val="21"/>
                      <w:szCs w:val="21"/>
                      <w:lang w:eastAsia="zh-CN"/>
                    </w:rPr>
                  </w:pPr>
                  <w:r>
                    <w:rPr>
                      <w:rFonts w:hint="eastAsia" w:ascii="Times New Roman" w:hAnsi="Times New Roman" w:cs="Times New Roman"/>
                      <w:b/>
                      <w:bCs/>
                      <w:kern w:val="0"/>
                      <w:sz w:val="21"/>
                      <w:szCs w:val="21"/>
                      <w:lang w:eastAsia="zh-CN"/>
                    </w:rPr>
                    <w:t>单位</w:t>
                  </w:r>
                </w:p>
              </w:tc>
              <w:tc>
                <w:tcPr>
                  <w:tcW w:w="817"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tLeast"/>
                    <w:contextualSpacing/>
                    <w:jc w:val="center"/>
                    <w:textAlignment w:val="auto"/>
                    <w:rPr>
                      <w:rFonts w:hint="default" w:ascii="Times New Roman" w:hAnsi="Times New Roman" w:cs="Times New Roman"/>
                      <w:b/>
                      <w:bCs/>
                      <w:kern w:val="0"/>
                      <w:sz w:val="21"/>
                      <w:szCs w:val="21"/>
                    </w:rPr>
                  </w:pPr>
                  <w:r>
                    <w:rPr>
                      <w:rFonts w:hint="default" w:ascii="Times New Roman" w:hAnsi="Times New Roman" w:eastAsia="宋体" w:cs="Times New Roman"/>
                      <w:b/>
                      <w:sz w:val="21"/>
                      <w:szCs w:val="21"/>
                    </w:rPr>
                    <w:t>环评年耗量</w:t>
                  </w:r>
                </w:p>
              </w:tc>
              <w:tc>
                <w:tcPr>
                  <w:tcW w:w="817"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val="0"/>
                    <w:snapToGrid/>
                    <w:spacing w:line="240" w:lineRule="atLeast"/>
                    <w:contextualSpacing/>
                    <w:jc w:val="center"/>
                    <w:textAlignment w:val="auto"/>
                    <w:rPr>
                      <w:rFonts w:hint="default" w:ascii="Times New Roman" w:hAnsi="Times New Roman" w:cs="Times New Roman"/>
                      <w:b/>
                      <w:bCs/>
                      <w:kern w:val="0"/>
                      <w:sz w:val="21"/>
                      <w:szCs w:val="21"/>
                    </w:rPr>
                  </w:pPr>
                  <w:r>
                    <w:rPr>
                      <w:rFonts w:hint="default" w:ascii="Times New Roman" w:hAnsi="Times New Roman" w:eastAsia="宋体" w:cs="Times New Roman"/>
                      <w:b/>
                      <w:sz w:val="21"/>
                      <w:szCs w:val="21"/>
                    </w:rPr>
                    <w:t>实际建成年用量</w:t>
                  </w:r>
                </w:p>
              </w:tc>
              <w:tc>
                <w:tcPr>
                  <w:tcW w:w="681" w:type="pct"/>
                  <w:tcBorders>
                    <w:tl2br w:val="nil"/>
                    <w:tr2bl w:val="nil"/>
                  </w:tcBorders>
                  <w:noWrap w:val="0"/>
                  <w:vAlign w:val="center"/>
                </w:tcPr>
                <w:p>
                  <w:pPr>
                    <w:keepNext w:val="0"/>
                    <w:keepLines w:val="0"/>
                    <w:pageBreakBefore w:val="0"/>
                    <w:widowControl/>
                    <w:kinsoku/>
                    <w:wordWrap/>
                    <w:overflowPunct/>
                    <w:topLinePunct w:val="0"/>
                    <w:bidi w:val="0"/>
                    <w:snapToGrid/>
                    <w:spacing w:line="240" w:lineRule="atLeast"/>
                    <w:ind w:firstLine="0" w:firstLineChars="0"/>
                    <w:jc w:val="center"/>
                    <w:textAlignment w:val="auto"/>
                    <w:rPr>
                      <w:rFonts w:hint="default" w:ascii="Times New Roman" w:hAnsi="Times New Roman" w:cs="Times New Roman" w:eastAsiaTheme="minorEastAsia"/>
                      <w:b/>
                      <w:bCs/>
                      <w:kern w:val="0"/>
                      <w:sz w:val="21"/>
                      <w:szCs w:val="21"/>
                      <w:lang w:eastAsia="zh-CN"/>
                    </w:rPr>
                  </w:pPr>
                  <w:r>
                    <w:rPr>
                      <w:rFonts w:hint="default" w:ascii="Times New Roman" w:hAnsi="Times New Roman" w:cs="Times New Roman"/>
                      <w:b/>
                      <w:bCs/>
                      <w:kern w:val="0"/>
                      <w:sz w:val="21"/>
                      <w:szCs w:val="21"/>
                      <w:lang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restart"/>
                  <w:tcBorders>
                    <w:tl2br w:val="nil"/>
                    <w:tr2bl w:val="nil"/>
                  </w:tcBorders>
                  <w:noWrap w:val="0"/>
                  <w:vAlign w:val="center"/>
                </w:tcPr>
                <w:p>
                  <w:pPr>
                    <w:pStyle w:val="70"/>
                    <w:ind w:firstLine="0" w:firstLineChars="0"/>
                    <w:rPr>
                      <w:rFonts w:hint="default"/>
                    </w:rPr>
                  </w:pPr>
                  <w:r>
                    <w:rPr>
                      <w:rFonts w:hint="eastAsia"/>
                    </w:rPr>
                    <w:t>原辅料</w:t>
                  </w: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PE聚乙烯</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2654.92</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1800</w:t>
                  </w:r>
                </w:p>
              </w:tc>
              <w:tc>
                <w:tcPr>
                  <w:tcW w:w="681" w:type="pct"/>
                  <w:tcBorders>
                    <w:tl2br w:val="nil"/>
                    <w:tr2bl w:val="nil"/>
                  </w:tcBorders>
                  <w:noWrap w:val="0"/>
                  <w:vAlign w:val="center"/>
                </w:tcPr>
                <w:p>
                  <w:pPr>
                    <w:pStyle w:val="70"/>
                    <w:ind w:firstLine="0" w:firstLineChars="0"/>
                    <w:rPr>
                      <w:rFonts w:hint="eastAsia"/>
                      <w:lang w:val="en-US" w:eastAsia="zh-CN"/>
                    </w:rPr>
                  </w:pPr>
                  <w:r>
                    <w:rPr>
                      <w:rFonts w:hint="eastAsia"/>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PP聚丙烯</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290</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0</w:t>
                  </w:r>
                </w:p>
              </w:tc>
              <w:tc>
                <w:tcPr>
                  <w:tcW w:w="681" w:type="pct"/>
                  <w:tcBorders>
                    <w:tl2br w:val="nil"/>
                    <w:tr2bl w:val="nil"/>
                  </w:tcBorders>
                  <w:noWrap w:val="0"/>
                  <w:vAlign w:val="center"/>
                </w:tcPr>
                <w:p>
                  <w:pPr>
                    <w:pStyle w:val="70"/>
                    <w:ind w:firstLine="0" w:firstLineChars="0"/>
                    <w:rPr>
                      <w:rFonts w:hint="default"/>
                    </w:rPr>
                  </w:pPr>
                  <w:r>
                    <w:rPr>
                      <w:rFonts w:hint="eastAsia"/>
                      <w:lang w:eastAsia="zh-CN"/>
                    </w:rPr>
                    <w:t>未购置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色母</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30</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25</w:t>
                  </w:r>
                </w:p>
              </w:tc>
              <w:tc>
                <w:tcPr>
                  <w:tcW w:w="681" w:type="pct"/>
                  <w:tcBorders>
                    <w:tl2br w:val="nil"/>
                    <w:tr2bl w:val="nil"/>
                  </w:tcBorders>
                  <w:noWrap w:val="0"/>
                  <w:vAlign w:val="center"/>
                </w:tcPr>
                <w:p>
                  <w:pPr>
                    <w:pStyle w:val="70"/>
                    <w:ind w:firstLine="0" w:firstLineChars="0"/>
                    <w:rPr>
                      <w:rFonts w:hint="default"/>
                      <w:lang w:val="en-US" w:eastAsia="zh-CN"/>
                    </w:rPr>
                  </w:pPr>
                  <w:r>
                    <w:rPr>
                      <w:rFonts w:hint="eastAsia"/>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环保型水墨</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20.1</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15</w:t>
                  </w:r>
                </w:p>
              </w:tc>
              <w:tc>
                <w:tcPr>
                  <w:tcW w:w="681" w:type="pct"/>
                  <w:tcBorders>
                    <w:tl2br w:val="nil"/>
                    <w:tr2bl w:val="nil"/>
                  </w:tcBorders>
                  <w:noWrap w:val="0"/>
                  <w:vAlign w:val="center"/>
                </w:tcPr>
                <w:p>
                  <w:pPr>
                    <w:pStyle w:val="70"/>
                    <w:ind w:firstLine="0" w:firstLineChars="0"/>
                    <w:rPr>
                      <w:rFonts w:hint="default"/>
                      <w:lang w:val="en-US" w:eastAsia="zh-CN"/>
                    </w:rPr>
                  </w:pPr>
                  <w:r>
                    <w:rPr>
                      <w:rFonts w:hint="eastAsia"/>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聚乳酸</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20</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20</w:t>
                  </w:r>
                </w:p>
              </w:tc>
              <w:tc>
                <w:tcPr>
                  <w:tcW w:w="681" w:type="pct"/>
                  <w:tcBorders>
                    <w:tl2br w:val="nil"/>
                    <w:tr2bl w:val="nil"/>
                  </w:tcBorders>
                  <w:noWrap w:val="0"/>
                  <w:vAlign w:val="center"/>
                </w:tcPr>
                <w:p>
                  <w:pPr>
                    <w:pStyle w:val="70"/>
                    <w:ind w:firstLine="0" w:firstLineChars="0"/>
                    <w:rPr>
                      <w:rFonts w:hint="default"/>
                      <w:lang w:val="en-US" w:eastAsia="zh-CN"/>
                    </w:rPr>
                  </w:pPr>
                  <w:r>
                    <w:rPr>
                      <w:rFonts w:hint="eastAsia"/>
                      <w:lang w:eastAsia="zh-CN"/>
                    </w:rPr>
                    <w:t>不变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润滑油</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0.2</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0.2</w:t>
                  </w:r>
                </w:p>
              </w:tc>
              <w:tc>
                <w:tcPr>
                  <w:tcW w:w="681" w:type="pct"/>
                  <w:tcBorders>
                    <w:tl2br w:val="nil"/>
                    <w:tr2bl w:val="nil"/>
                  </w:tcBorders>
                  <w:noWrap w:val="0"/>
                  <w:vAlign w:val="center"/>
                </w:tcPr>
                <w:p>
                  <w:pPr>
                    <w:pStyle w:val="70"/>
                    <w:ind w:firstLine="0" w:firstLineChars="0"/>
                    <w:rPr>
                      <w:rFonts w:hint="default"/>
                    </w:rPr>
                  </w:pPr>
                  <w:r>
                    <w:rPr>
                      <w:rFonts w:hint="eastAsia"/>
                      <w:lang w:eastAsia="zh-CN"/>
                    </w:rPr>
                    <w:t>不变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活性炭</w:t>
                  </w:r>
                </w:p>
              </w:tc>
              <w:tc>
                <w:tcPr>
                  <w:tcW w:w="540" w:type="pct"/>
                  <w:tcBorders>
                    <w:tl2br w:val="nil"/>
                    <w:tr2bl w:val="nil"/>
                  </w:tcBorders>
                  <w:noWrap w:val="0"/>
                  <w:vAlign w:val="center"/>
                </w:tcPr>
                <w:p>
                  <w:pPr>
                    <w:pStyle w:val="70"/>
                    <w:ind w:firstLine="0" w:firstLineChars="0"/>
                    <w:rPr>
                      <w:rFonts w:hint="eastAsia"/>
                    </w:rPr>
                  </w:pPr>
                  <w:r>
                    <w:rPr>
                      <w:rFonts w:hint="eastAsia"/>
                    </w:rPr>
                    <w:t>t</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40.77</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60</w:t>
                  </w:r>
                </w:p>
              </w:tc>
              <w:tc>
                <w:tcPr>
                  <w:tcW w:w="681" w:type="pct"/>
                  <w:tcBorders>
                    <w:tl2br w:val="nil"/>
                    <w:tr2bl w:val="nil"/>
                  </w:tcBorders>
                  <w:noWrap w:val="0"/>
                  <w:vAlign w:val="center"/>
                </w:tcPr>
                <w:p>
                  <w:pPr>
                    <w:pStyle w:val="70"/>
                    <w:ind w:firstLine="0" w:firstLineChars="0"/>
                    <w:rPr>
                      <w:rFonts w:hint="default"/>
                    </w:rPr>
                  </w:pPr>
                  <w:r>
                    <w:rPr>
                      <w:rFonts w:hint="eastAsia"/>
                      <w:lang w:eastAsia="zh-CN"/>
                    </w:rPr>
                    <w:t>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restart"/>
                  <w:tcBorders>
                    <w:tl2br w:val="nil"/>
                    <w:tr2bl w:val="nil"/>
                  </w:tcBorders>
                  <w:noWrap w:val="0"/>
                  <w:vAlign w:val="center"/>
                </w:tcPr>
                <w:p>
                  <w:pPr>
                    <w:pStyle w:val="70"/>
                    <w:ind w:firstLine="0" w:firstLineChars="0"/>
                    <w:rPr>
                      <w:rFonts w:hint="default"/>
                    </w:rPr>
                  </w:pPr>
                  <w:r>
                    <w:rPr>
                      <w:rFonts w:hint="eastAsia"/>
                    </w:rPr>
                    <w:t>能源</w:t>
                  </w: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电</w:t>
                  </w:r>
                </w:p>
              </w:tc>
              <w:tc>
                <w:tcPr>
                  <w:tcW w:w="540" w:type="pct"/>
                  <w:tcBorders>
                    <w:tl2br w:val="nil"/>
                    <w:tr2bl w:val="nil"/>
                  </w:tcBorders>
                  <w:noWrap w:val="0"/>
                  <w:vAlign w:val="center"/>
                </w:tcPr>
                <w:p>
                  <w:pPr>
                    <w:pStyle w:val="70"/>
                    <w:ind w:firstLine="0" w:firstLineChars="0"/>
                    <w:rPr>
                      <w:rFonts w:hint="eastAsia"/>
                    </w:rPr>
                  </w:pPr>
                  <w:r>
                    <w:rPr>
                      <w:rFonts w:hint="eastAsia"/>
                    </w:rPr>
                    <w:t>万kWh</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1043</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900</w:t>
                  </w:r>
                </w:p>
              </w:tc>
              <w:tc>
                <w:tcPr>
                  <w:tcW w:w="681" w:type="pct"/>
                  <w:tcBorders>
                    <w:tl2br w:val="nil"/>
                    <w:tr2bl w:val="nil"/>
                  </w:tcBorders>
                  <w:noWrap w:val="0"/>
                  <w:vAlign w:val="center"/>
                </w:tcPr>
                <w:p>
                  <w:pPr>
                    <w:pStyle w:val="70"/>
                    <w:ind w:firstLine="0" w:firstLineChars="0"/>
                    <w:rPr>
                      <w:rFonts w:hint="default"/>
                    </w:rPr>
                  </w:pPr>
                  <w:r>
                    <w:rPr>
                      <w:rFonts w:hint="eastAsia"/>
                      <w:lang w:eastAsia="zh-CN"/>
                    </w:rPr>
                    <w:t>减少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34" w:type="pct"/>
                  <w:vMerge w:val="continue"/>
                  <w:tcBorders>
                    <w:tl2br w:val="nil"/>
                    <w:tr2bl w:val="nil"/>
                  </w:tcBorders>
                  <w:noWrap w:val="0"/>
                  <w:vAlign w:val="center"/>
                </w:tcPr>
                <w:p>
                  <w:pPr>
                    <w:pStyle w:val="70"/>
                    <w:ind w:firstLine="0" w:firstLineChars="0"/>
                    <w:rPr>
                      <w:rFonts w:hint="default"/>
                    </w:rPr>
                  </w:pPr>
                </w:p>
              </w:tc>
              <w:tc>
                <w:tcPr>
                  <w:tcW w:w="1609" w:type="pct"/>
                  <w:tcBorders>
                    <w:tl2br w:val="nil"/>
                    <w:tr2bl w:val="nil"/>
                  </w:tcBorders>
                  <w:noWrap w:val="0"/>
                  <w:vAlign w:val="center"/>
                </w:tcPr>
                <w:p>
                  <w:pPr>
                    <w:pStyle w:val="70"/>
                    <w:ind w:firstLine="0" w:firstLineChars="0"/>
                    <w:rPr>
                      <w:rFonts w:hint="default"/>
                      <w:lang w:val="en-US" w:eastAsia="zh-CN"/>
                    </w:rPr>
                  </w:pPr>
                  <w:r>
                    <w:rPr>
                      <w:rFonts w:hint="eastAsia"/>
                    </w:rPr>
                    <w:t>水</w:t>
                  </w:r>
                </w:p>
              </w:tc>
              <w:tc>
                <w:tcPr>
                  <w:tcW w:w="540" w:type="pct"/>
                  <w:tcBorders>
                    <w:tl2br w:val="nil"/>
                    <w:tr2bl w:val="nil"/>
                  </w:tcBorders>
                  <w:noWrap w:val="0"/>
                  <w:vAlign w:val="center"/>
                </w:tcPr>
                <w:p>
                  <w:pPr>
                    <w:pStyle w:val="70"/>
                    <w:ind w:firstLine="0" w:firstLineChars="0"/>
                    <w:rPr>
                      <w:rFonts w:hint="eastAsia"/>
                    </w:rPr>
                  </w:pPr>
                  <w:r>
                    <w:rPr>
                      <w:rFonts w:hint="eastAsia"/>
                    </w:rPr>
                    <w:t>m</w:t>
                  </w:r>
                  <w:r>
                    <w:rPr>
                      <w:rFonts w:hint="eastAsia"/>
                      <w:vertAlign w:val="superscript"/>
                    </w:rPr>
                    <w:t>3</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rPr>
                    <w:t>3915</w:t>
                  </w:r>
                </w:p>
              </w:tc>
              <w:tc>
                <w:tcPr>
                  <w:tcW w:w="817" w:type="pct"/>
                  <w:tcBorders>
                    <w:tl2br w:val="nil"/>
                    <w:tr2bl w:val="nil"/>
                  </w:tcBorders>
                  <w:noWrap w:val="0"/>
                  <w:vAlign w:val="center"/>
                </w:tcPr>
                <w:p>
                  <w:pPr>
                    <w:pStyle w:val="70"/>
                    <w:ind w:firstLine="0" w:firstLineChars="0"/>
                    <w:rPr>
                      <w:rFonts w:hint="default"/>
                      <w:lang w:val="en-US" w:eastAsia="zh-CN"/>
                    </w:rPr>
                  </w:pPr>
                  <w:r>
                    <w:rPr>
                      <w:rFonts w:hint="eastAsia"/>
                      <w:lang w:val="en-US" w:eastAsia="zh-CN"/>
                    </w:rPr>
                    <w:t>1785</w:t>
                  </w:r>
                </w:p>
              </w:tc>
              <w:tc>
                <w:tcPr>
                  <w:tcW w:w="681" w:type="pct"/>
                  <w:tcBorders>
                    <w:tl2br w:val="nil"/>
                    <w:tr2bl w:val="nil"/>
                  </w:tcBorders>
                  <w:noWrap w:val="0"/>
                  <w:vAlign w:val="center"/>
                </w:tcPr>
                <w:p>
                  <w:pPr>
                    <w:pStyle w:val="70"/>
                    <w:ind w:firstLine="0" w:firstLineChars="0"/>
                    <w:rPr>
                      <w:rFonts w:hint="default"/>
                    </w:rPr>
                  </w:pPr>
                  <w:r>
                    <w:rPr>
                      <w:rFonts w:hint="eastAsia"/>
                      <w:lang w:eastAsia="zh-CN"/>
                    </w:rPr>
                    <w:t>减少</w:t>
                  </w:r>
                </w:p>
              </w:tc>
            </w:tr>
            <w:bookmarkEnd w:id="1"/>
          </w:tbl>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7、项目水平衡图</w:t>
            </w:r>
          </w:p>
          <w:p>
            <w:pPr>
              <w:spacing w:line="360" w:lineRule="auto"/>
              <w:ind w:firstLine="480" w:firstLineChars="200"/>
              <w:contextualSpacing/>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本项目水平衡图见图1-1（单位：m³/d）。</w:t>
            </w:r>
          </w:p>
          <w:p>
            <w:pPr>
              <w:spacing w:line="360" w:lineRule="auto"/>
              <w:ind w:firstLine="420" w:firstLineChars="200"/>
              <w:contextualSpacing/>
              <w:jc w:val="center"/>
              <w:rPr>
                <w:rFonts w:hint="default" w:ascii="Times New Roman" w:hAnsi="Times New Roman" w:eastAsia="宋体" w:cs="Times New Roman"/>
                <w:sz w:val="24"/>
                <w:szCs w:val="24"/>
              </w:rPr>
            </w:pPr>
            <w:r>
              <w:drawing>
                <wp:inline distT="0" distB="0" distL="114300" distR="114300">
                  <wp:extent cx="4458970" cy="1641475"/>
                  <wp:effectExtent l="0" t="0" r="17780" b="1587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4458970" cy="1641475"/>
                          </a:xfrm>
                          <a:prstGeom prst="rect">
                            <a:avLst/>
                          </a:prstGeom>
                          <a:noFill/>
                          <a:ln>
                            <a:noFill/>
                          </a:ln>
                        </pic:spPr>
                      </pic:pic>
                    </a:graphicData>
                  </a:graphic>
                </wp:inline>
              </w:drawing>
            </w:r>
          </w:p>
          <w:p>
            <w:pPr>
              <w:jc w:val="center"/>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图1-1项目水平衡分析示意图</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8、项目变动情况</w:t>
            </w:r>
          </w:p>
          <w:p>
            <w:pPr>
              <w:spacing w:line="360" w:lineRule="auto"/>
              <w:ind w:right="105" w:rightChars="50" w:firstLine="480" w:firstLineChars="200"/>
              <w:jc w:val="both"/>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rPr>
              <w:t>根据</w:t>
            </w:r>
            <w:r>
              <w:rPr>
                <w:rFonts w:hint="eastAsia" w:cs="Times New Roman"/>
                <w:color w:val="auto"/>
                <w:sz w:val="24"/>
                <w:highlight w:val="none"/>
                <w:lang w:val="en-US" w:eastAsia="zh-CN"/>
              </w:rPr>
              <w:t>生态环境部发布的“关于印发《污染影响类建设项目重大变动清单（试行）》的通知”（环办环评函【2020】688号），本项目重大变动情况如下：</w:t>
            </w:r>
          </w:p>
          <w:p>
            <w:pPr>
              <w:spacing w:beforeLines="50"/>
              <w:ind w:firstLine="482" w:firstLineChars="200"/>
              <w:contextualSpacing/>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 xml:space="preserve">表 </w:t>
            </w:r>
            <w:r>
              <w:rPr>
                <w:rFonts w:hint="eastAsia" w:ascii="Times New Roman" w:hAnsi="Times New Roman" w:eastAsia="宋体" w:cs="Times New Roman"/>
                <w:b/>
                <w:bCs/>
                <w:sz w:val="24"/>
                <w:szCs w:val="24"/>
                <w:lang w:val="en-US" w:eastAsia="zh-CN"/>
              </w:rPr>
              <w:t xml:space="preserve">1-7 </w:t>
            </w:r>
            <w:r>
              <w:rPr>
                <w:rFonts w:hint="default" w:ascii="Times New Roman" w:hAnsi="Times New Roman" w:eastAsia="宋体" w:cs="Times New Roman"/>
                <w:b/>
                <w:bCs/>
                <w:sz w:val="24"/>
                <w:szCs w:val="24"/>
              </w:rPr>
              <w:t>项目原则性变化情况</w:t>
            </w:r>
          </w:p>
          <w:tbl>
            <w:tblPr>
              <w:tblStyle w:val="24"/>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10"/>
              <w:gridCol w:w="6858"/>
              <w:gridCol w:w="15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因素</w:t>
                  </w: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b/>
                      <w:bCs/>
                      <w:lang w:val="zh-CN" w:eastAsia="zh-CN"/>
                    </w:rPr>
                  </w:pPr>
                  <w:r>
                    <w:rPr>
                      <w:rFonts w:hint="eastAsia" w:ascii="Times New Roman" w:hAnsi="Times New Roman" w:eastAsia="宋体" w:cs="Times New Roman"/>
                      <w:b/>
                      <w:bCs/>
                    </w:rPr>
                    <w:t>原则性变化</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b/>
                      <w:bCs/>
                      <w:lang w:val="zh-CN" w:eastAsia="zh-CN"/>
                    </w:rPr>
                  </w:pPr>
                  <w:r>
                    <w:rPr>
                      <w:rFonts w:hint="eastAsia" w:ascii="Times New Roman" w:hAnsi="Times New Roman" w:eastAsia="宋体" w:cs="Times New Roman"/>
                      <w:b/>
                      <w:bCs/>
                    </w:rPr>
                    <w:t>本项目实际情况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性质</w:t>
                  </w: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1.建设项目开发、使用功能发生变化的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default" w:ascii="Times New Roman" w:hAnsi="Times New Roman" w:eastAsia="宋体" w:cs="Times New Roman"/>
                    </w:rPr>
                    <w:t>未变</w:t>
                  </w:r>
                  <w:r>
                    <w:rPr>
                      <w:rFonts w:hint="eastAsia" w:ascii="Times New Roman" w:hAnsi="Times New Roman" w:eastAsia="宋体" w:cs="Times New Roman"/>
                      <w:lang w:val="en-US" w:eastAsia="zh-CN"/>
                    </w:rPr>
                    <w:t>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规模</w:t>
                  </w: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2.生产、处置或储存能力增大30%及以上的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rPr>
                    <w:t>未变</w:t>
                  </w:r>
                  <w:r>
                    <w:rPr>
                      <w:rFonts w:hint="eastAsia" w:ascii="Times New Roman" w:hAnsi="Times New Roman" w:eastAsia="宋体" w:cs="Times New Roman"/>
                      <w:lang w:val="en-US" w:eastAsia="zh-CN"/>
                    </w:rPr>
                    <w:t>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3.生产、处置或储存能力增大，导致废水第一类污染物排放量增加的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未增加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它大气、水污染物因子不达标区。相应污染物为超标污染因子）；位于达标区的建设项目生产、处置或储存能力增大，导致污染物排放量增加10%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default" w:ascii="Times New Roman" w:hAnsi="Times New Roman" w:eastAsia="宋体" w:cs="Times New Roman"/>
                    </w:rPr>
                    <w:t>未</w:t>
                  </w:r>
                  <w:r>
                    <w:rPr>
                      <w:rFonts w:hint="eastAsia" w:ascii="Times New Roman" w:hAnsi="Times New Roman" w:eastAsia="宋体" w:cs="Times New Roman"/>
                      <w:lang w:val="en-US" w:eastAsia="zh-CN"/>
                    </w:rPr>
                    <w:t>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en-US" w:eastAsia="zh-CN"/>
                    </w:rPr>
                    <w:t>地点</w:t>
                  </w: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5.重新选址；在原厂址附件调整（包括总平面布置变化）导致环境防护距离范围变化且新增敏感点的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未涉及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生产工艺</w:t>
                  </w: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6.新增产品品种或生产工艺（含主要生产装置、设备及配套设施）、主要原辅材料、燃料变化，导致以下情形之一：</w:t>
                  </w:r>
                </w:p>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（1）新增排放污染物种类的（毒性、挥发性降低的除外）；</w:t>
                  </w:r>
                </w:p>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（2）位于环境质量不达标区的建设项目相应污染物排放量增加的；</w:t>
                  </w:r>
                </w:p>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（3）废水第一类污染物排放量增加的；</w:t>
                  </w:r>
                </w:p>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（4）其他污染物排放量增加10%及以上的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eastAsia" w:ascii="Times New Roman" w:hAnsi="Times New Roman" w:eastAsia="宋体" w:cs="Times New Roman"/>
                      <w:lang w:val="en-US" w:eastAsia="zh-CN"/>
                    </w:rPr>
                    <w:t>未增加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7.物料运输、装卸、贮存方式变化，导致大气污染物无组织排放量增加10%及以上的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eastAsia" w:ascii="Times New Roman" w:hAnsi="Times New Roman" w:eastAsia="宋体" w:cs="Times New Roman"/>
                      <w:lang w:val="en-US" w:eastAsia="zh-CN"/>
                    </w:rPr>
                    <w:t>未增加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环境保护措施</w:t>
                  </w: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8.废气、废水污染防治措施变化，导致第6条中所列情形之一（废气无组织排放改为有组织排放、污染防治措施强化或改进的除外）或大气污染物无组织排放量增加10%及以上的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未变化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9.新增废水直接排放口；（废气无组织排放改为有组织排放的除外）；主要排放口排气筒高度降低10%及以上的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未增加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10.新增废气主要排放口（废气无组织排放改为有组织排放的除外）；主要排放口排气筒高度降低10%及以上的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eastAsia" w:ascii="Times New Roman" w:hAnsi="Times New Roman" w:eastAsia="宋体" w:cs="Times New Roman"/>
                      <w:lang w:val="en-US" w:eastAsia="zh-CN"/>
                    </w:rPr>
                    <w:t>未增加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11.噪声、土壤或地下水污染防治措施变化，导致不利环境影响加重的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en-US" w:eastAsia="zh-CN"/>
                    </w:rPr>
                    <w:t>未变</w:t>
                  </w:r>
                  <w:r>
                    <w:rPr>
                      <w:rFonts w:hint="eastAsia" w:ascii="Times New Roman" w:hAnsi="Times New Roman" w:eastAsia="宋体" w:cs="Times New Roman"/>
                      <w:lang w:val="en-US" w:eastAsia="zh-CN"/>
                    </w:rPr>
                    <w:t>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imes New Roman" w:hAnsi="Times New Roman" w:eastAsia="宋体" w:cs="Times New Roman"/>
                      <w:lang w:val="zh-CN"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12.固体废物利用处置方式由委托外单位利用处置改为自行处置的（自行利用处置设施单独开展环境影响评价的除外）；固体废物自行处置方式变化，导致不利环境影响加重的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未变</w:t>
                  </w:r>
                  <w:r>
                    <w:rPr>
                      <w:rFonts w:hint="eastAsia" w:ascii="Times New Roman" w:hAnsi="Times New Roman" w:eastAsia="宋体" w:cs="Times New Roman"/>
                      <w:lang w:val="en-US" w:eastAsia="zh-CN"/>
                    </w:rPr>
                    <w:t>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4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imes New Roman" w:hAnsi="Times New Roman" w:eastAsia="宋体" w:cs="Times New Roman"/>
                      <w:lang w:val="en-US" w:eastAsia="zh-CN"/>
                    </w:rPr>
                  </w:pPr>
                </w:p>
              </w:tc>
              <w:tc>
                <w:tcPr>
                  <w:tcW w:w="372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105" w:leftChars="50"/>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13.事故废水暂存能力或拦截设施变化，导致环境风险防范能力弱化或降低的</w:t>
                  </w:r>
                </w:p>
              </w:tc>
              <w:tc>
                <w:tcPr>
                  <w:tcW w:w="8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lang w:val="zh-CN" w:eastAsia="zh-CN"/>
                    </w:rPr>
                  </w:pPr>
                  <w:r>
                    <w:rPr>
                      <w:rFonts w:hint="default" w:ascii="Times New Roman" w:hAnsi="Times New Roman" w:eastAsia="宋体" w:cs="Times New Roman"/>
                      <w:lang w:val="en-US" w:eastAsia="zh-CN"/>
                    </w:rPr>
                    <w:t>未变</w:t>
                  </w:r>
                  <w:r>
                    <w:rPr>
                      <w:rFonts w:hint="eastAsia" w:ascii="Times New Roman" w:hAnsi="Times New Roman" w:eastAsia="宋体" w:cs="Times New Roman"/>
                      <w:lang w:val="en-US" w:eastAsia="zh-CN"/>
                    </w:rPr>
                    <w:t>化</w:t>
                  </w:r>
                </w:p>
              </w:tc>
            </w:tr>
          </w:tbl>
          <w:p>
            <w:pPr>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color w:val="auto"/>
                <w:sz w:val="24"/>
              </w:rPr>
              <w:t>综上所述，本项目的建设性质、规模、地点、服务范围、生产工艺和环</w:t>
            </w:r>
            <w:r>
              <w:rPr>
                <w:rFonts w:hint="eastAsia" w:cs="Times New Roman"/>
                <w:color w:val="auto"/>
                <w:sz w:val="24"/>
                <w:lang w:val="en-US" w:eastAsia="zh-CN"/>
              </w:rPr>
              <w:t>境</w:t>
            </w:r>
            <w:r>
              <w:rPr>
                <w:rFonts w:hint="default" w:ascii="Times New Roman" w:hAnsi="Times New Roman" w:eastAsia="宋体" w:cs="Times New Roman"/>
                <w:color w:val="auto"/>
                <w:sz w:val="24"/>
              </w:rPr>
              <w:t>保</w:t>
            </w:r>
            <w:r>
              <w:rPr>
                <w:rFonts w:hint="eastAsia" w:cs="Times New Roman"/>
                <w:color w:val="auto"/>
                <w:sz w:val="24"/>
                <w:lang w:val="en-US" w:eastAsia="zh-CN"/>
              </w:rPr>
              <w:t>护</w:t>
            </w:r>
            <w:r>
              <w:rPr>
                <w:rFonts w:hint="default" w:ascii="Times New Roman" w:hAnsi="Times New Roman" w:eastAsia="宋体" w:cs="Times New Roman"/>
                <w:color w:val="auto"/>
                <w:sz w:val="24"/>
              </w:rPr>
              <w:t>措施均未发生重大变更。</w:t>
            </w:r>
            <w:r>
              <w:rPr>
                <w:rFonts w:hint="eastAsia" w:ascii="Times New Roman" w:hAnsi="Times New Roman" w:eastAsia="宋体" w:cs="Times New Roman"/>
                <w:color w:val="auto"/>
                <w:sz w:val="24"/>
                <w:lang w:val="en-US" w:eastAsia="zh-CN"/>
              </w:rPr>
              <w:t>该项目</w:t>
            </w:r>
            <w:r>
              <w:rPr>
                <w:rFonts w:hint="default" w:ascii="Times New Roman" w:hAnsi="Times New Roman" w:eastAsia="宋体" w:cs="Times New Roman"/>
                <w:color w:val="auto"/>
                <w:sz w:val="24"/>
              </w:rPr>
              <w:t>符合验收要求</w:t>
            </w:r>
            <w:r>
              <w:rPr>
                <w:rFonts w:hint="default" w:ascii="Times New Roman" w:hAnsi="Times New Roman" w:eastAsia="宋体" w:cs="Times New Roman"/>
                <w:bCs/>
                <w:sz w:val="24"/>
                <w:szCs w:val="24"/>
              </w:rPr>
              <w:t>项目实际建设中无重大变动情况。</w:t>
            </w:r>
          </w:p>
          <w:p>
            <w:pPr>
              <w:spacing w:line="360" w:lineRule="auto"/>
              <w:ind w:firstLine="480" w:firstLineChars="200"/>
              <w:rPr>
                <w:rFonts w:hint="default" w:ascii="Times New Roman" w:hAnsi="Times New Roman" w:eastAsia="宋体" w:cs="Times New Roman"/>
                <w:bCs/>
                <w:sz w:val="24"/>
                <w:szCs w:val="24"/>
              </w:rPr>
            </w:pPr>
          </w:p>
        </w:tc>
      </w:tr>
    </w:tbl>
    <w:p>
      <w:pPr>
        <w:rPr>
          <w:rFonts w:ascii="Times New Roman" w:hAnsi="Times New Roman" w:cs="Times New Roman"/>
        </w:rPr>
        <w:sectPr>
          <w:headerReference r:id="rId4" w:type="default"/>
          <w:footerReference r:id="rId5" w:type="default"/>
          <w:pgSz w:w="11906" w:h="16838"/>
          <w:pgMar w:top="720" w:right="720" w:bottom="720" w:left="720" w:header="567"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ascii="Times New Roman" w:hAnsi="Times New Roman" w:cs="Times New Roman"/>
          <w:b/>
          <w:bCs/>
          <w:sz w:val="30"/>
          <w:szCs w:val="30"/>
        </w:rPr>
      </w:pPr>
      <w:r>
        <w:rPr>
          <w:rFonts w:ascii="Times New Roman" w:hAnsi="Times New Roman" w:cs="Times New Roman"/>
          <w:b/>
          <w:bCs/>
          <w:sz w:val="30"/>
          <w:szCs w:val="30"/>
        </w:rPr>
        <w:t>表二</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项目生产工艺流程及污染物治理排放</w:t>
      </w:r>
    </w:p>
    <w:tbl>
      <w:tblPr>
        <w:tblStyle w:val="24"/>
        <w:tblW w:w="52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Pr>
          <w:p>
            <w:pPr>
              <w:spacing w:line="360" w:lineRule="auto"/>
              <w:contextualSpacing/>
              <w:rPr>
                <w:rFonts w:ascii="Times New Roman" w:hAnsi="Times New Roman" w:eastAsia="宋体" w:cs="Times New Roman"/>
                <w:b/>
                <w:bCs/>
                <w:spacing w:val="4"/>
                <w:sz w:val="24"/>
              </w:rPr>
            </w:pPr>
            <w:r>
              <w:rPr>
                <w:rFonts w:ascii="Times New Roman" w:hAnsi="Times New Roman" w:eastAsia="宋体" w:cs="Times New Roman"/>
                <w:b/>
                <w:bCs/>
                <w:spacing w:val="4"/>
                <w:sz w:val="24"/>
              </w:rPr>
              <w:t>一、生产工艺简述</w:t>
            </w:r>
          </w:p>
          <w:p>
            <w:pPr>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本项目的</w:t>
            </w:r>
            <w:r>
              <w:rPr>
                <w:rFonts w:hint="eastAsia" w:ascii="Times New Roman" w:hAnsi="Times New Roman" w:eastAsia="宋体" w:cs="Times New Roman"/>
                <w:color w:val="auto"/>
                <w:sz w:val="24"/>
                <w:lang w:eastAsia="zh-CN"/>
              </w:rPr>
              <w:t>现</w:t>
            </w:r>
            <w:r>
              <w:rPr>
                <w:rFonts w:hint="eastAsia" w:ascii="Times New Roman" w:hAnsi="Times New Roman" w:eastAsia="宋体" w:cs="Times New Roman"/>
                <w:color w:val="auto"/>
                <w:sz w:val="24"/>
              </w:rPr>
              <w:t>主要工艺流程及产污环节如下图所示：</w:t>
            </w:r>
          </w:p>
          <w:p>
            <w:pPr>
              <w:spacing w:line="360" w:lineRule="auto"/>
              <w:ind w:firstLine="420" w:firstLineChars="200"/>
              <w:rPr>
                <w:rFonts w:ascii="Times New Roman" w:hAnsi="宋体" w:eastAsia="宋体" w:cs="Times New Roman"/>
                <w:bCs/>
                <w:sz w:val="24"/>
              </w:rPr>
            </w:pPr>
            <w:r>
              <w:rPr>
                <w:rFonts w:eastAsia="黑体"/>
                <w:color w:val="0000FF"/>
              </w:rPr>
              <w:object>
                <v:shape id="_x0000_i1025" o:spt="75" type="#_x0000_t75" style="height:414.9pt;width:351.8pt;" o:ole="t" filled="f" o:preferrelative="t" stroked="f" coordsize="21600,21600">
                  <v:path/>
                  <v:fill on="f" alignshape="1" focussize="0,0"/>
                  <v:stroke on="f"/>
                  <v:imagedata r:id="rId9" grayscale="f" bilevel="f" o:title=""/>
                  <o:lock v:ext="edit" aspectratio="t"/>
                  <w10:wrap type="none"/>
                  <w10:anchorlock/>
                </v:shape>
                <o:OLEObject Type="Embed" ProgID="Visio.Drawing.15" ShapeID="_x0000_i1025" DrawAspect="Content" ObjectID="_1468075725" r:id="rId8">
                  <o:LockedField>false</o:LockedField>
                </o:OLEObject>
              </w:object>
            </w:r>
          </w:p>
          <w:p>
            <w:pPr>
              <w:spacing w:line="360" w:lineRule="auto"/>
              <w:ind w:firstLine="482" w:firstLineChars="200"/>
              <w:outlineLvl w:val="1"/>
              <w:rPr>
                <w:rFonts w:hint="eastAsia"/>
                <w:b/>
                <w:bCs w:val="0"/>
                <w:sz w:val="24"/>
              </w:rPr>
            </w:pPr>
            <w:r>
              <w:rPr>
                <w:rFonts w:hint="eastAsia"/>
                <w:b/>
                <w:bCs w:val="0"/>
                <w:sz w:val="24"/>
              </w:rPr>
              <w:t>工艺流程简述：</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1 \* GB3 </w:instrText>
            </w:r>
            <w:r>
              <w:rPr>
                <w:rFonts w:hint="eastAsia"/>
                <w:bCs/>
                <w:sz w:val="24"/>
              </w:rPr>
              <w:fldChar w:fldCharType="separate"/>
            </w:r>
            <w:r>
              <w:rPr>
                <w:rFonts w:hint="eastAsia"/>
                <w:bCs/>
                <w:sz w:val="24"/>
              </w:rPr>
              <w:t>①</w:t>
            </w:r>
            <w:r>
              <w:rPr>
                <w:rFonts w:hint="eastAsia"/>
                <w:bCs/>
                <w:sz w:val="24"/>
              </w:rPr>
              <w:fldChar w:fldCharType="end"/>
            </w:r>
            <w:r>
              <w:rPr>
                <w:rFonts w:hint="eastAsia"/>
                <w:bCs/>
                <w:sz w:val="24"/>
              </w:rPr>
              <w:t>投料：外购袋装PE、色母颗粒、聚乳酸粒经人工脱包后，按照一定比例人工上料送至搅拌机内。</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2 \* GB3 </w:instrText>
            </w:r>
            <w:r>
              <w:rPr>
                <w:rFonts w:hint="eastAsia"/>
                <w:bCs/>
                <w:sz w:val="24"/>
              </w:rPr>
              <w:fldChar w:fldCharType="separate"/>
            </w:r>
            <w:r>
              <w:rPr>
                <w:rFonts w:hint="eastAsia"/>
                <w:bCs/>
                <w:sz w:val="24"/>
              </w:rPr>
              <w:t>②</w:t>
            </w:r>
            <w:r>
              <w:rPr>
                <w:rFonts w:hint="eastAsia"/>
                <w:bCs/>
                <w:sz w:val="24"/>
              </w:rPr>
              <w:fldChar w:fldCharType="end"/>
            </w:r>
            <w:r>
              <w:rPr>
                <w:rFonts w:hint="eastAsia"/>
                <w:bCs/>
                <w:sz w:val="24"/>
              </w:rPr>
              <w:t>搅拌：进行搅拌（自动搅拌）混合，混合后利用机械自动上料进入吹膜机内进行下一步加工，该过程中使用的原料均为颗粒状（粒径约3mm左右），不夹杂粉料，混料过程密闭，粒径较大，无粉尘外排，且混合过程不加热，因此该工序不产生粉尘以及废气。产生的污染物主要为机械噪声。</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3 \* GB3 </w:instrText>
            </w:r>
            <w:r>
              <w:rPr>
                <w:rFonts w:hint="eastAsia"/>
                <w:bCs/>
                <w:sz w:val="24"/>
              </w:rPr>
              <w:fldChar w:fldCharType="separate"/>
            </w:r>
            <w:r>
              <w:rPr>
                <w:rFonts w:hint="eastAsia"/>
                <w:bCs/>
                <w:sz w:val="24"/>
              </w:rPr>
              <w:t>③</w:t>
            </w:r>
            <w:r>
              <w:rPr>
                <w:rFonts w:hint="eastAsia"/>
                <w:bCs/>
                <w:sz w:val="24"/>
              </w:rPr>
              <w:fldChar w:fldCharType="end"/>
            </w:r>
            <w:r>
              <w:rPr>
                <w:rFonts w:hint="eastAsia"/>
                <w:bCs/>
                <w:sz w:val="24"/>
              </w:rPr>
              <w:t>加热吹膜：混料后的物料经机械自动上料入吹膜机，吹膜机电加热，加热温度约170℃，混合料进入吹膜机从挤出口挤出，并吹膜成型。</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4 \* GB3 </w:instrText>
            </w:r>
            <w:r>
              <w:rPr>
                <w:rFonts w:hint="eastAsia"/>
                <w:bCs/>
                <w:sz w:val="24"/>
              </w:rPr>
              <w:fldChar w:fldCharType="separate"/>
            </w:r>
            <w:r>
              <w:rPr>
                <w:rFonts w:hint="eastAsia"/>
                <w:bCs/>
                <w:sz w:val="24"/>
              </w:rPr>
              <w:t>④</w:t>
            </w:r>
            <w:r>
              <w:rPr>
                <w:rFonts w:hint="eastAsia"/>
                <w:bCs/>
                <w:sz w:val="24"/>
              </w:rPr>
              <w:fldChar w:fldCharType="end"/>
            </w:r>
            <w:r>
              <w:rPr>
                <w:rFonts w:hint="eastAsia"/>
                <w:bCs/>
                <w:sz w:val="24"/>
              </w:rPr>
              <w:t>冷却成型：膜在牵引力下移动，并经生产线自带风盘吹冷固型。</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5 \* GB3 </w:instrText>
            </w:r>
            <w:r>
              <w:rPr>
                <w:rFonts w:hint="eastAsia"/>
                <w:bCs/>
                <w:sz w:val="24"/>
              </w:rPr>
              <w:fldChar w:fldCharType="separate"/>
            </w:r>
            <w:r>
              <w:rPr>
                <w:rFonts w:hint="eastAsia"/>
                <w:bCs/>
                <w:sz w:val="24"/>
              </w:rPr>
              <w:t>⑤</w:t>
            </w:r>
            <w:r>
              <w:rPr>
                <w:rFonts w:hint="eastAsia"/>
                <w:bCs/>
                <w:sz w:val="24"/>
              </w:rPr>
              <w:fldChar w:fldCharType="end"/>
            </w:r>
            <w:r>
              <w:rPr>
                <w:rFonts w:hint="eastAsia"/>
                <w:bCs/>
                <w:sz w:val="24"/>
              </w:rPr>
              <w:t>制袋：加工好的膜人工送至制袋机内，根据产品的尺寸要求进行压边，压边过程需将制袋机加热至200℃左右。该工序产生的污染物主要为噪声、有机废气。</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6 \* GB3 </w:instrText>
            </w:r>
            <w:r>
              <w:rPr>
                <w:rFonts w:hint="eastAsia"/>
                <w:bCs/>
                <w:sz w:val="24"/>
              </w:rPr>
              <w:fldChar w:fldCharType="separate"/>
            </w:r>
            <w:r>
              <w:rPr>
                <w:rFonts w:hint="eastAsia"/>
                <w:bCs/>
                <w:sz w:val="24"/>
              </w:rPr>
              <w:t>⑥</w:t>
            </w:r>
            <w:r>
              <w:rPr>
                <w:rFonts w:hint="eastAsia"/>
                <w:bCs/>
                <w:sz w:val="24"/>
              </w:rPr>
              <w:fldChar w:fldCharType="end"/>
            </w:r>
            <w:r>
              <w:rPr>
                <w:rFonts w:hint="eastAsia"/>
                <w:bCs/>
                <w:sz w:val="24"/>
              </w:rPr>
              <w:t>检验：制袋后的产品经检验，合格产品进入印刷车间，不合格产品同边角料一起进入造粒机造粒后循环使用，此过程主要产生设备噪声。</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7 \* GB3 </w:instrText>
            </w:r>
            <w:r>
              <w:rPr>
                <w:rFonts w:hint="eastAsia"/>
                <w:bCs/>
                <w:sz w:val="24"/>
              </w:rPr>
              <w:fldChar w:fldCharType="separate"/>
            </w:r>
            <w:r>
              <w:rPr>
                <w:rFonts w:hint="eastAsia"/>
                <w:bCs/>
                <w:sz w:val="24"/>
              </w:rPr>
              <w:t>⑦</w:t>
            </w:r>
            <w:r>
              <w:rPr>
                <w:rFonts w:hint="eastAsia"/>
                <w:bCs/>
                <w:sz w:val="24"/>
              </w:rPr>
              <w:fldChar w:fldCharType="end"/>
            </w:r>
            <w:r>
              <w:rPr>
                <w:rFonts w:hint="eastAsia"/>
                <w:bCs/>
                <w:sz w:val="24"/>
              </w:rPr>
              <w:t>印刷：根据客户要求，塑料袋表面需使用水性油墨进行印刷，印刷过程不同颜色的油墨由专用印刷机进行印刷，不涉及印刷机洗车工序等。</w:t>
            </w:r>
          </w:p>
          <w:p>
            <w:pPr>
              <w:spacing w:line="360" w:lineRule="auto"/>
              <w:ind w:firstLine="480" w:firstLineChars="200"/>
              <w:outlineLvl w:val="1"/>
              <w:rPr>
                <w:rFonts w:hint="eastAsia"/>
                <w:bCs/>
                <w:sz w:val="24"/>
              </w:rPr>
            </w:pPr>
            <w:r>
              <w:rPr>
                <w:rFonts w:hint="eastAsia"/>
                <w:bCs/>
                <w:sz w:val="24"/>
              </w:rPr>
              <w:fldChar w:fldCharType="begin"/>
            </w:r>
            <w:r>
              <w:rPr>
                <w:rFonts w:hint="eastAsia"/>
                <w:bCs/>
                <w:sz w:val="24"/>
              </w:rPr>
              <w:instrText xml:space="preserve"> = 8 \* GB3 </w:instrText>
            </w:r>
            <w:r>
              <w:rPr>
                <w:rFonts w:hint="eastAsia"/>
                <w:bCs/>
                <w:sz w:val="24"/>
              </w:rPr>
              <w:fldChar w:fldCharType="separate"/>
            </w:r>
            <w:r>
              <w:rPr>
                <w:rFonts w:hint="eastAsia"/>
                <w:bCs/>
                <w:sz w:val="24"/>
              </w:rPr>
              <w:t>⑧</w:t>
            </w:r>
            <w:r>
              <w:rPr>
                <w:rFonts w:hint="eastAsia"/>
                <w:bCs/>
                <w:sz w:val="24"/>
              </w:rPr>
              <w:fldChar w:fldCharType="end"/>
            </w:r>
            <w:r>
              <w:rPr>
                <w:rFonts w:hint="eastAsia"/>
                <w:bCs/>
                <w:sz w:val="24"/>
              </w:rPr>
              <w:t>造粒：不合格产品通过造粒机造粒后循环使用，该工序产生的污染物主要为噪声、废气。</w:t>
            </w:r>
          </w:p>
          <w:p>
            <w:pPr>
              <w:spacing w:line="360" w:lineRule="auto"/>
              <w:ind w:firstLine="480" w:firstLineChars="200"/>
              <w:outlineLvl w:val="1"/>
              <w:rPr>
                <w:rFonts w:hint="eastAsia"/>
                <w:bCs/>
                <w:sz w:val="24"/>
                <w:lang w:eastAsia="zh-CN"/>
              </w:rPr>
            </w:pPr>
            <w:r>
              <w:rPr>
                <w:rFonts w:hint="eastAsia"/>
                <w:bCs/>
                <w:sz w:val="24"/>
              </w:rPr>
              <w:fldChar w:fldCharType="begin"/>
            </w:r>
            <w:r>
              <w:rPr>
                <w:rFonts w:hint="eastAsia"/>
                <w:bCs/>
                <w:sz w:val="24"/>
              </w:rPr>
              <w:instrText xml:space="preserve"> = 9 \* GB3 </w:instrText>
            </w:r>
            <w:r>
              <w:rPr>
                <w:rFonts w:hint="eastAsia"/>
                <w:bCs/>
                <w:sz w:val="24"/>
              </w:rPr>
              <w:fldChar w:fldCharType="separate"/>
            </w:r>
            <w:r>
              <w:rPr>
                <w:rFonts w:hint="eastAsia"/>
                <w:bCs/>
                <w:sz w:val="24"/>
              </w:rPr>
              <w:t>⑨</w:t>
            </w:r>
            <w:r>
              <w:rPr>
                <w:rFonts w:hint="eastAsia"/>
                <w:bCs/>
                <w:sz w:val="24"/>
              </w:rPr>
              <w:fldChar w:fldCharType="end"/>
            </w:r>
            <w:r>
              <w:rPr>
                <w:rFonts w:hint="eastAsia"/>
                <w:bCs/>
                <w:sz w:val="24"/>
              </w:rPr>
              <w:t>入库：将包装完成的产品后运至成品库</w:t>
            </w:r>
            <w:r>
              <w:rPr>
                <w:rFonts w:hint="eastAsia"/>
                <w:bCs/>
                <w:sz w:val="24"/>
                <w:lang w:eastAsia="zh-CN"/>
              </w:rPr>
              <w:t>。</w:t>
            </w:r>
          </w:p>
          <w:p>
            <w:pPr>
              <w:spacing w:line="360" w:lineRule="auto"/>
              <w:contextualSpacing/>
              <w:rPr>
                <w:rFonts w:hint="eastAsia" w:ascii="Times New Roman" w:hAnsi="Times New Roman" w:eastAsia="宋体" w:cs="Times New Roman"/>
                <w:b/>
                <w:bCs/>
                <w:spacing w:val="4"/>
                <w:sz w:val="24"/>
                <w:lang w:eastAsia="zh-CN"/>
              </w:rPr>
            </w:pPr>
            <w:r>
              <w:rPr>
                <w:rFonts w:hint="eastAsia" w:ascii="Times New Roman" w:hAnsi="Times New Roman" w:eastAsia="宋体" w:cs="Times New Roman"/>
                <w:b/>
                <w:bCs/>
                <w:spacing w:val="4"/>
                <w:sz w:val="24"/>
                <w:lang w:eastAsia="zh-CN"/>
              </w:rPr>
              <w:t>二</w:t>
            </w:r>
            <w:r>
              <w:rPr>
                <w:rFonts w:ascii="Times New Roman" w:hAnsi="Times New Roman" w:eastAsia="宋体" w:cs="Times New Roman"/>
                <w:b/>
                <w:bCs/>
                <w:spacing w:val="4"/>
                <w:sz w:val="24"/>
              </w:rPr>
              <w:t>、项目污染物治理</w:t>
            </w:r>
            <w:r>
              <w:rPr>
                <w:rFonts w:hint="eastAsia" w:ascii="Times New Roman" w:hAnsi="Times New Roman" w:eastAsia="宋体" w:cs="Times New Roman"/>
                <w:b/>
                <w:bCs/>
                <w:spacing w:val="4"/>
                <w:sz w:val="24"/>
                <w:lang w:eastAsia="zh-CN"/>
              </w:rPr>
              <w:t>措施</w:t>
            </w:r>
          </w:p>
          <w:p>
            <w:pPr>
              <w:spacing w:line="360" w:lineRule="auto"/>
              <w:ind w:firstLine="482" w:firstLineChars="200"/>
              <w:contextualSpacing/>
              <w:rPr>
                <w:rFonts w:ascii="Times New Roman" w:hAnsi="Times New Roman" w:cs="Times New Roman"/>
                <w:b/>
                <w:bCs/>
                <w:sz w:val="24"/>
              </w:rPr>
            </w:pPr>
            <w:r>
              <w:rPr>
                <w:rFonts w:ascii="Times New Roman" w:hAnsi="Times New Roman" w:cs="Times New Roman"/>
                <w:b/>
                <w:bCs/>
                <w:sz w:val="24"/>
              </w:rPr>
              <w:t>（1）废气治理</w:t>
            </w:r>
            <w:r>
              <w:rPr>
                <w:rFonts w:hint="eastAsia" w:ascii="Times New Roman" w:hAnsi="Times New Roman" w:eastAsia="宋体" w:cs="Times New Roman"/>
                <w:b/>
                <w:bCs/>
                <w:spacing w:val="4"/>
                <w:sz w:val="24"/>
                <w:lang w:eastAsia="zh-CN"/>
              </w:rPr>
              <w:t>措施</w:t>
            </w:r>
          </w:p>
          <w:p>
            <w:pPr>
              <w:spacing w:line="360" w:lineRule="auto"/>
              <w:ind w:firstLine="480" w:firstLineChars="200"/>
              <w:outlineLvl w:val="1"/>
              <w:rPr>
                <w:rFonts w:hint="eastAsia" w:ascii="Times New Roman" w:hAnsi="Times New Roman" w:eastAsia="宋体" w:cs="Times New Roman"/>
                <w:b w:val="0"/>
                <w:bCs w:val="0"/>
                <w:kern w:val="0"/>
                <w:sz w:val="24"/>
                <w:szCs w:val="24"/>
              </w:rPr>
            </w:pPr>
            <w:r>
              <w:rPr>
                <w:rFonts w:hint="eastAsia"/>
                <w:bCs/>
                <w:sz w:val="24"/>
              </w:rPr>
              <w:t>废气主要</w:t>
            </w:r>
            <w:r>
              <w:rPr>
                <w:rFonts w:hint="eastAsia"/>
                <w:sz w:val="24"/>
              </w:rPr>
              <w:t>为有机废气（</w:t>
            </w:r>
            <w:r>
              <w:rPr>
                <w:rFonts w:hint="eastAsia"/>
                <w:sz w:val="24"/>
                <w:lang w:eastAsia="zh-CN"/>
              </w:rPr>
              <w:t>造粒、吹膜、印刷工序</w:t>
            </w:r>
            <w:r>
              <w:rPr>
                <w:rFonts w:hint="eastAsia"/>
                <w:sz w:val="24"/>
              </w:rPr>
              <w:t>）</w:t>
            </w:r>
            <w:r>
              <w:rPr>
                <w:rFonts w:hint="eastAsia"/>
                <w:sz w:val="24"/>
                <w:lang w:eastAsia="zh-CN"/>
              </w:rPr>
              <w:t>、食堂油烟</w:t>
            </w:r>
            <w:r>
              <w:rPr>
                <w:rFonts w:hint="eastAsia" w:ascii="Times New Roman" w:hAnsi="Times New Roman" w:eastAsia="宋体" w:cs="Times New Roman"/>
                <w:b w:val="0"/>
                <w:bCs w:val="0"/>
                <w:kern w:val="0"/>
                <w:sz w:val="24"/>
                <w:szCs w:val="24"/>
              </w:rPr>
              <w:t>。</w:t>
            </w:r>
            <w:bookmarkStart w:id="2" w:name="_Toc20291"/>
          </w:p>
          <w:p>
            <w:pPr>
              <w:spacing w:line="360" w:lineRule="auto"/>
              <w:ind w:firstLine="480"/>
              <w:contextualSpacing/>
              <w:rPr>
                <w:rFonts w:hint="eastAsia" w:ascii="Times New Roman" w:hAnsi="Times New Roman" w:cs="Times New Roman"/>
                <w:b/>
                <w:bCs/>
                <w:sz w:val="24"/>
                <w:lang w:val="en-US" w:eastAsia="zh-CN"/>
              </w:rPr>
            </w:pPr>
            <w:r>
              <w:rPr>
                <w:rFonts w:hint="eastAsia" w:ascii="Times New Roman" w:hAnsi="Times New Roman" w:cs="Times New Roman"/>
                <w:b/>
                <w:bCs/>
                <w:sz w:val="24"/>
                <w:lang w:eastAsia="zh-CN"/>
              </w:rPr>
              <w:t>①</w:t>
            </w:r>
            <w:r>
              <w:rPr>
                <w:rFonts w:hint="eastAsia" w:ascii="Times New Roman" w:hAnsi="Times New Roman" w:cs="Times New Roman"/>
                <w:b/>
                <w:bCs/>
                <w:sz w:val="24"/>
                <w:lang w:val="en-US" w:eastAsia="zh-CN"/>
              </w:rPr>
              <w:t>吹膜</w:t>
            </w:r>
            <w:r>
              <w:rPr>
                <w:rFonts w:hint="eastAsia" w:ascii="Times New Roman" w:hAnsi="Times New Roman" w:cs="Times New Roman"/>
                <w:b/>
                <w:bCs/>
                <w:sz w:val="24"/>
                <w:lang w:eastAsia="zh-CN"/>
              </w:rPr>
              <w:t>有机</w:t>
            </w:r>
            <w:r>
              <w:rPr>
                <w:rFonts w:hint="eastAsia" w:ascii="Times New Roman" w:hAnsi="Times New Roman" w:cs="Times New Roman"/>
                <w:b/>
                <w:bCs/>
                <w:sz w:val="24"/>
                <w:lang w:val="en-US" w:eastAsia="zh-CN"/>
              </w:rPr>
              <w:t>废气</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环评提出的措施：</w:t>
            </w:r>
          </w:p>
          <w:p>
            <w:pPr>
              <w:spacing w:line="360" w:lineRule="auto"/>
              <w:ind w:firstLine="480"/>
              <w:contextualSpacing/>
              <w:rPr>
                <w:rFonts w:hint="eastAsia"/>
                <w:bCs/>
                <w:kern w:val="0"/>
                <w:sz w:val="24"/>
              </w:rPr>
            </w:pPr>
            <w:r>
              <w:rPr>
                <w:rFonts w:hint="eastAsia"/>
                <w:bCs/>
                <w:kern w:val="0"/>
                <w:sz w:val="24"/>
              </w:rPr>
              <w:t>在注塑机起模位置和吹膜机成膜位置设置顶吸集气罩，有机废气通过集气罩汇入总风管，经二级活性炭吸附处理后通过15m高排气筒排放。</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验收实际措施：</w:t>
            </w:r>
          </w:p>
          <w:p>
            <w:pPr>
              <w:spacing w:line="360" w:lineRule="auto"/>
              <w:ind w:firstLine="480"/>
              <w:contextualSpacing/>
              <w:rPr>
                <w:rFonts w:hint="eastAsia"/>
                <w:bCs/>
                <w:kern w:val="0"/>
                <w:sz w:val="24"/>
                <w:lang w:eastAsia="zh-CN"/>
              </w:rPr>
            </w:pPr>
            <w:r>
              <w:rPr>
                <w:rFonts w:hint="eastAsia"/>
                <w:bCs/>
                <w:kern w:val="0"/>
                <w:sz w:val="24"/>
                <w:lang w:eastAsia="zh-CN"/>
              </w:rPr>
              <w:t>实际未建设</w:t>
            </w:r>
            <w:r>
              <w:rPr>
                <w:rFonts w:hint="eastAsia"/>
                <w:bCs/>
                <w:kern w:val="0"/>
                <w:sz w:val="24"/>
              </w:rPr>
              <w:t>注塑机</w:t>
            </w:r>
            <w:r>
              <w:rPr>
                <w:rFonts w:hint="eastAsia"/>
                <w:bCs/>
                <w:kern w:val="0"/>
                <w:sz w:val="24"/>
                <w:lang w:eastAsia="zh-CN"/>
              </w:rPr>
              <w:t>，在</w:t>
            </w:r>
            <w:r>
              <w:rPr>
                <w:rFonts w:hint="eastAsia"/>
                <w:bCs/>
                <w:kern w:val="0"/>
                <w:sz w:val="24"/>
              </w:rPr>
              <w:t>吹膜机成膜位置设置顶吸集气罩，有机废气通过集气罩汇入总风管，经活性炭吸附处理后通过15m高排气筒排放</w:t>
            </w:r>
            <w:r>
              <w:rPr>
                <w:rFonts w:hint="eastAsia"/>
                <w:bCs/>
                <w:kern w:val="0"/>
                <w:sz w:val="24"/>
                <w:lang w:eastAsia="zh-CN"/>
              </w:rPr>
              <w:t>。</w:t>
            </w:r>
          </w:p>
          <w:p>
            <w:pPr>
              <w:spacing w:line="360" w:lineRule="auto"/>
              <w:ind w:firstLine="480"/>
              <w:contextualSpacing/>
              <w:rPr>
                <w:rFonts w:ascii="Times New Roman" w:hAnsi="Times New Roman" w:cs="Times New Roman"/>
                <w:b/>
                <w:bCs/>
                <w:sz w:val="24"/>
              </w:rPr>
            </w:pPr>
            <w:r>
              <w:rPr>
                <w:rFonts w:hint="eastAsia" w:ascii="Times New Roman" w:hAnsi="Times New Roman" w:cs="Times New Roman"/>
                <w:b/>
                <w:bCs/>
                <w:sz w:val="24"/>
              </w:rPr>
              <w:t>②印刷</w:t>
            </w:r>
            <w:r>
              <w:rPr>
                <w:rFonts w:hint="eastAsia" w:ascii="Times New Roman" w:hAnsi="Times New Roman" w:cs="Times New Roman"/>
                <w:b/>
                <w:bCs/>
                <w:sz w:val="24"/>
                <w:lang w:eastAsia="zh-CN"/>
              </w:rPr>
              <w:t>有机</w:t>
            </w:r>
            <w:r>
              <w:rPr>
                <w:rFonts w:hint="eastAsia" w:ascii="Times New Roman" w:hAnsi="Times New Roman" w:cs="Times New Roman"/>
                <w:b/>
                <w:bCs/>
                <w:sz w:val="24"/>
              </w:rPr>
              <w:t>废气</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环评提出的措施：</w:t>
            </w:r>
          </w:p>
          <w:p>
            <w:pPr>
              <w:spacing w:line="360" w:lineRule="auto"/>
              <w:ind w:firstLine="480"/>
              <w:contextualSpacing/>
              <w:rPr>
                <w:rFonts w:hint="eastAsia" w:ascii="Times New Roman" w:hAnsi="Times New Roman" w:cs="Times New Roman"/>
                <w:bCs/>
                <w:sz w:val="24"/>
                <w:lang w:eastAsia="zh-CN"/>
              </w:rPr>
            </w:pPr>
            <w:r>
              <w:rPr>
                <w:rFonts w:hint="eastAsia" w:ascii="Times New Roman" w:hAnsi="Times New Roman" w:cs="Times New Roman"/>
                <w:bCs/>
                <w:sz w:val="24"/>
                <w:lang w:eastAsia="zh-CN"/>
              </w:rPr>
              <w:t>印刷废气产生位置位于印刷机上方，印刷过程中有机废气产生量少，印刷废气无组织排放。</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验收实际措施：</w:t>
            </w:r>
          </w:p>
          <w:p>
            <w:pPr>
              <w:spacing w:line="360" w:lineRule="auto"/>
              <w:ind w:firstLine="480"/>
              <w:contextualSpacing/>
              <w:rPr>
                <w:rFonts w:ascii="Times New Roman" w:hAnsi="Times New Roman" w:cs="Times New Roman"/>
                <w:sz w:val="24"/>
                <w:highlight w:val="none"/>
              </w:rPr>
            </w:pPr>
            <w:r>
              <w:rPr>
                <w:rFonts w:hint="eastAsia"/>
                <w:bCs/>
                <w:kern w:val="0"/>
                <w:sz w:val="24"/>
                <w:lang w:eastAsia="zh-CN"/>
              </w:rPr>
              <w:t>在印刷机上方</w:t>
            </w:r>
            <w:r>
              <w:rPr>
                <w:rFonts w:hint="eastAsia"/>
                <w:bCs/>
                <w:kern w:val="0"/>
                <w:sz w:val="24"/>
              </w:rPr>
              <w:t>设置顶吸集气罩，有机废气通过集气罩汇入总风管，经活性炭吸附处理后通过15m高排气筒排放</w:t>
            </w:r>
            <w:r>
              <w:rPr>
                <w:rFonts w:hint="eastAsia" w:ascii="Times New Roman" w:hAnsi="Times New Roman" w:cs="Times New Roman"/>
                <w:bCs/>
                <w:sz w:val="24"/>
                <w:highlight w:val="none"/>
                <w:lang w:eastAsia="zh-CN"/>
              </w:rPr>
              <w:t>。</w:t>
            </w:r>
          </w:p>
          <w:p>
            <w:pPr>
              <w:spacing w:line="360" w:lineRule="auto"/>
              <w:ind w:firstLine="480"/>
              <w:contextualSpacing/>
              <w:rPr>
                <w:rFonts w:hint="eastAsia" w:ascii="Times New Roman" w:hAnsi="Times New Roman" w:cs="Times New Roman"/>
                <w:b/>
                <w:bCs/>
                <w:sz w:val="24"/>
              </w:rPr>
            </w:pPr>
          </w:p>
          <w:p>
            <w:pPr>
              <w:spacing w:line="360" w:lineRule="auto"/>
              <w:ind w:firstLine="480"/>
              <w:contextualSpacing/>
              <w:rPr>
                <w:rFonts w:hint="eastAsia" w:ascii="Times New Roman" w:hAnsi="Times New Roman" w:cs="Times New Roman"/>
                <w:b/>
                <w:bCs/>
                <w:sz w:val="24"/>
              </w:rPr>
            </w:pPr>
            <w:r>
              <w:rPr>
                <w:rFonts w:hint="eastAsia" w:ascii="Times New Roman" w:hAnsi="Times New Roman" w:cs="Times New Roman"/>
                <w:b/>
                <w:bCs/>
                <w:sz w:val="24"/>
              </w:rPr>
              <w:t>③造粒有机废气</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环评提出的措施：</w:t>
            </w:r>
          </w:p>
          <w:p>
            <w:pPr>
              <w:spacing w:line="360" w:lineRule="auto"/>
              <w:ind w:firstLine="480"/>
              <w:contextualSpacing/>
              <w:rPr>
                <w:rFonts w:hint="eastAsia" w:ascii="Times New Roman" w:hAnsi="Times New Roman" w:cs="Times New Roman"/>
                <w:bCs/>
                <w:sz w:val="24"/>
                <w:lang w:eastAsia="zh-CN"/>
              </w:rPr>
            </w:pPr>
            <w:r>
              <w:rPr>
                <w:rFonts w:hint="eastAsia" w:ascii="Times New Roman" w:hAnsi="Times New Roman" w:cs="Times New Roman"/>
                <w:bCs/>
                <w:sz w:val="24"/>
                <w:lang w:eastAsia="zh-CN"/>
              </w:rPr>
              <w:t>项目造粒过程有机废气产生量少，且造粒机为非连续运行，只在不合格产品累积到一定量之后才运行，可通过加强车间通风减少对环境的影响。</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验收实际措施：</w:t>
            </w:r>
          </w:p>
          <w:p>
            <w:pPr>
              <w:spacing w:line="360" w:lineRule="auto"/>
              <w:ind w:firstLine="480"/>
              <w:contextualSpacing/>
              <w:rPr>
                <w:rFonts w:hint="eastAsia" w:ascii="Times New Roman" w:hAnsi="Times New Roman" w:cs="Times New Roman"/>
                <w:bCs/>
                <w:sz w:val="24"/>
                <w:lang w:eastAsia="zh-CN"/>
              </w:rPr>
            </w:pPr>
            <w:r>
              <w:rPr>
                <w:rFonts w:hint="eastAsia" w:ascii="Times New Roman" w:hAnsi="Times New Roman" w:cs="Times New Roman"/>
                <w:bCs/>
                <w:sz w:val="24"/>
                <w:lang w:eastAsia="zh-CN"/>
              </w:rPr>
              <w:t>在造粒机上方设置集气罩</w:t>
            </w:r>
            <w:r>
              <w:rPr>
                <w:rFonts w:hint="eastAsia" w:ascii="Times New Roman" w:hAnsi="Times New Roman" w:cs="Times New Roman"/>
                <w:bCs/>
                <w:sz w:val="24"/>
                <w:lang w:val="en-US" w:eastAsia="zh-CN"/>
              </w:rPr>
              <w:t>+软帘</w:t>
            </w:r>
            <w:r>
              <w:rPr>
                <w:rFonts w:hint="eastAsia" w:ascii="Times New Roman" w:hAnsi="Times New Roman" w:cs="Times New Roman"/>
                <w:bCs/>
                <w:sz w:val="24"/>
                <w:lang w:eastAsia="zh-CN"/>
              </w:rPr>
              <w:t>，有机废气通过集气罩汇入风管，经三级活性炭吸附处理后通过15m高排气筒排放。</w:t>
            </w:r>
          </w:p>
          <w:p>
            <w:pPr>
              <w:spacing w:line="360" w:lineRule="auto"/>
              <w:ind w:firstLine="480"/>
              <w:contextualSpacing/>
              <w:rPr>
                <w:rFonts w:hint="eastAsia" w:ascii="Times New Roman" w:hAnsi="Times New Roman" w:cs="Times New Roman" w:eastAsiaTheme="minorEastAsia"/>
                <w:b/>
                <w:bCs/>
                <w:sz w:val="24"/>
                <w:lang w:eastAsia="zh-CN"/>
              </w:rPr>
            </w:pPr>
            <w:r>
              <w:rPr>
                <w:rFonts w:hint="eastAsia" w:ascii="Times New Roman" w:hAnsi="Times New Roman" w:cs="Times New Roman"/>
                <w:b/>
                <w:bCs/>
                <w:sz w:val="24"/>
                <w:lang w:eastAsia="zh-CN"/>
              </w:rPr>
              <w:t>④食堂油烟</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环评提出的措施：</w:t>
            </w:r>
          </w:p>
          <w:p>
            <w:pPr>
              <w:spacing w:line="360" w:lineRule="auto"/>
              <w:ind w:firstLine="480"/>
              <w:contextualSpacing/>
              <w:rPr>
                <w:rFonts w:hint="eastAsia" w:ascii="Times New Roman" w:hAnsi="Times New Roman" w:cs="Times New Roman"/>
                <w:bCs/>
                <w:sz w:val="24"/>
                <w:lang w:eastAsia="zh-CN"/>
              </w:rPr>
            </w:pPr>
            <w:r>
              <w:rPr>
                <w:rFonts w:hint="eastAsia" w:ascii="Times New Roman" w:hAnsi="Times New Roman" w:cs="Times New Roman"/>
                <w:bCs/>
                <w:sz w:val="24"/>
                <w:lang w:eastAsia="zh-CN"/>
              </w:rPr>
              <w:t>食堂燃料采用清洁能源天然气，食堂油烟通过油烟净化器处理后再由烟道排放。</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验收实际措施：</w:t>
            </w:r>
          </w:p>
          <w:p>
            <w:pPr>
              <w:pStyle w:val="4"/>
              <w:spacing w:before="0" w:after="0" w:line="360" w:lineRule="auto"/>
              <w:ind w:firstLine="480" w:firstLineChars="200"/>
              <w:contextualSpacing/>
              <w:outlineLvl w:val="1"/>
              <w:rPr>
                <w:rFonts w:hint="eastAsia" w:ascii="Times New Roman" w:hAnsi="Times New Roman" w:cs="Times New Roman" w:eastAsiaTheme="minorEastAsia"/>
                <w:b w:val="0"/>
                <w:bCs/>
                <w:kern w:val="2"/>
                <w:sz w:val="24"/>
                <w:szCs w:val="24"/>
                <w:lang w:val="en-US" w:eastAsia="zh-CN" w:bidi="ar-SA"/>
              </w:rPr>
            </w:pPr>
            <w:r>
              <w:rPr>
                <w:rFonts w:hint="eastAsia" w:ascii="Times New Roman" w:hAnsi="Times New Roman" w:cs="Times New Roman" w:eastAsiaTheme="minorEastAsia"/>
                <w:b w:val="0"/>
                <w:bCs/>
                <w:kern w:val="2"/>
                <w:sz w:val="24"/>
                <w:szCs w:val="24"/>
                <w:lang w:val="en-US" w:eastAsia="zh-CN" w:bidi="ar-SA"/>
              </w:rPr>
              <w:t>与环评一致。</w:t>
            </w:r>
          </w:p>
          <w:p>
            <w:pPr>
              <w:pStyle w:val="4"/>
              <w:spacing w:before="0" w:after="0" w:line="360" w:lineRule="auto"/>
              <w:ind w:firstLine="482" w:firstLineChars="200"/>
              <w:contextualSpacing/>
              <w:outlineLvl w:val="1"/>
              <w:rPr>
                <w:rFonts w:ascii="Times New Roman" w:hAnsi="Times New Roman" w:cs="Times New Roman"/>
                <w:sz w:val="24"/>
                <w:szCs w:val="24"/>
              </w:rPr>
            </w:pPr>
            <w:r>
              <w:rPr>
                <w:rFonts w:ascii="Times New Roman" w:hAnsi="Times New Roman" w:cs="Times New Roman"/>
                <w:sz w:val="24"/>
                <w:szCs w:val="24"/>
              </w:rPr>
              <w:t>（2）废水</w:t>
            </w:r>
            <w:bookmarkEnd w:id="2"/>
            <w:r>
              <w:rPr>
                <w:rFonts w:hint="eastAsia" w:ascii="Times New Roman" w:hAnsi="Times New Roman" w:cs="Times New Roman"/>
                <w:sz w:val="24"/>
                <w:szCs w:val="24"/>
              </w:rPr>
              <w:t>治理措施</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环评提出的措施：</w:t>
            </w:r>
          </w:p>
          <w:p>
            <w:pPr>
              <w:spacing w:line="360" w:lineRule="auto"/>
              <w:ind w:firstLine="480"/>
              <w:contextualSpacing/>
              <w:rPr>
                <w:rFonts w:ascii="Times New Roman" w:hAnsi="Times New Roman" w:cs="Times New Roman"/>
                <w:bCs/>
                <w:sz w:val="24"/>
              </w:rPr>
            </w:pPr>
            <w:r>
              <w:rPr>
                <w:rFonts w:hint="eastAsia" w:ascii="Times New Roman" w:hAnsi="Times New Roman" w:cs="Times New Roman"/>
                <w:bCs/>
                <w:sz w:val="24"/>
              </w:rPr>
              <w:t>食堂废水经隔油后同生活污水一起排入化粪池，经化粪池处理后通过园区市政污水管网排至乐至县城市生活污水处理厂。</w:t>
            </w:r>
          </w:p>
          <w:p>
            <w:pPr>
              <w:spacing w:line="360" w:lineRule="auto"/>
              <w:ind w:firstLine="480"/>
              <w:contextualSpacing/>
              <w:rPr>
                <w:rFonts w:ascii="Times New Roman" w:hAnsi="Times New Roman" w:cs="Times New Roman"/>
                <w:bCs/>
                <w:sz w:val="24"/>
                <w:u w:val="single"/>
              </w:rPr>
            </w:pPr>
            <w:r>
              <w:rPr>
                <w:rFonts w:hint="eastAsia" w:ascii="Times New Roman" w:hAnsi="Times New Roman" w:cs="Times New Roman"/>
                <w:bCs/>
                <w:sz w:val="24"/>
                <w:u w:val="single"/>
              </w:rPr>
              <w:t>验收实际措施：</w:t>
            </w:r>
          </w:p>
          <w:p>
            <w:pPr>
              <w:spacing w:line="360" w:lineRule="auto"/>
              <w:ind w:firstLine="480"/>
              <w:contextualSpacing/>
              <w:rPr>
                <w:rFonts w:ascii="Times New Roman" w:hAnsi="Times New Roman" w:cs="Times New Roman"/>
                <w:sz w:val="24"/>
              </w:rPr>
            </w:pPr>
            <w:r>
              <w:rPr>
                <w:rFonts w:hint="eastAsia" w:ascii="Times New Roman" w:hAnsi="Times New Roman" w:cs="Times New Roman"/>
                <w:bCs/>
                <w:sz w:val="24"/>
              </w:rPr>
              <w:t>与环评一致</w:t>
            </w:r>
            <w:r>
              <w:rPr>
                <w:rFonts w:hint="eastAsia" w:ascii="Times New Roman" w:hAnsi="Times New Roman" w:cs="Times New Roman"/>
                <w:sz w:val="24"/>
              </w:rPr>
              <w:t>。</w:t>
            </w:r>
          </w:p>
          <w:p>
            <w:pPr>
              <w:pStyle w:val="4"/>
              <w:spacing w:before="0" w:after="0" w:line="360" w:lineRule="auto"/>
              <w:ind w:firstLine="482" w:firstLineChars="200"/>
              <w:contextualSpacing/>
              <w:outlineLvl w:val="1"/>
              <w:rPr>
                <w:rFonts w:ascii="Times New Roman" w:hAnsi="Times New Roman" w:cs="Times New Roman"/>
                <w:sz w:val="24"/>
                <w:szCs w:val="24"/>
              </w:rPr>
            </w:pPr>
            <w:bookmarkStart w:id="3" w:name="_Toc1064"/>
            <w:r>
              <w:rPr>
                <w:rFonts w:ascii="Times New Roman" w:hAnsi="Times New Roman" w:cs="Times New Roman"/>
                <w:sz w:val="24"/>
                <w:szCs w:val="24"/>
              </w:rPr>
              <w:t>（3）噪声</w:t>
            </w:r>
            <w:bookmarkEnd w:id="3"/>
            <w:r>
              <w:rPr>
                <w:rFonts w:hint="eastAsia" w:ascii="Times New Roman" w:hAnsi="Times New Roman" w:cs="Times New Roman"/>
                <w:sz w:val="24"/>
                <w:szCs w:val="24"/>
              </w:rPr>
              <w:t>治理措施</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本项目产噪设备主要为各类机械产生的机械噪声。</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项目在实际生产过程中采取措施为：</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 xml:space="preserve">①合理布局：设备尽量远离厂房边界，并利用厂房墙体进行隔声； </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②选用低噪设备：充分选用先进的低噪设备，以从声源上降低设备本身噪声；</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③运营期加强设备维护，确保设备处于良好的运转状态，杜绝因设备不正常运转时产生的高噪声现象。</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④所有设备均位于室内，并采取减震处理，设备安装时采取台基减振、橡胶减震接头及减震垫等措施。</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⑤生产车间在生产过程中保持门窗紧闭，暂不使用的设备应立即关闭，运输车辆进入现场应减速，严禁鸣笛，避免在非正常时间进入现场；</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⑥加强管理：建立设备定期维护，保养管理制度，以防止设备故障形成的非正常生产噪声，杜绝因设备不正常运转时产生的高噪声现象，同时确保环保措施发挥最佳有效的功能。</w:t>
            </w:r>
          </w:p>
          <w:p>
            <w:pPr>
              <w:spacing w:line="360" w:lineRule="auto"/>
              <w:ind w:firstLine="480"/>
              <w:contextualSpacing/>
              <w:rPr>
                <w:rFonts w:hint="eastAsia" w:ascii="Times New Roman" w:hAnsi="Times New Roman" w:cs="Times New Roman"/>
                <w:bCs/>
                <w:sz w:val="24"/>
              </w:rPr>
            </w:pPr>
            <w:r>
              <w:rPr>
                <w:rFonts w:hint="eastAsia" w:ascii="Times New Roman" w:hAnsi="Times New Roman" w:cs="Times New Roman"/>
                <w:bCs/>
                <w:sz w:val="24"/>
              </w:rPr>
              <w:t>⑦设置空压机房：设置专门的空压机房，采取密闭等措施对空压机进行降噪。</w:t>
            </w:r>
          </w:p>
          <w:p>
            <w:pPr>
              <w:pStyle w:val="30"/>
              <w:spacing w:after="0" w:line="360" w:lineRule="auto"/>
              <w:ind w:firstLine="482"/>
              <w:contextualSpacing/>
              <w:rPr>
                <w:rFonts w:hint="eastAsia" w:ascii="Times New Roman" w:hAnsi="Times New Roman" w:cs="Times New Roman" w:eastAsiaTheme="minorEastAsia"/>
                <w:b/>
                <w:lang w:eastAsia="zh-CN"/>
              </w:rPr>
            </w:pPr>
            <w:r>
              <w:rPr>
                <w:rFonts w:hint="eastAsia" w:ascii="Times New Roman" w:hAnsi="Times New Roman" w:cs="Times New Roman"/>
                <w:b/>
              </w:rPr>
              <w:t>（4）固体废物治理措施</w:t>
            </w:r>
          </w:p>
          <w:p>
            <w:pPr>
              <w:spacing w:line="360" w:lineRule="auto"/>
              <w:ind w:firstLine="470" w:firstLineChars="196"/>
              <w:contextualSpacing/>
              <w:rPr>
                <w:rFonts w:ascii="Times New Roman" w:hAnsi="Times New Roman" w:cs="Times New Roman"/>
                <w:color w:val="000000"/>
                <w:sz w:val="24"/>
              </w:rPr>
            </w:pPr>
            <w:r>
              <w:rPr>
                <w:rFonts w:ascii="Times New Roman" w:hAnsi="Times New Roman" w:cs="Times New Roman"/>
                <w:color w:val="000000"/>
                <w:sz w:val="24"/>
              </w:rPr>
              <w:t>本项目运行后产生的固废</w:t>
            </w:r>
            <w:r>
              <w:rPr>
                <w:rFonts w:hint="eastAsia" w:ascii="Times New Roman" w:hAnsi="Times New Roman" w:cs="Times New Roman"/>
                <w:color w:val="000000"/>
                <w:sz w:val="24"/>
              </w:rPr>
              <w:t>分为一般固体废物和危险废物两类</w:t>
            </w:r>
            <w:r>
              <w:rPr>
                <w:rFonts w:ascii="Times New Roman" w:hAnsi="Times New Roman" w:cs="Times New Roman"/>
                <w:color w:val="000000"/>
                <w:sz w:val="24"/>
              </w:rPr>
              <w:t>。</w:t>
            </w:r>
          </w:p>
          <w:p>
            <w:pPr>
              <w:spacing w:line="360" w:lineRule="auto"/>
              <w:ind w:firstLine="472" w:firstLineChars="196"/>
              <w:contextualSpacing/>
              <w:rPr>
                <w:rFonts w:ascii="Times New Roman" w:hAnsi="Times New Roman" w:cs="Times New Roman"/>
                <w:b/>
                <w:bCs/>
                <w:color w:val="000000"/>
                <w:sz w:val="24"/>
              </w:rPr>
            </w:pPr>
            <w:r>
              <w:rPr>
                <w:rFonts w:hint="eastAsia" w:ascii="Times New Roman" w:hAnsi="Times New Roman" w:cs="Times New Roman"/>
                <w:b/>
                <w:bCs/>
                <w:color w:val="000000"/>
                <w:sz w:val="24"/>
              </w:rPr>
              <w:t>一般固废：</w:t>
            </w:r>
          </w:p>
          <w:p>
            <w:pPr>
              <w:spacing w:line="360" w:lineRule="auto"/>
              <w:ind w:firstLine="470" w:firstLineChars="196"/>
              <w:contextualSpacing/>
              <w:rPr>
                <w:rFonts w:hint="eastAsia" w:ascii="Times New Roman" w:hAnsi="Times New Roman" w:cs="Times New Roman"/>
                <w:bCs/>
                <w:color w:val="000000"/>
                <w:sz w:val="24"/>
              </w:rPr>
            </w:pPr>
            <w:r>
              <w:rPr>
                <w:rFonts w:hint="eastAsia" w:ascii="Times New Roman" w:hAnsi="Times New Roman" w:cs="Times New Roman"/>
                <w:bCs/>
                <w:color w:val="000000"/>
                <w:sz w:val="24"/>
              </w:rPr>
              <w:t>①生活垃圾：办公区内多处设置垃圾桶，由城市环卫部门统一处置。</w:t>
            </w:r>
          </w:p>
          <w:p>
            <w:pPr>
              <w:spacing w:line="360" w:lineRule="auto"/>
              <w:ind w:firstLine="470" w:firstLineChars="196"/>
              <w:contextualSpacing/>
              <w:rPr>
                <w:rFonts w:hint="eastAsia" w:ascii="Times New Roman" w:hAnsi="Times New Roman" w:cs="Times New Roman"/>
                <w:bCs/>
                <w:color w:val="000000"/>
                <w:sz w:val="24"/>
              </w:rPr>
            </w:pPr>
            <w:r>
              <w:rPr>
                <w:rFonts w:hint="eastAsia" w:ascii="Times New Roman" w:hAnsi="Times New Roman" w:cs="Times New Roman"/>
                <w:bCs/>
                <w:color w:val="000000"/>
                <w:sz w:val="24"/>
              </w:rPr>
              <w:t>②食堂食物残渣</w:t>
            </w:r>
            <w:r>
              <w:rPr>
                <w:rFonts w:hint="eastAsia" w:ascii="Times New Roman" w:hAnsi="Times New Roman" w:cs="Times New Roman"/>
                <w:bCs/>
                <w:color w:val="000000"/>
                <w:sz w:val="24"/>
                <w:lang w:eastAsia="zh-CN"/>
              </w:rPr>
              <w:t>、</w:t>
            </w:r>
            <w:r>
              <w:rPr>
                <w:rFonts w:hint="eastAsia" w:ascii="Times New Roman" w:hAnsi="Times New Roman" w:cs="Times New Roman"/>
                <w:bCs/>
                <w:color w:val="000000"/>
                <w:sz w:val="24"/>
              </w:rPr>
              <w:t>食堂隔油池潲水油</w:t>
            </w:r>
            <w:r>
              <w:rPr>
                <w:rFonts w:hint="eastAsia" w:ascii="Times New Roman" w:hAnsi="Times New Roman" w:cs="Times New Roman"/>
                <w:bCs/>
                <w:color w:val="000000"/>
                <w:sz w:val="24"/>
                <w:lang w:eastAsia="zh-CN"/>
              </w:rPr>
              <w:t>：</w:t>
            </w:r>
            <w:r>
              <w:rPr>
                <w:rFonts w:hint="eastAsia" w:ascii="Times New Roman" w:hAnsi="Times New Roman" w:cs="Times New Roman"/>
                <w:bCs/>
                <w:color w:val="000000"/>
                <w:sz w:val="24"/>
              </w:rPr>
              <w:t>单独收集，交由环保、卫生等相关部门授权的单位无害化处理。</w:t>
            </w:r>
          </w:p>
          <w:p>
            <w:pPr>
              <w:spacing w:line="360" w:lineRule="auto"/>
              <w:ind w:firstLine="470" w:firstLineChars="196"/>
              <w:contextualSpacing/>
              <w:rPr>
                <w:rFonts w:hint="eastAsia" w:ascii="Times New Roman" w:hAnsi="Times New Roman" w:cs="Times New Roman"/>
                <w:bCs/>
                <w:color w:val="000000"/>
                <w:sz w:val="24"/>
              </w:rPr>
            </w:pPr>
            <w:r>
              <w:rPr>
                <w:rFonts w:hint="eastAsia" w:ascii="Times New Roman" w:hAnsi="Times New Roman" w:cs="Times New Roman"/>
                <w:bCs/>
                <w:color w:val="000000"/>
                <w:sz w:val="24"/>
                <w:lang w:eastAsia="zh-CN"/>
              </w:rPr>
              <w:t>③</w:t>
            </w:r>
            <w:r>
              <w:rPr>
                <w:rFonts w:hint="eastAsia" w:ascii="Times New Roman" w:hAnsi="Times New Roman" w:cs="Times New Roman"/>
                <w:bCs/>
                <w:color w:val="000000"/>
                <w:sz w:val="24"/>
              </w:rPr>
              <w:t>不合格产品：由企业通过造粒机造粒后回用。</w:t>
            </w:r>
          </w:p>
          <w:p>
            <w:pPr>
              <w:spacing w:line="360" w:lineRule="auto"/>
              <w:ind w:firstLine="470" w:firstLineChars="196"/>
              <w:contextualSpacing/>
              <w:rPr>
                <w:rFonts w:ascii="Times New Roman" w:hAnsi="Times New Roman" w:cs="Times New Roman"/>
                <w:color w:val="000000"/>
                <w:sz w:val="24"/>
              </w:rPr>
            </w:pPr>
            <w:r>
              <w:rPr>
                <w:rFonts w:hint="eastAsia" w:ascii="Times New Roman" w:hAnsi="Times New Roman" w:cs="Times New Roman"/>
                <w:bCs/>
                <w:color w:val="000000"/>
                <w:sz w:val="24"/>
              </w:rPr>
              <w:t>④废包装材料：统一收集暂存后定期交由物资回收单位回收处理。</w:t>
            </w:r>
          </w:p>
          <w:p>
            <w:pPr>
              <w:spacing w:line="360" w:lineRule="auto"/>
              <w:ind w:firstLine="472" w:firstLineChars="196"/>
              <w:contextualSpacing/>
              <w:rPr>
                <w:rFonts w:ascii="Times New Roman" w:hAnsi="Times New Roman" w:cs="Times New Roman"/>
                <w:b/>
                <w:bCs/>
                <w:color w:val="000000"/>
                <w:sz w:val="24"/>
              </w:rPr>
            </w:pPr>
            <w:r>
              <w:rPr>
                <w:rFonts w:hint="eastAsia" w:ascii="Times New Roman" w:hAnsi="Times New Roman" w:cs="Times New Roman"/>
                <w:b/>
                <w:bCs/>
                <w:color w:val="000000"/>
                <w:sz w:val="24"/>
              </w:rPr>
              <w:t>危险固废：</w:t>
            </w:r>
          </w:p>
          <w:p>
            <w:pPr>
              <w:spacing w:line="360" w:lineRule="auto"/>
              <w:ind w:firstLine="470" w:firstLineChars="196"/>
              <w:contextualSpacing/>
              <w:rPr>
                <w:rFonts w:ascii="Times New Roman" w:hAnsi="Times New Roman" w:cs="Times New Roman"/>
                <w:color w:val="000000"/>
                <w:sz w:val="24"/>
              </w:rPr>
            </w:pPr>
            <w:r>
              <w:rPr>
                <w:rFonts w:hint="eastAsia" w:ascii="Times New Roman" w:hAnsi="Times New Roman" w:cs="Times New Roman"/>
                <w:bCs/>
                <w:color w:val="000000"/>
                <w:sz w:val="24"/>
              </w:rPr>
              <w:t>①</w:t>
            </w:r>
            <w:r>
              <w:rPr>
                <w:rFonts w:hint="eastAsia" w:ascii="Times New Roman" w:hAnsi="Times New Roman" w:cs="Times New Roman"/>
                <w:color w:val="000000"/>
                <w:sz w:val="24"/>
              </w:rPr>
              <w:t>废润滑油及废润滑油桶</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rPr>
              <w:t>废含油棉纱和手套</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rPr>
              <w:t>废活性炭：集中收集后暂存于危废暂存间内，定期交由有危废处理资质单位处置。</w:t>
            </w:r>
          </w:p>
          <w:p>
            <w:pPr>
              <w:widowControl/>
              <w:overflowPunct w:val="0"/>
              <w:topLinePunct/>
              <w:spacing w:line="360" w:lineRule="auto"/>
              <w:ind w:firstLine="480" w:firstLineChars="200"/>
              <w:contextualSpacing/>
              <w:rPr>
                <w:rFonts w:ascii="宋体" w:hAnsi="宋体" w:eastAsia="宋体" w:cs="宋体"/>
                <w:bCs/>
                <w:sz w:val="24"/>
              </w:rPr>
            </w:pPr>
            <w:r>
              <w:rPr>
                <w:rFonts w:hint="eastAsia" w:ascii="宋体" w:hAnsi="宋体" w:eastAsia="宋体" w:cs="宋体"/>
                <w:sz w:val="24"/>
              </w:rPr>
              <w:t>固废</w:t>
            </w:r>
            <w:r>
              <w:rPr>
                <w:rFonts w:ascii="宋体" w:hAnsi="宋体" w:eastAsia="宋体" w:cs="宋体"/>
                <w:sz w:val="24"/>
              </w:rPr>
              <w:t>处理措施对比表</w:t>
            </w:r>
            <w:r>
              <w:rPr>
                <w:rFonts w:hint="eastAsia" w:ascii="宋体" w:hAnsi="宋体" w:eastAsia="宋体" w:cs="宋体"/>
                <w:bCs/>
                <w:sz w:val="24"/>
              </w:rPr>
              <w:t>。</w:t>
            </w:r>
          </w:p>
          <w:p>
            <w:pPr>
              <w:spacing w:beforeLines="50"/>
              <w:ind w:firstLine="482" w:firstLineChars="200"/>
              <w:contextualSpacing/>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rPr>
              <w:t>2</w:t>
            </w:r>
            <w:r>
              <w:rPr>
                <w:rFonts w:hint="default" w:ascii="Times New Roman" w:hAnsi="Times New Roman" w:eastAsia="宋体" w:cs="Times New Roman"/>
                <w:b/>
                <w:bCs/>
                <w:sz w:val="24"/>
                <w:szCs w:val="24"/>
              </w:rPr>
              <w:t>-</w:t>
            </w:r>
            <w:r>
              <w:rPr>
                <w:rFonts w:hint="eastAsia" w:ascii="Times New Roman" w:hAnsi="Times New Roman" w:eastAsia="宋体" w:cs="Times New Roman"/>
                <w:b/>
                <w:bCs/>
                <w:sz w:val="24"/>
                <w:szCs w:val="24"/>
              </w:rPr>
              <w:t>1</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固体废物产生及处置措施</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026"/>
              <w:gridCol w:w="2011"/>
              <w:gridCol w:w="1602"/>
              <w:gridCol w:w="21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noWrap w:val="0"/>
                  <w:vAlign w:val="center"/>
                </w:tcPr>
                <w:p>
                  <w:pPr>
                    <w:pStyle w:val="70"/>
                  </w:pPr>
                  <w:r>
                    <w:t>类别</w:t>
                  </w:r>
                </w:p>
              </w:tc>
              <w:tc>
                <w:tcPr>
                  <w:tcW w:w="1164" w:type="pct"/>
                  <w:noWrap w:val="0"/>
                  <w:vAlign w:val="center"/>
                </w:tcPr>
                <w:p>
                  <w:pPr>
                    <w:pStyle w:val="70"/>
                  </w:pPr>
                  <w:r>
                    <w:t>项目</w:t>
                  </w:r>
                </w:p>
              </w:tc>
              <w:tc>
                <w:tcPr>
                  <w:tcW w:w="1155" w:type="pct"/>
                  <w:noWrap w:val="0"/>
                  <w:vAlign w:val="center"/>
                </w:tcPr>
                <w:p>
                  <w:pPr>
                    <w:pStyle w:val="70"/>
                  </w:pPr>
                  <w:r>
                    <w:t>废物识别</w:t>
                  </w:r>
                </w:p>
              </w:tc>
              <w:tc>
                <w:tcPr>
                  <w:tcW w:w="920" w:type="pct"/>
                  <w:noWrap w:val="0"/>
                  <w:vAlign w:val="center"/>
                </w:tcPr>
                <w:p>
                  <w:pPr>
                    <w:pStyle w:val="70"/>
                  </w:pPr>
                  <w:r>
                    <w:t>年产污量（t/a）</w:t>
                  </w:r>
                </w:p>
              </w:tc>
              <w:tc>
                <w:tcPr>
                  <w:tcW w:w="1237" w:type="pct"/>
                  <w:noWrap w:val="0"/>
                  <w:vAlign w:val="center"/>
                </w:tcPr>
                <w:p>
                  <w:pPr>
                    <w:pStyle w:val="70"/>
                  </w:pPr>
                  <w:r>
                    <w:t>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restart"/>
                  <w:noWrap w:val="0"/>
                  <w:vAlign w:val="center"/>
                </w:tcPr>
                <w:p>
                  <w:pPr>
                    <w:pStyle w:val="70"/>
                  </w:pPr>
                  <w:r>
                    <w:t>一般固体废物</w:t>
                  </w:r>
                </w:p>
              </w:tc>
              <w:tc>
                <w:tcPr>
                  <w:tcW w:w="1164" w:type="pct"/>
                  <w:noWrap w:val="0"/>
                  <w:vAlign w:val="center"/>
                </w:tcPr>
                <w:p>
                  <w:pPr>
                    <w:pStyle w:val="70"/>
                  </w:pPr>
                  <w:r>
                    <w:t>生活垃圾</w:t>
                  </w:r>
                </w:p>
              </w:tc>
              <w:tc>
                <w:tcPr>
                  <w:tcW w:w="1155" w:type="pct"/>
                  <w:noWrap w:val="0"/>
                  <w:vAlign w:val="center"/>
                </w:tcPr>
                <w:p>
                  <w:pPr>
                    <w:pStyle w:val="70"/>
                  </w:pPr>
                  <w:r>
                    <w:t>一般固废</w:t>
                  </w:r>
                </w:p>
              </w:tc>
              <w:tc>
                <w:tcPr>
                  <w:tcW w:w="920" w:type="pct"/>
                  <w:noWrap w:val="0"/>
                  <w:vAlign w:val="center"/>
                </w:tcPr>
                <w:p>
                  <w:pPr>
                    <w:pStyle w:val="70"/>
                  </w:pPr>
                  <w:r>
                    <w:rPr>
                      <w:rFonts w:hint="eastAsia"/>
                    </w:rPr>
                    <w:t>18</w:t>
                  </w:r>
                </w:p>
              </w:tc>
              <w:tc>
                <w:tcPr>
                  <w:tcW w:w="1237" w:type="pct"/>
                  <w:noWrap w:val="0"/>
                  <w:vAlign w:val="center"/>
                </w:tcPr>
                <w:p>
                  <w:pPr>
                    <w:pStyle w:val="70"/>
                  </w:pPr>
                  <w:r>
                    <w:t>由环卫部门定时清运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pPr>
                  <w:r>
                    <w:t>食堂食物残渣</w:t>
                  </w:r>
                </w:p>
              </w:tc>
              <w:tc>
                <w:tcPr>
                  <w:tcW w:w="1155" w:type="pct"/>
                  <w:noWrap w:val="0"/>
                  <w:vAlign w:val="center"/>
                </w:tcPr>
                <w:p>
                  <w:pPr>
                    <w:pStyle w:val="70"/>
                  </w:pPr>
                  <w:r>
                    <w:t>一般固废</w:t>
                  </w:r>
                </w:p>
              </w:tc>
              <w:tc>
                <w:tcPr>
                  <w:tcW w:w="920" w:type="pct"/>
                  <w:noWrap w:val="0"/>
                  <w:vAlign w:val="center"/>
                </w:tcPr>
                <w:p>
                  <w:pPr>
                    <w:pStyle w:val="70"/>
                  </w:pPr>
                  <w:r>
                    <w:rPr>
                      <w:rFonts w:hint="eastAsia"/>
                    </w:rPr>
                    <w:t>3.6</w:t>
                  </w:r>
                </w:p>
              </w:tc>
              <w:tc>
                <w:tcPr>
                  <w:tcW w:w="1237" w:type="pct"/>
                  <w:vMerge w:val="restart"/>
                  <w:noWrap w:val="0"/>
                  <w:vAlign w:val="center"/>
                </w:tcPr>
                <w:p>
                  <w:pPr>
                    <w:pStyle w:val="70"/>
                  </w:pPr>
                  <w:r>
                    <w:t>统一收集暂存后定期交由物资回收单位回收处理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pPr>
                  <w:r>
                    <w:t>食堂隔油池潲水油</w:t>
                  </w:r>
                </w:p>
              </w:tc>
              <w:tc>
                <w:tcPr>
                  <w:tcW w:w="1155" w:type="pct"/>
                  <w:noWrap w:val="0"/>
                  <w:vAlign w:val="center"/>
                </w:tcPr>
                <w:p>
                  <w:pPr>
                    <w:pStyle w:val="70"/>
                  </w:pPr>
                  <w:r>
                    <w:t>一般固废</w:t>
                  </w:r>
                </w:p>
              </w:tc>
              <w:tc>
                <w:tcPr>
                  <w:tcW w:w="920" w:type="pct"/>
                  <w:noWrap w:val="0"/>
                  <w:vAlign w:val="center"/>
                </w:tcPr>
                <w:p>
                  <w:pPr>
                    <w:pStyle w:val="70"/>
                  </w:pPr>
                  <w:r>
                    <w:rPr>
                      <w:rFonts w:hint="eastAsia"/>
                    </w:rPr>
                    <w:t>0.5</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废包装材料</w:t>
                  </w:r>
                </w:p>
              </w:tc>
              <w:tc>
                <w:tcPr>
                  <w:tcW w:w="1155"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一般固废</w:t>
                  </w:r>
                </w:p>
              </w:tc>
              <w:tc>
                <w:tcPr>
                  <w:tcW w:w="920" w:type="pct"/>
                  <w:noWrap w:val="0"/>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t>0.</w:t>
                  </w:r>
                  <w:r>
                    <w:rPr>
                      <w:rFonts w:hint="eastAsia"/>
                    </w:rPr>
                    <w:t>5</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不合格产品</w:t>
                  </w:r>
                </w:p>
              </w:tc>
              <w:tc>
                <w:tcPr>
                  <w:tcW w:w="1155"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一般固废</w:t>
                  </w:r>
                </w:p>
              </w:tc>
              <w:tc>
                <w:tcPr>
                  <w:tcW w:w="920" w:type="pct"/>
                  <w:noWrap w:val="0"/>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rPr>
                      <w:rFonts w:hint="eastAsia"/>
                    </w:rPr>
                    <w:t>3</w:t>
                  </w:r>
                </w:p>
              </w:tc>
              <w:tc>
                <w:tcPr>
                  <w:tcW w:w="1237" w:type="pct"/>
                  <w:noWrap w:val="0"/>
                  <w:vAlign w:val="center"/>
                </w:tcPr>
                <w:p>
                  <w:pPr>
                    <w:pStyle w:val="70"/>
                  </w:pPr>
                  <w:r>
                    <w:rPr>
                      <w:rFonts w:hint="eastAsia"/>
                    </w:rPr>
                    <w:t>回用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restart"/>
                  <w:noWrap w:val="0"/>
                  <w:vAlign w:val="center"/>
                </w:tcPr>
                <w:p>
                  <w:pPr>
                    <w:pStyle w:val="70"/>
                  </w:pPr>
                  <w:r>
                    <w:t>危险</w:t>
                  </w:r>
                </w:p>
                <w:p>
                  <w:pPr>
                    <w:pStyle w:val="70"/>
                  </w:pPr>
                  <w:r>
                    <w:t>废物</w:t>
                  </w:r>
                </w:p>
              </w:tc>
              <w:tc>
                <w:tcPr>
                  <w:tcW w:w="1164" w:type="pct"/>
                  <w:noWrap w:val="0"/>
                  <w:vAlign w:val="center"/>
                </w:tcPr>
                <w:p>
                  <w:pPr>
                    <w:pStyle w:val="70"/>
                    <w:rPr>
                      <w:rFonts w:hint="eastAsia"/>
                    </w:rPr>
                  </w:pPr>
                  <w:r>
                    <w:t>废</w:t>
                  </w:r>
                  <w:r>
                    <w:rPr>
                      <w:rFonts w:hint="eastAsia"/>
                    </w:rPr>
                    <w:t>润滑油</w:t>
                  </w:r>
                </w:p>
              </w:tc>
              <w:tc>
                <w:tcPr>
                  <w:tcW w:w="1155" w:type="pct"/>
                  <w:noWrap w:val="0"/>
                  <w:vAlign w:val="center"/>
                </w:tcPr>
                <w:p>
                  <w:pPr>
                    <w:pStyle w:val="70"/>
                  </w:pPr>
                  <w:r>
                    <w:t>HW08-900-249-08</w:t>
                  </w:r>
                </w:p>
              </w:tc>
              <w:tc>
                <w:tcPr>
                  <w:tcW w:w="920" w:type="pct"/>
                  <w:noWrap w:val="0"/>
                  <w:vAlign w:val="center"/>
                </w:tcPr>
                <w:p>
                  <w:pPr>
                    <w:pStyle w:val="70"/>
                  </w:pPr>
                  <w:r>
                    <w:t>0.1</w:t>
                  </w:r>
                </w:p>
              </w:tc>
              <w:tc>
                <w:tcPr>
                  <w:tcW w:w="1237" w:type="pct"/>
                  <w:vMerge w:val="restart"/>
                  <w:noWrap w:val="0"/>
                  <w:vAlign w:val="center"/>
                </w:tcPr>
                <w:p>
                  <w:pPr>
                    <w:pStyle w:val="70"/>
                  </w:pPr>
                  <w:r>
                    <w:t>收集于危废暂存间暂存后交由有资质单位处理；签订协议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pPr>
                  <w:r>
                    <w:t>含油手套、抹布</w:t>
                  </w:r>
                </w:p>
              </w:tc>
              <w:tc>
                <w:tcPr>
                  <w:tcW w:w="1155" w:type="pct"/>
                  <w:noWrap w:val="0"/>
                  <w:vAlign w:val="center"/>
                </w:tcPr>
                <w:p>
                  <w:pPr>
                    <w:pStyle w:val="70"/>
                  </w:pPr>
                  <w:r>
                    <w:t>HW49-900-041-49</w:t>
                  </w:r>
                </w:p>
              </w:tc>
              <w:tc>
                <w:tcPr>
                  <w:tcW w:w="920" w:type="pct"/>
                  <w:noWrap w:val="0"/>
                  <w:vAlign w:val="center"/>
                </w:tcPr>
                <w:p>
                  <w:pPr>
                    <w:pStyle w:val="70"/>
                  </w:pPr>
                  <w:r>
                    <w:t>0.01</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pPr>
                  <w:r>
                    <w:t>废</w:t>
                  </w:r>
                  <w:r>
                    <w:rPr>
                      <w:rFonts w:hint="eastAsia"/>
                    </w:rPr>
                    <w:t>润滑</w:t>
                  </w:r>
                  <w:r>
                    <w:t>油桶</w:t>
                  </w:r>
                </w:p>
              </w:tc>
              <w:tc>
                <w:tcPr>
                  <w:tcW w:w="1155" w:type="pct"/>
                  <w:noWrap w:val="0"/>
                  <w:vAlign w:val="center"/>
                </w:tcPr>
                <w:p>
                  <w:pPr>
                    <w:pStyle w:val="70"/>
                  </w:pPr>
                  <w:r>
                    <w:t>HW49-900-041-49</w:t>
                  </w:r>
                </w:p>
              </w:tc>
              <w:tc>
                <w:tcPr>
                  <w:tcW w:w="920" w:type="pct"/>
                  <w:noWrap w:val="0"/>
                  <w:vAlign w:val="center"/>
                </w:tcPr>
                <w:p>
                  <w:pPr>
                    <w:pStyle w:val="70"/>
                  </w:pPr>
                  <w:r>
                    <w:t>0.01</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2" w:type="pct"/>
                  <w:vMerge w:val="continue"/>
                  <w:noWrap w:val="0"/>
                  <w:vAlign w:val="center"/>
                </w:tcPr>
                <w:p>
                  <w:pPr>
                    <w:pStyle w:val="70"/>
                  </w:pPr>
                </w:p>
              </w:tc>
              <w:tc>
                <w:tcPr>
                  <w:tcW w:w="1164" w:type="pct"/>
                  <w:noWrap w:val="0"/>
                  <w:vAlign w:val="center"/>
                </w:tcPr>
                <w:p>
                  <w:pPr>
                    <w:pStyle w:val="70"/>
                  </w:pPr>
                  <w:r>
                    <w:t>废活性炭</w:t>
                  </w:r>
                </w:p>
              </w:tc>
              <w:tc>
                <w:tcPr>
                  <w:tcW w:w="1155" w:type="pct"/>
                  <w:noWrap w:val="0"/>
                  <w:vAlign w:val="center"/>
                </w:tcPr>
                <w:p>
                  <w:pPr>
                    <w:pStyle w:val="70"/>
                  </w:pPr>
                  <w:r>
                    <w:t>HW49-900-041-49</w:t>
                  </w:r>
                </w:p>
              </w:tc>
              <w:tc>
                <w:tcPr>
                  <w:tcW w:w="920" w:type="pct"/>
                  <w:noWrap w:val="0"/>
                  <w:vAlign w:val="center"/>
                </w:tcPr>
                <w:p>
                  <w:pPr>
                    <w:pStyle w:val="70"/>
                    <w:rPr>
                      <w:rFonts w:hint="default" w:eastAsiaTheme="minorEastAsia"/>
                      <w:lang w:val="en-US" w:eastAsia="zh-CN"/>
                    </w:rPr>
                  </w:pPr>
                  <w:r>
                    <w:rPr>
                      <w:rFonts w:hint="eastAsia"/>
                      <w:lang w:val="en-US" w:eastAsia="zh-CN"/>
                    </w:rPr>
                    <w:t>60</w:t>
                  </w:r>
                </w:p>
              </w:tc>
              <w:tc>
                <w:tcPr>
                  <w:tcW w:w="1237" w:type="pct"/>
                  <w:vMerge w:val="continue"/>
                  <w:noWrap w:val="0"/>
                  <w:vAlign w:val="center"/>
                </w:tcPr>
                <w:p>
                  <w:pPr>
                    <w:pStyle w:val="70"/>
                  </w:pPr>
                </w:p>
              </w:tc>
            </w:tr>
          </w:tbl>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Times New Roman" w:hAnsi="Times New Roman" w:cs="Times New Roman" w:eastAsiaTheme="minorEastAsia"/>
                <w:b/>
                <w:kern w:val="2"/>
                <w:sz w:val="24"/>
                <w:szCs w:val="24"/>
                <w:lang w:val="en-US" w:eastAsia="zh-CN" w:bidi="ar-SA"/>
              </w:rPr>
            </w:pPr>
            <w:r>
              <w:rPr>
                <w:rFonts w:hint="eastAsia" w:ascii="Times New Roman" w:hAnsi="Times New Roman" w:cs="Times New Roman" w:eastAsiaTheme="minorEastAsia"/>
                <w:b/>
                <w:kern w:val="2"/>
                <w:sz w:val="24"/>
                <w:szCs w:val="24"/>
                <w:lang w:val="en-US" w:eastAsia="zh-CN" w:bidi="ar-SA"/>
              </w:rPr>
              <w:t>土壤及地下水防治措施</w:t>
            </w:r>
          </w:p>
          <w:p>
            <w:pPr>
              <w:spacing w:line="360" w:lineRule="auto"/>
              <w:ind w:firstLine="470" w:firstLineChars="196"/>
              <w:contextualSpacing/>
              <w:rPr>
                <w:rFonts w:hint="eastAsia" w:ascii="Times New Roman" w:hAnsi="Times New Roman" w:cs="Times New Roman"/>
                <w:color w:val="000000"/>
                <w:sz w:val="24"/>
              </w:rPr>
            </w:pPr>
            <w:r>
              <w:rPr>
                <w:rFonts w:hint="eastAsia" w:ascii="Times New Roman" w:hAnsi="Times New Roman" w:cs="Times New Roman"/>
                <w:color w:val="000000"/>
                <w:sz w:val="24"/>
              </w:rPr>
              <w:t>本项目危险废物暂存间、化粪池、隔油池为重点防渗区，生产车间除危废暂存间以外的区域为一般防渗区，除生产车间、化粪池、隔油池以外的区域为简单防渗区。</w:t>
            </w:r>
          </w:p>
          <w:p>
            <w:pPr>
              <w:spacing w:line="360" w:lineRule="auto"/>
              <w:ind w:firstLine="470" w:firstLineChars="196"/>
              <w:contextualSpacing/>
              <w:rPr>
                <w:rFonts w:hint="eastAsia" w:ascii="Times New Roman" w:hAnsi="Times New Roman" w:cs="Times New Roman"/>
                <w:color w:val="000000"/>
                <w:sz w:val="24"/>
              </w:rPr>
            </w:pPr>
            <w:r>
              <w:rPr>
                <w:rFonts w:hint="eastAsia" w:ascii="Times New Roman" w:hAnsi="Times New Roman" w:cs="Times New Roman"/>
                <w:color w:val="000000"/>
                <w:sz w:val="24"/>
              </w:rPr>
              <w:t>重点防渗区：防渗要求为防渗层为2mm厚高密度聚乙烯膜或2mm厚其他人工材料，等效黏土防渗层Mb≥6.0m，防渗技术要求为K≤10-10cm/s。</w:t>
            </w:r>
          </w:p>
          <w:p>
            <w:pPr>
              <w:spacing w:line="360" w:lineRule="auto"/>
              <w:ind w:firstLine="470" w:firstLineChars="196"/>
              <w:contextualSpacing/>
              <w:rPr>
                <w:rFonts w:hint="eastAsia" w:ascii="Times New Roman" w:hAnsi="Times New Roman" w:cs="Times New Roman"/>
                <w:color w:val="000000"/>
                <w:sz w:val="24"/>
              </w:rPr>
            </w:pPr>
            <w:r>
              <w:rPr>
                <w:rFonts w:hint="eastAsia" w:ascii="Times New Roman" w:hAnsi="Times New Roman" w:cs="Times New Roman"/>
                <w:color w:val="000000"/>
                <w:sz w:val="24"/>
              </w:rPr>
              <w:t>一般防渗区：生产车间、通道等防渗层采用抗渗混凝土，防渗性能应相当于渗透系数1.0×10-7cm/s和厚度1.5m的粘土层的防渗性能。</w:t>
            </w:r>
          </w:p>
          <w:p>
            <w:pPr>
              <w:spacing w:line="360" w:lineRule="auto"/>
              <w:ind w:firstLine="470" w:firstLineChars="196"/>
              <w:contextualSpacing/>
              <w:rPr>
                <w:rFonts w:hint="eastAsia" w:ascii="Times New Roman" w:hAnsi="Times New Roman" w:cs="Times New Roman"/>
                <w:color w:val="000000"/>
                <w:sz w:val="24"/>
              </w:rPr>
            </w:pPr>
            <w:r>
              <w:rPr>
                <w:rFonts w:hint="eastAsia" w:ascii="Times New Roman" w:hAnsi="Times New Roman" w:cs="Times New Roman"/>
                <w:color w:val="000000"/>
                <w:sz w:val="24"/>
              </w:rPr>
              <w:t>简单防渗区：办公区进行一般地面硬化。</w:t>
            </w:r>
          </w:p>
          <w:p>
            <w:pPr>
              <w:spacing w:line="360" w:lineRule="auto"/>
              <w:contextualSpacing/>
              <w:rPr>
                <w:rFonts w:hint="eastAsia" w:ascii="Times New Roman" w:hAnsi="Times New Roman" w:eastAsia="宋体" w:cs="Times New Roman"/>
                <w:b/>
                <w:bCs/>
                <w:spacing w:val="4"/>
                <w:sz w:val="24"/>
                <w:lang w:eastAsia="zh-CN"/>
              </w:rPr>
            </w:pPr>
            <w:r>
              <w:rPr>
                <w:rFonts w:hint="eastAsia" w:ascii="Times New Roman" w:hAnsi="Times New Roman" w:eastAsia="宋体" w:cs="Times New Roman"/>
                <w:b/>
                <w:bCs/>
                <w:spacing w:val="4"/>
                <w:sz w:val="24"/>
                <w:lang w:eastAsia="zh-CN"/>
              </w:rPr>
              <w:t>三、污染源及处理设施对照表</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该项目污染源及处理设施对照见表2-</w:t>
            </w:r>
            <w:r>
              <w:rPr>
                <w:rFonts w:hint="eastAsia" w:ascii="Times New Roman" w:hAnsi="Times New Roman" w:cs="Times New Roman"/>
                <w:sz w:val="24"/>
                <w:lang w:val="en-US" w:eastAsia="zh-CN"/>
              </w:rPr>
              <w:t>3</w:t>
            </w:r>
            <w:r>
              <w:rPr>
                <w:rFonts w:ascii="Times New Roman" w:hAnsi="Times New Roman" w:cs="Times New Roman"/>
                <w:sz w:val="24"/>
              </w:rPr>
              <w:t>。</w:t>
            </w:r>
          </w:p>
          <w:p>
            <w:pPr>
              <w:spacing w:beforeLines="50"/>
              <w:ind w:firstLine="482" w:firstLineChars="200"/>
              <w:contextualSpacing/>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表2-</w:t>
            </w: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rPr>
              <w:t>污染源及处理设施对照表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801"/>
              <w:gridCol w:w="1719"/>
              <w:gridCol w:w="3075"/>
              <w:gridCol w:w="310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污染</w:t>
                  </w:r>
                </w:p>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类型</w:t>
                  </w:r>
                </w:p>
              </w:tc>
              <w:tc>
                <w:tcPr>
                  <w:tcW w:w="1719"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污染物</w:t>
                  </w:r>
                </w:p>
              </w:tc>
              <w:tc>
                <w:tcPr>
                  <w:tcW w:w="6181" w:type="dxa"/>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环保措施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p>
              </w:tc>
              <w:tc>
                <w:tcPr>
                  <w:tcW w:w="1719"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p>
              </w:tc>
              <w:tc>
                <w:tcPr>
                  <w:tcW w:w="307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环评设计</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b/>
                      <w:sz w:val="21"/>
                      <w:szCs w:val="21"/>
                    </w:rPr>
                  </w:pPr>
                  <w:r>
                    <w:rPr>
                      <w:rFonts w:hint="default" w:ascii="Times New Roman" w:hAnsi="Times New Roman" w:cs="Times New Roman"/>
                      <w:b/>
                      <w:sz w:val="21"/>
                      <w:szCs w:val="21"/>
                    </w:rPr>
                    <w:t>实际建设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水污染物</w:t>
                  </w:r>
                </w:p>
              </w:tc>
              <w:tc>
                <w:tcPr>
                  <w:tcW w:w="1719" w:type="dxa"/>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rPr>
                      <w:rFonts w:hint="eastAsia"/>
                    </w:rPr>
                    <w:t>员工</w:t>
                  </w:r>
                  <w:r>
                    <w:t>生活废水</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rPr>
                      <w:rFonts w:hint="eastAsia"/>
                    </w:rPr>
                    <w:t>食堂</w:t>
                  </w:r>
                  <w:r>
                    <w:t>废水经隔油池隔油处理后与生活污水一</w:t>
                  </w:r>
                  <w:r>
                    <w:rPr>
                      <w:rFonts w:hint="eastAsia"/>
                    </w:rPr>
                    <w:t>起</w:t>
                  </w:r>
                  <w:r>
                    <w:t>经化粪池处理</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废气污染物</w:t>
                  </w:r>
                </w:p>
              </w:tc>
              <w:tc>
                <w:tcPr>
                  <w:tcW w:w="1719" w:type="dxa"/>
                  <w:tcBorders>
                    <w:tl2br w:val="nil"/>
                    <w:tr2bl w:val="nil"/>
                  </w:tcBorders>
                  <w:shd w:val="clear" w:color="auto" w:fill="auto"/>
                  <w:vAlign w:val="center"/>
                </w:tcPr>
                <w:p>
                  <w:pPr>
                    <w:pStyle w:val="70"/>
                    <w:ind w:firstLine="0" w:firstLineChars="0"/>
                    <w:rPr>
                      <w:rFonts w:hint="default" w:ascii="Times New Roman" w:hAnsi="Times New Roman" w:cs="Times New Roman"/>
                      <w:bCs/>
                      <w:kern w:val="0"/>
                      <w:sz w:val="21"/>
                      <w:szCs w:val="21"/>
                    </w:rPr>
                  </w:pPr>
                  <w:r>
                    <w:rPr>
                      <w:rFonts w:hint="eastAsia"/>
                    </w:rPr>
                    <w:t>有机废气</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cs="Times New Roman"/>
                      <w:bCs/>
                      <w:kern w:val="0"/>
                      <w:sz w:val="21"/>
                      <w:szCs w:val="21"/>
                      <w:lang w:val="en-US" w:eastAsia="zh-CN"/>
                    </w:rPr>
                  </w:pPr>
                  <w:r>
                    <w:t>集气罩+</w:t>
                  </w:r>
                  <w:r>
                    <w:rPr>
                      <w:rFonts w:hint="eastAsia"/>
                    </w:rPr>
                    <w:t>二级活性炭</w:t>
                  </w:r>
                  <w:r>
                    <w:t>吸附设备</w:t>
                  </w:r>
                  <w:r>
                    <w:rPr>
                      <w:rFonts w:hint="eastAsia"/>
                    </w:rPr>
                    <w:t>+</w:t>
                  </w:r>
                  <w:r>
                    <w:t>15m高排气筒排放</w:t>
                  </w:r>
                </w:p>
              </w:tc>
              <w:tc>
                <w:tcPr>
                  <w:tcW w:w="3106" w:type="dxa"/>
                  <w:tcBorders>
                    <w:tl2br w:val="nil"/>
                    <w:tr2bl w:val="nil"/>
                  </w:tcBorders>
                  <w:shd w:val="clear" w:color="auto" w:fill="auto"/>
                  <w:vAlign w:val="center"/>
                </w:tcPr>
                <w:p>
                  <w:pPr>
                    <w:pStyle w:val="70"/>
                    <w:ind w:firstLine="0" w:firstLineChars="0"/>
                    <w:jc w:val="left"/>
                    <w:rPr>
                      <w:rFonts w:hint="eastAsia"/>
                      <w:szCs w:val="21"/>
                      <w:lang w:eastAsia="zh-CN"/>
                    </w:rPr>
                  </w:pPr>
                  <w:r>
                    <w:rPr>
                      <w:rFonts w:hint="eastAsia"/>
                      <w:lang w:eastAsia="zh-CN"/>
                    </w:rPr>
                    <w:t>印刷</w:t>
                  </w:r>
                  <w:r>
                    <w:rPr>
                      <w:rFonts w:hint="eastAsia"/>
                    </w:rPr>
                    <w:t>、</w:t>
                  </w:r>
                  <w:r>
                    <w:t>吹膜</w:t>
                  </w:r>
                  <w:r>
                    <w:rPr>
                      <w:rFonts w:hint="eastAsia"/>
                    </w:rPr>
                    <w:t>有机废气：</w:t>
                  </w:r>
                  <w:r>
                    <w:rPr>
                      <w:szCs w:val="21"/>
                    </w:rPr>
                    <w:t>集气罩+</w:t>
                  </w:r>
                  <w:r>
                    <w:rPr>
                      <w:rFonts w:hint="eastAsia"/>
                      <w:szCs w:val="21"/>
                    </w:rPr>
                    <w:t>活性炭</w:t>
                  </w:r>
                  <w:r>
                    <w:rPr>
                      <w:szCs w:val="21"/>
                    </w:rPr>
                    <w:t>吸附设备</w:t>
                  </w:r>
                  <w:r>
                    <w:rPr>
                      <w:rFonts w:hint="eastAsia"/>
                      <w:szCs w:val="21"/>
                    </w:rPr>
                    <w:t>+</w:t>
                  </w:r>
                  <w:r>
                    <w:rPr>
                      <w:szCs w:val="21"/>
                    </w:rPr>
                    <w:t>15m高排气筒排放</w:t>
                  </w:r>
                  <w:r>
                    <w:rPr>
                      <w:rFonts w:hint="eastAsia"/>
                      <w:szCs w:val="21"/>
                      <w:lang w:eastAsia="zh-CN"/>
                    </w:rPr>
                    <w:t>；</w:t>
                  </w:r>
                </w:p>
                <w:p>
                  <w:pPr>
                    <w:pStyle w:val="70"/>
                    <w:ind w:firstLine="0" w:firstLineChars="0"/>
                    <w:jc w:val="left"/>
                    <w:rPr>
                      <w:rFonts w:hint="default" w:ascii="Times New Roman" w:hAnsi="Times New Roman" w:cs="Times New Roman" w:eastAsiaTheme="minorEastAsia"/>
                      <w:kern w:val="0"/>
                      <w:sz w:val="21"/>
                      <w:szCs w:val="21"/>
                      <w:highlight w:val="yellow"/>
                      <w:lang w:val="en-US" w:eastAsia="zh-CN" w:bidi="ar-SA"/>
                    </w:rPr>
                  </w:pPr>
                  <w:r>
                    <w:rPr>
                      <w:rFonts w:hint="eastAsia"/>
                      <w:lang w:eastAsia="zh-CN"/>
                    </w:rPr>
                    <w:t>造粒有机废气：集气罩</w:t>
                  </w:r>
                  <w:r>
                    <w:rPr>
                      <w:rFonts w:hint="eastAsia"/>
                      <w:lang w:val="en-US" w:eastAsia="zh-CN"/>
                    </w:rPr>
                    <w:t>+三级活性炭吸附设备+15m高排气筒排放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p>
              </w:tc>
              <w:tc>
                <w:tcPr>
                  <w:tcW w:w="1719" w:type="dxa"/>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rPr>
                      <w:rFonts w:hint="eastAsia"/>
                    </w:rPr>
                    <w:t>食堂油烟</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cs="Times New Roman" w:eastAsiaTheme="minorEastAsia"/>
                      <w:bCs/>
                      <w:kern w:val="0"/>
                      <w:sz w:val="21"/>
                      <w:szCs w:val="21"/>
                      <w:lang w:val="en-US" w:eastAsia="zh-CN" w:bidi="ar-SA"/>
                    </w:rPr>
                  </w:pPr>
                  <w:r>
                    <w:rPr>
                      <w:rFonts w:hint="eastAsia"/>
                    </w:rPr>
                    <w:t>油烟净化器处理+8m高排气筒</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eastAsia" w:ascii="Times New Roman" w:hAnsi="Times New Roman" w:cs="Times New Roman" w:eastAsiaTheme="minorEastAsia"/>
                      <w:kern w:val="2"/>
                      <w:sz w:val="21"/>
                      <w:szCs w:val="21"/>
                      <w:lang w:val="en-US" w:eastAsia="zh-CN" w:bidi="ar-SA"/>
                    </w:rPr>
                  </w:pPr>
                  <w:r>
                    <w:rPr>
                      <w:rFonts w:hint="eastAsia"/>
                    </w:rPr>
                    <w:t>油烟净化器处理+</w:t>
                  </w:r>
                  <w:r>
                    <w:rPr>
                      <w:rFonts w:hint="eastAsia"/>
                      <w:lang w:val="en-US" w:eastAsia="zh-CN"/>
                    </w:rPr>
                    <w:t>15</w:t>
                  </w:r>
                  <w:r>
                    <w:rPr>
                      <w:rFonts w:hint="eastAsia"/>
                    </w:rPr>
                    <w:t>m高排气筒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rPr>
                      <w:lang w:bidi="ar"/>
                    </w:rPr>
                    <w:t>噪声</w:t>
                  </w:r>
                </w:p>
              </w:tc>
              <w:tc>
                <w:tcPr>
                  <w:tcW w:w="1719" w:type="dxa"/>
                  <w:tcBorders>
                    <w:tl2br w:val="nil"/>
                    <w:tr2bl w:val="nil"/>
                  </w:tcBorders>
                  <w:shd w:val="clear" w:color="auto" w:fill="auto"/>
                  <w:vAlign w:val="center"/>
                </w:tcPr>
                <w:p>
                  <w:pPr>
                    <w:pStyle w:val="70"/>
                    <w:ind w:firstLine="0" w:firstLineChars="0"/>
                    <w:rPr>
                      <w:rFonts w:hint="eastAsia" w:ascii="Times New Roman" w:hAnsi="Times New Roman" w:cs="Times New Roman" w:eastAsiaTheme="minorEastAsia"/>
                      <w:kern w:val="0"/>
                      <w:sz w:val="21"/>
                      <w:szCs w:val="21"/>
                      <w:lang w:eastAsia="zh-CN"/>
                    </w:rPr>
                  </w:pPr>
                  <w:r>
                    <w:rPr>
                      <w:rFonts w:hint="eastAsia" w:ascii="Times New Roman" w:hAnsi="Times New Roman" w:cs="Times New Roman"/>
                      <w:kern w:val="0"/>
                      <w:sz w:val="21"/>
                      <w:szCs w:val="21"/>
                      <w:lang w:eastAsia="zh-CN"/>
                    </w:rPr>
                    <w:t>设备噪声</w:t>
                  </w:r>
                </w:p>
              </w:tc>
              <w:tc>
                <w:tcPr>
                  <w:tcW w:w="3075" w:type="dxa"/>
                  <w:tcBorders>
                    <w:tl2br w:val="nil"/>
                    <w:tr2bl w:val="nil"/>
                  </w:tcBorders>
                  <w:shd w:val="clear" w:color="auto" w:fill="auto"/>
                  <w:vAlign w:val="center"/>
                </w:tcPr>
                <w:p>
                  <w:pPr>
                    <w:pStyle w:val="70"/>
                    <w:ind w:firstLine="0" w:firstLineChars="0"/>
                  </w:pPr>
                  <w:r>
                    <w:t>选用低噪声设备、设备减震、合理布局、建筑隔声等</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eastAsia="zh-CN"/>
                    </w:rPr>
                    <w:t>一般</w:t>
                  </w:r>
                  <w:r>
                    <w:rPr>
                      <w:rFonts w:hint="default" w:ascii="Times New Roman" w:hAnsi="Times New Roman" w:cs="Times New Roman"/>
                      <w:sz w:val="21"/>
                      <w:szCs w:val="21"/>
                    </w:rPr>
                    <w:t>固废</w:t>
                  </w:r>
                </w:p>
              </w:tc>
              <w:tc>
                <w:tcPr>
                  <w:tcW w:w="1719" w:type="dxa"/>
                  <w:tcBorders>
                    <w:tl2br w:val="nil"/>
                    <w:tr2bl w:val="nil"/>
                  </w:tcBorders>
                  <w:shd w:val="clear" w:color="auto" w:fill="auto"/>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t>生活垃圾</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eastAsia="宋体" w:cs="Times New Roman"/>
                      <w:sz w:val="21"/>
                      <w:szCs w:val="21"/>
                    </w:rPr>
                  </w:pPr>
                  <w:r>
                    <w:t>环卫部门统一清运处理</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p>
              </w:tc>
              <w:tc>
                <w:tcPr>
                  <w:tcW w:w="1719" w:type="dxa"/>
                  <w:tcBorders>
                    <w:tl2br w:val="nil"/>
                    <w:tr2bl w:val="nil"/>
                  </w:tcBorders>
                  <w:shd w:val="clear" w:color="auto" w:fill="auto"/>
                  <w:vAlign w:val="center"/>
                </w:tcPr>
                <w:p>
                  <w:pPr>
                    <w:pStyle w:val="70"/>
                    <w:ind w:firstLine="0" w:firstLineChars="0"/>
                    <w:rPr>
                      <w:rFonts w:hint="default" w:asciiTheme="minorHAnsi" w:hAnsiTheme="minorHAnsi" w:eastAsiaTheme="minorEastAsia" w:cstheme="minorBidi"/>
                      <w:kern w:val="2"/>
                      <w:sz w:val="21"/>
                      <w:szCs w:val="21"/>
                      <w:lang w:val="en-US" w:eastAsia="zh-CN" w:bidi="ar-SA"/>
                    </w:rPr>
                  </w:pPr>
                  <w:r>
                    <w:t>食堂食物残渣</w:t>
                  </w:r>
                  <w:r>
                    <w:rPr>
                      <w:rFonts w:hint="eastAsia"/>
                    </w:rPr>
                    <w:t>及</w:t>
                  </w:r>
                  <w:r>
                    <w:t>食堂隔油池潲水油</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t>交由环保、卫生等相关部门授权的单位无害化处理</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p>
              </w:tc>
              <w:tc>
                <w:tcPr>
                  <w:tcW w:w="1719" w:type="dxa"/>
                  <w:tcBorders>
                    <w:tl2br w:val="nil"/>
                    <w:tr2bl w:val="nil"/>
                  </w:tcBorders>
                  <w:shd w:val="clear" w:color="auto" w:fill="auto"/>
                  <w:vAlign w:val="center"/>
                </w:tcPr>
                <w:p>
                  <w:pPr>
                    <w:pStyle w:val="70"/>
                    <w:ind w:firstLine="0" w:firstLineChars="0"/>
                    <w:rPr>
                      <w:rFonts w:hint="default" w:ascii="Times New Roman" w:hAnsi="Times New Roman" w:eastAsia="宋体" w:cs="Times New Roman"/>
                      <w:sz w:val="21"/>
                      <w:szCs w:val="21"/>
                    </w:rPr>
                  </w:pPr>
                  <w:r>
                    <w:t>废包装材料</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eastAsia="宋体" w:cs="Times New Roman"/>
                      <w:sz w:val="21"/>
                      <w:szCs w:val="21"/>
                    </w:rPr>
                  </w:pPr>
                  <w:r>
                    <w:t>交废品收购站收购</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p>
              </w:tc>
              <w:tc>
                <w:tcPr>
                  <w:tcW w:w="1719" w:type="dxa"/>
                  <w:tcBorders>
                    <w:tl2br w:val="nil"/>
                    <w:tr2bl w:val="nil"/>
                  </w:tcBorders>
                  <w:shd w:val="clear" w:color="auto" w:fill="auto"/>
                  <w:vAlign w:val="center"/>
                </w:tcPr>
                <w:p>
                  <w:pPr>
                    <w:pStyle w:val="70"/>
                    <w:ind w:firstLine="0" w:firstLineChars="0"/>
                    <w:rPr>
                      <w:rFonts w:hint="eastAsia" w:hAnsi="宋体"/>
                      <w:szCs w:val="21"/>
                    </w:rPr>
                  </w:pPr>
                  <w:r>
                    <w:t>不合格产品</w:t>
                  </w:r>
                </w:p>
              </w:tc>
              <w:tc>
                <w:tcPr>
                  <w:tcW w:w="3075" w:type="dxa"/>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rPr>
                      <w:rFonts w:hint="eastAsia"/>
                    </w:rPr>
                    <w:t>建设单位回用</w:t>
                  </w:r>
                </w:p>
              </w:tc>
              <w:tc>
                <w:tcPr>
                  <w:tcW w:w="3106"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t>危险废物</w:t>
                  </w:r>
                </w:p>
              </w:tc>
              <w:tc>
                <w:tcPr>
                  <w:tcW w:w="1719" w:type="dxa"/>
                  <w:tcBorders>
                    <w:tl2br w:val="nil"/>
                    <w:tr2bl w:val="nil"/>
                  </w:tcBorders>
                  <w:shd w:val="clear" w:color="auto" w:fill="auto"/>
                  <w:vAlign w:val="center"/>
                </w:tcPr>
                <w:p>
                  <w:pPr>
                    <w:pStyle w:val="70"/>
                    <w:ind w:firstLine="0" w:firstLineChars="0"/>
                    <w:rPr>
                      <w:rFonts w:hint="eastAsia" w:hAnsi="宋体"/>
                      <w:szCs w:val="21"/>
                    </w:rPr>
                  </w:pPr>
                  <w:r>
                    <w:rPr>
                      <w:rFonts w:hint="eastAsia" w:hAnsi="宋体"/>
                      <w:szCs w:val="21"/>
                    </w:rPr>
                    <w:t>废润滑油及废润滑油桶</w:t>
                  </w:r>
                </w:p>
              </w:tc>
              <w:tc>
                <w:tcPr>
                  <w:tcW w:w="3075" w:type="dxa"/>
                  <w:vMerge w:val="restart"/>
                  <w:tcBorders>
                    <w:tl2br w:val="nil"/>
                    <w:tr2bl w:val="nil"/>
                  </w:tcBorders>
                  <w:shd w:val="clear" w:color="auto" w:fill="auto"/>
                  <w:vAlign w:val="center"/>
                </w:tcPr>
                <w:p>
                  <w:pPr>
                    <w:pStyle w:val="70"/>
                    <w:ind w:firstLine="0" w:firstLineChars="0"/>
                    <w:rPr>
                      <w:rFonts w:hint="default" w:ascii="Times New Roman" w:hAnsi="Times New Roman" w:cs="Times New Roman"/>
                      <w:sz w:val="21"/>
                      <w:szCs w:val="21"/>
                    </w:rPr>
                  </w:pPr>
                  <w:r>
                    <w:t>设置1处危废暂存点，采取“四防”（防风、防雨、防晒、防渗漏）措施，定期交由有资质单位处置</w:t>
                  </w:r>
                </w:p>
              </w:tc>
              <w:tc>
                <w:tcPr>
                  <w:tcW w:w="3106" w:type="dxa"/>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与环评一致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pPr>
                </w:p>
              </w:tc>
              <w:tc>
                <w:tcPr>
                  <w:tcW w:w="1719" w:type="dxa"/>
                  <w:tcBorders>
                    <w:tl2br w:val="nil"/>
                    <w:tr2bl w:val="nil"/>
                  </w:tcBorders>
                  <w:shd w:val="clear" w:color="auto" w:fill="auto"/>
                  <w:vAlign w:val="center"/>
                </w:tcPr>
                <w:p>
                  <w:pPr>
                    <w:pStyle w:val="70"/>
                    <w:ind w:firstLine="0" w:firstLineChars="0"/>
                    <w:rPr>
                      <w:rFonts w:hint="eastAsia" w:hAnsi="宋体"/>
                      <w:szCs w:val="21"/>
                    </w:rPr>
                  </w:pPr>
                  <w:r>
                    <w:rPr>
                      <w:rFonts w:hint="eastAsia" w:hAnsi="宋体"/>
                      <w:szCs w:val="21"/>
                    </w:rPr>
                    <w:t>废含油棉纱和手套</w:t>
                  </w:r>
                </w:p>
              </w:tc>
              <w:tc>
                <w:tcPr>
                  <w:tcW w:w="3075" w:type="dxa"/>
                  <w:vMerge w:val="continue"/>
                  <w:tcBorders>
                    <w:tl2br w:val="nil"/>
                    <w:tr2bl w:val="nil"/>
                  </w:tcBorders>
                  <w:shd w:val="clear" w:color="auto" w:fill="auto"/>
                  <w:vAlign w:val="center"/>
                </w:tcPr>
                <w:p>
                  <w:pPr>
                    <w:pStyle w:val="70"/>
                    <w:ind w:firstLine="0" w:firstLineChars="0"/>
                  </w:pPr>
                </w:p>
              </w:tc>
              <w:tc>
                <w:tcPr>
                  <w:tcW w:w="3106"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801"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pPr>
                </w:p>
              </w:tc>
              <w:tc>
                <w:tcPr>
                  <w:tcW w:w="1719" w:type="dxa"/>
                  <w:tcBorders>
                    <w:tl2br w:val="nil"/>
                    <w:tr2bl w:val="nil"/>
                  </w:tcBorders>
                  <w:shd w:val="clear" w:color="auto" w:fill="auto"/>
                  <w:vAlign w:val="center"/>
                </w:tcPr>
                <w:p>
                  <w:pPr>
                    <w:pStyle w:val="70"/>
                    <w:ind w:firstLine="0" w:firstLineChars="0"/>
                    <w:rPr>
                      <w:rFonts w:hint="eastAsia" w:hAnsi="宋体"/>
                      <w:szCs w:val="21"/>
                    </w:rPr>
                  </w:pPr>
                  <w:r>
                    <w:rPr>
                      <w:rFonts w:hint="eastAsia" w:hAnsi="宋体"/>
                      <w:szCs w:val="21"/>
                    </w:rPr>
                    <w:t>废活性炭</w:t>
                  </w:r>
                </w:p>
              </w:tc>
              <w:tc>
                <w:tcPr>
                  <w:tcW w:w="3075" w:type="dxa"/>
                  <w:vMerge w:val="continue"/>
                  <w:tcBorders>
                    <w:tl2br w:val="nil"/>
                    <w:tr2bl w:val="nil"/>
                  </w:tcBorders>
                  <w:shd w:val="clear" w:color="auto" w:fill="auto"/>
                  <w:vAlign w:val="center"/>
                </w:tcPr>
                <w:p>
                  <w:pPr>
                    <w:pStyle w:val="70"/>
                    <w:ind w:firstLine="0" w:firstLineChars="0"/>
                  </w:pPr>
                </w:p>
              </w:tc>
              <w:tc>
                <w:tcPr>
                  <w:tcW w:w="3106" w:type="dxa"/>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pacing w:line="240" w:lineRule="atLeast"/>
                    <w:contextualSpacing/>
                    <w:jc w:val="center"/>
                    <w:textAlignment w:val="auto"/>
                    <w:rPr>
                      <w:rFonts w:hint="default" w:ascii="Times New Roman" w:hAnsi="Times New Roman" w:cs="Times New Roman"/>
                      <w:sz w:val="21"/>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contextualSpacing/>
              <w:textAlignment w:val="auto"/>
              <w:rPr>
                <w:rFonts w:hint="eastAsia" w:ascii="Times New Roman" w:hAnsi="Times New Roman" w:eastAsia="宋体" w:cs="Times New Roman"/>
                <w:b/>
                <w:bCs/>
                <w:spacing w:val="4"/>
                <w:sz w:val="24"/>
                <w:lang w:eastAsia="zh-CN"/>
              </w:rPr>
            </w:pPr>
            <w:r>
              <w:rPr>
                <w:rFonts w:hint="eastAsia" w:ascii="Times New Roman" w:hAnsi="Times New Roman" w:eastAsia="宋体" w:cs="Times New Roman"/>
                <w:b/>
                <w:bCs/>
                <w:spacing w:val="4"/>
                <w:sz w:val="24"/>
                <w:lang w:eastAsia="zh-CN"/>
              </w:rPr>
              <w:t>四、主要环保投资</w:t>
            </w:r>
          </w:p>
          <w:p>
            <w:pPr>
              <w:spacing w:beforeLines="50"/>
              <w:ind w:firstLine="482" w:firstLineChars="200"/>
              <w:contextualSpacing/>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表2-</w:t>
            </w:r>
            <w:r>
              <w:rPr>
                <w:rFonts w:hint="eastAsia" w:ascii="Times New Roman" w:hAnsi="Times New Roman" w:eastAsia="宋体" w:cs="Times New Roman"/>
                <w:b/>
                <w:bCs/>
                <w:sz w:val="24"/>
                <w:szCs w:val="24"/>
                <w:lang w:val="en-US" w:eastAsia="zh-CN"/>
              </w:rPr>
              <w:t>4</w:t>
            </w:r>
            <w:r>
              <w:rPr>
                <w:rFonts w:hint="default" w:ascii="Times New Roman" w:hAnsi="Times New Roman" w:eastAsia="宋体" w:cs="Times New Roman"/>
                <w:b/>
                <w:bCs/>
                <w:sz w:val="24"/>
                <w:szCs w:val="24"/>
              </w:rPr>
              <w:t>项目环保投资一览表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489"/>
              <w:gridCol w:w="446"/>
              <w:gridCol w:w="2035"/>
              <w:gridCol w:w="4021"/>
              <w:gridCol w:w="1036"/>
              <w:gridCol w:w="67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37" w:type="pct"/>
                  <w:gridSpan w:val="2"/>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类别</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项目</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治理措施</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费用</w:t>
                  </w:r>
                </w:p>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（万元）</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restart"/>
                  <w:noWrap w:val="0"/>
                  <w:vAlign w:val="center"/>
                </w:tcPr>
                <w:p>
                  <w:pPr>
                    <w:keepNext w:val="0"/>
                    <w:keepLines w:val="0"/>
                    <w:pageBreakBefore w:val="0"/>
                    <w:kinsoku/>
                    <w:wordWrap/>
                    <w:overflowPunct/>
                    <w:topLinePunct w:val="0"/>
                    <w:autoSpaceDE/>
                    <w:autoSpaceDN/>
                    <w:bidi w:val="0"/>
                    <w:spacing w:line="240" w:lineRule="atLeast"/>
                    <w:ind w:firstLine="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施工期</w:t>
                  </w:r>
                </w:p>
              </w:tc>
              <w:tc>
                <w:tcPr>
                  <w:tcW w:w="256" w:type="pct"/>
                  <w:vMerge w:val="restart"/>
                  <w:noWrap w:val="0"/>
                  <w:vAlign w:val="center"/>
                </w:tcPr>
                <w:p>
                  <w:pPr>
                    <w:pStyle w:val="70"/>
                    <w:keepNext w:val="0"/>
                    <w:keepLines w:val="0"/>
                    <w:pageBreakBefore w:val="0"/>
                    <w:kinsoku/>
                    <w:wordWrap/>
                    <w:overflowPunct/>
                    <w:topLinePunct w:val="0"/>
                    <w:autoSpaceDE/>
                    <w:autoSpaceDN/>
                    <w:bidi w:val="0"/>
                    <w:spacing w:line="240" w:lineRule="atLeast"/>
                    <w:ind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废气</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扬尘</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加强管理，洒水抑尘，施工区围挡</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kinsoku/>
                    <w:wordWrap/>
                    <w:overflowPunct/>
                    <w:topLinePunct w:val="0"/>
                    <w:autoSpaceDE/>
                    <w:autoSpaceDN/>
                    <w:bidi w:val="0"/>
                    <w:spacing w:line="240" w:lineRule="atLeast"/>
                    <w:ind w:firstLine="0"/>
                    <w:jc w:val="center"/>
                    <w:textAlignment w:val="auto"/>
                    <w:rPr>
                      <w:rFonts w:hint="default" w:ascii="Times New Roman" w:hAnsi="Times New Roman" w:eastAsia="宋体" w:cs="Times New Roman"/>
                      <w:kern w:val="0"/>
                      <w:sz w:val="21"/>
                      <w:szCs w:val="21"/>
                    </w:rPr>
                  </w:pPr>
                </w:p>
              </w:tc>
              <w:tc>
                <w:tcPr>
                  <w:tcW w:w="256" w:type="pct"/>
                  <w:vMerge w:val="continue"/>
                  <w:noWrap w:val="0"/>
                  <w:vAlign w:val="center"/>
                </w:tcPr>
                <w:p>
                  <w:pPr>
                    <w:keepNext w:val="0"/>
                    <w:keepLines w:val="0"/>
                    <w:pageBreakBefore w:val="0"/>
                    <w:kinsoku/>
                    <w:wordWrap/>
                    <w:overflowPunct/>
                    <w:topLinePunct w:val="0"/>
                    <w:autoSpaceDE/>
                    <w:autoSpaceDN/>
                    <w:bidi w:val="0"/>
                    <w:spacing w:line="240" w:lineRule="atLeast"/>
                    <w:ind w:firstLine="0"/>
                    <w:jc w:val="center"/>
                    <w:textAlignment w:val="auto"/>
                    <w:rPr>
                      <w:rFonts w:hint="default" w:ascii="Times New Roman" w:hAnsi="Times New Roman" w:eastAsia="宋体" w:cs="Times New Roman"/>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装修废气</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勤通风、使用环保材料进行装修</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施工机械废气</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加强设备维护</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0.5</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vMerge w:val="restar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废水</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施工人员生活废水</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依托周边居民已有设施处理后排入污水管网</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施工废水</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设5m</w:t>
                  </w:r>
                  <w:r>
                    <w:rPr>
                      <w:rFonts w:hint="default" w:ascii="Times New Roman" w:hAnsi="Times New Roman" w:eastAsia="宋体" w:cs="Times New Roman"/>
                      <w:kern w:val="0"/>
                      <w:sz w:val="21"/>
                      <w:szCs w:val="21"/>
                      <w:vertAlign w:val="superscript"/>
                    </w:rPr>
                    <w:t>3</w:t>
                  </w:r>
                  <w:r>
                    <w:rPr>
                      <w:rFonts w:hint="default" w:ascii="Times New Roman" w:hAnsi="Times New Roman" w:eastAsia="宋体" w:cs="Times New Roman"/>
                      <w:kern w:val="0"/>
                      <w:sz w:val="21"/>
                      <w:szCs w:val="21"/>
                    </w:rPr>
                    <w:t>沉淀池，经沉淀处理后用于场地洒水降尘</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噪声</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施工噪声</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选用低噪声设备、设备减震、合理安排施工时间</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0.5</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vMerge w:val="restart"/>
                  <w:noWrap w:val="0"/>
                  <w:vAlign w:val="center"/>
                </w:tcPr>
                <w:p>
                  <w:pPr>
                    <w:pStyle w:val="70"/>
                    <w:keepNext w:val="0"/>
                    <w:keepLines w:val="0"/>
                    <w:pageBreakBefore w:val="0"/>
                    <w:kinsoku/>
                    <w:wordWrap/>
                    <w:overflowPunct/>
                    <w:topLinePunct w:val="0"/>
                    <w:autoSpaceDE/>
                    <w:autoSpaceDN/>
                    <w:bidi w:val="0"/>
                    <w:spacing w:line="240" w:lineRule="atLeast"/>
                    <w:ind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建筑垃圾</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回收利用及定时清运到指定垃圾场</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装修垃圾</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按当地环卫部门要求及时清运至指定的建渣堆放场地</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0.2</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生活垃圾</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环卫部门统一清运处理</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0.2</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restar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营运</w:t>
                  </w:r>
                </w:p>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期</w:t>
                  </w:r>
                </w:p>
              </w:tc>
              <w:tc>
                <w:tcPr>
                  <w:tcW w:w="256" w:type="pct"/>
                  <w:vMerge w:val="restar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废气</w:t>
                  </w:r>
                </w:p>
              </w:tc>
              <w:tc>
                <w:tcPr>
                  <w:tcW w:w="1169" w:type="pct"/>
                  <w:vMerge w:val="restart"/>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有机废气</w:t>
                  </w:r>
                </w:p>
              </w:tc>
              <w:tc>
                <w:tcPr>
                  <w:tcW w:w="2310" w:type="pct"/>
                  <w:noWrap w:val="0"/>
                  <w:vAlign w:val="center"/>
                </w:tcPr>
                <w:p>
                  <w:pPr>
                    <w:pStyle w:val="70"/>
                    <w:ind w:firstLine="0" w:firstLineChars="0"/>
                    <w:jc w:val="center"/>
                    <w:rPr>
                      <w:rFonts w:hint="default" w:ascii="Times New Roman" w:hAnsi="Times New Roman" w:eastAsia="宋体" w:cs="Times New Roman"/>
                      <w:color w:val="auto"/>
                      <w:kern w:val="0"/>
                      <w:sz w:val="21"/>
                      <w:szCs w:val="21"/>
                    </w:rPr>
                  </w:pPr>
                  <w:r>
                    <w:rPr>
                      <w:rFonts w:hint="eastAsia"/>
                      <w:color w:val="auto"/>
                      <w:lang w:eastAsia="zh-CN"/>
                    </w:rPr>
                    <w:t>印刷</w:t>
                  </w:r>
                  <w:r>
                    <w:rPr>
                      <w:rFonts w:hint="eastAsia"/>
                      <w:color w:val="auto"/>
                    </w:rPr>
                    <w:t>、</w:t>
                  </w:r>
                  <w:r>
                    <w:rPr>
                      <w:color w:val="auto"/>
                    </w:rPr>
                    <w:t>吹膜</w:t>
                  </w:r>
                  <w:r>
                    <w:rPr>
                      <w:rFonts w:hint="eastAsia"/>
                      <w:color w:val="auto"/>
                    </w:rPr>
                    <w:t>有机废气：</w:t>
                  </w:r>
                  <w:r>
                    <w:rPr>
                      <w:color w:val="auto"/>
                      <w:szCs w:val="21"/>
                    </w:rPr>
                    <w:t>集气罩+</w:t>
                  </w:r>
                  <w:r>
                    <w:rPr>
                      <w:rFonts w:hint="eastAsia"/>
                      <w:color w:val="auto"/>
                      <w:szCs w:val="21"/>
                    </w:rPr>
                    <w:t>活性炭</w:t>
                  </w:r>
                  <w:r>
                    <w:rPr>
                      <w:color w:val="auto"/>
                      <w:szCs w:val="21"/>
                    </w:rPr>
                    <w:t>吸附设备</w:t>
                  </w:r>
                  <w:r>
                    <w:rPr>
                      <w:rFonts w:hint="eastAsia"/>
                      <w:color w:val="auto"/>
                      <w:szCs w:val="21"/>
                    </w:rPr>
                    <w:t>+</w:t>
                  </w:r>
                  <w:r>
                    <w:rPr>
                      <w:color w:val="auto"/>
                      <w:szCs w:val="21"/>
                    </w:rPr>
                    <w:t>15m高排气筒排放</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169" w:type="pct"/>
                  <w:vMerge w:val="continue"/>
                  <w:noWrap w:val="0"/>
                  <w:vAlign w:val="center"/>
                </w:tcPr>
                <w:p>
                  <w:pPr>
                    <w:keepNext w:val="0"/>
                    <w:keepLines w:val="0"/>
                    <w:pageBreakBefore w:val="0"/>
                    <w:kinsoku/>
                    <w:wordWrap/>
                    <w:overflowPunct/>
                    <w:topLinePunct w:val="0"/>
                    <w:autoSpaceDE/>
                    <w:autoSpaceDN/>
                    <w:bidi w:val="0"/>
                    <w:adjustRightInd w:val="0"/>
                    <w:snapToGrid w:val="0"/>
                    <w:spacing w:line="240" w:lineRule="atLeast"/>
                    <w:ind w:firstLine="0" w:firstLineChars="0"/>
                    <w:jc w:val="center"/>
                    <w:textAlignment w:val="auto"/>
                    <w:rPr>
                      <w:rFonts w:hint="default" w:ascii="Times New Roman" w:hAnsi="Times New Roman" w:eastAsia="宋体" w:cs="Times New Roman"/>
                      <w:color w:val="auto"/>
                      <w:sz w:val="21"/>
                      <w:szCs w:val="21"/>
                    </w:rPr>
                  </w:pP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eastAsia"/>
                      <w:color w:val="auto"/>
                      <w:lang w:eastAsia="zh-CN"/>
                    </w:rPr>
                    <w:t>造粒有机废气：集气罩</w:t>
                  </w:r>
                  <w:r>
                    <w:rPr>
                      <w:rFonts w:hint="eastAsia"/>
                      <w:color w:val="auto"/>
                      <w:lang w:val="en-US" w:eastAsia="zh-CN"/>
                    </w:rPr>
                    <w:t>+三级活性炭吸附设备+15m高排气筒排放</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食堂油烟</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油烟净化器处理+</w:t>
                  </w:r>
                  <w:r>
                    <w:rPr>
                      <w:rFonts w:hint="eastAsia" w:ascii="Times New Roman" w:hAnsi="Times New Roman" w:eastAsia="宋体" w:cs="Times New Roman"/>
                      <w:color w:val="auto"/>
                      <w:kern w:val="0"/>
                      <w:sz w:val="21"/>
                      <w:szCs w:val="21"/>
                      <w:lang w:val="en-US" w:eastAsia="zh-CN"/>
                    </w:rPr>
                    <w:t>15</w:t>
                  </w:r>
                  <w:r>
                    <w:rPr>
                      <w:rFonts w:hint="default" w:ascii="Times New Roman" w:hAnsi="Times New Roman" w:eastAsia="宋体" w:cs="Times New Roman"/>
                      <w:color w:val="auto"/>
                      <w:kern w:val="0"/>
                      <w:sz w:val="21"/>
                      <w:szCs w:val="21"/>
                    </w:rPr>
                    <w:t>m高排气筒</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restar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废水</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生活污水</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经化粪池预处理后排入污水管网</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食堂废水</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经隔油池隔油处理后进入化粪池</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噪声</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设备噪声</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选用低噪声设备、设备减振、合理布局、建筑隔声等</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restar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固废</w:t>
                  </w: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生活垃圾</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环卫部门统一清运处理</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0.5</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sz w:val="21"/>
                      <w:szCs w:val="21"/>
                    </w:rPr>
                  </w:pPr>
                </w:p>
              </w:tc>
              <w:tc>
                <w:tcPr>
                  <w:tcW w:w="1169" w:type="pct"/>
                  <w:noWrap w:val="0"/>
                  <w:vAlign w:val="center"/>
                </w:tcPr>
                <w:p>
                  <w:pPr>
                    <w:pStyle w:val="73"/>
                    <w:keepNext w:val="0"/>
                    <w:keepLines w:val="0"/>
                    <w:pageBreakBefore w:val="0"/>
                    <w:kinsoku/>
                    <w:wordWrap/>
                    <w:overflowPunct/>
                    <w:topLinePunct w:val="0"/>
                    <w:autoSpaceDE/>
                    <w:autoSpaceDN/>
                    <w:bidi w:val="0"/>
                    <w:spacing w:line="240" w:lineRule="atLeast"/>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食堂食物残渣及食堂隔油池潲水油</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交由环保、卫生等相关部门授权的单位无害化处理</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0.5</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sz w:val="21"/>
                      <w:szCs w:val="21"/>
                    </w:rPr>
                  </w:pPr>
                </w:p>
              </w:tc>
              <w:tc>
                <w:tcPr>
                  <w:tcW w:w="1169" w:type="pct"/>
                  <w:noWrap w:val="0"/>
                  <w:vAlign w:val="center"/>
                </w:tcPr>
                <w:p>
                  <w:pPr>
                    <w:pStyle w:val="73"/>
                    <w:keepNext w:val="0"/>
                    <w:keepLines w:val="0"/>
                    <w:pageBreakBefore w:val="0"/>
                    <w:kinsoku/>
                    <w:wordWrap/>
                    <w:overflowPunct/>
                    <w:topLinePunct w:val="0"/>
                    <w:autoSpaceDE/>
                    <w:autoSpaceDN/>
                    <w:bidi w:val="0"/>
                    <w:spacing w:line="240" w:lineRule="atLeast"/>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废包装材料</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交废品收购站收购</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169" w:type="pct"/>
                  <w:noWrap w:val="0"/>
                  <w:vAlign w:val="center"/>
                </w:tcPr>
                <w:p>
                  <w:pPr>
                    <w:pStyle w:val="73"/>
                    <w:keepNext w:val="0"/>
                    <w:keepLines w:val="0"/>
                    <w:pageBreakBefore w:val="0"/>
                    <w:kinsoku/>
                    <w:wordWrap/>
                    <w:overflowPunct/>
                    <w:topLinePunct w:val="0"/>
                    <w:autoSpaceDE/>
                    <w:autoSpaceDN/>
                    <w:bidi w:val="0"/>
                    <w:spacing w:line="240" w:lineRule="atLeast"/>
                    <w:ind w:firstLine="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不合格产品</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建设单位回用</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256"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169"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危险废物</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设置1处危废暂存点，采取“四防”（防风、防雨、防晒、防渗漏）措施，定期交由有资质单位处置</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eastAsia"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val="en-US" w:eastAsia="zh-CN"/>
                    </w:rPr>
                    <w:t>1</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425" w:type="pct"/>
                  <w:gridSpan w:val="2"/>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风险防范措施</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配备消防设施、防护器具、应急预案等</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281" w:type="pct"/>
                  <w:vMerge w:val="continue"/>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p>
              </w:tc>
              <w:tc>
                <w:tcPr>
                  <w:tcW w:w="1425" w:type="pct"/>
                  <w:gridSpan w:val="2"/>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环境管理和环境监测</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按照监测计划进行常规性监测，作为厂区环境管理档案并存档</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706" w:type="pct"/>
                  <w:gridSpan w:val="3"/>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合计</w:t>
                  </w:r>
                </w:p>
              </w:tc>
              <w:tc>
                <w:tcPr>
                  <w:tcW w:w="2310"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c>
                <w:tcPr>
                  <w:tcW w:w="595"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35.4</w:t>
                  </w:r>
                </w:p>
              </w:tc>
              <w:tc>
                <w:tcPr>
                  <w:tcW w:w="387" w:type="pct"/>
                  <w:noWrap w:val="0"/>
                  <w:vAlign w:val="center"/>
                </w:tcPr>
                <w:p>
                  <w:pPr>
                    <w:keepNext w:val="0"/>
                    <w:keepLines w:val="0"/>
                    <w:pageBreakBefore w:val="0"/>
                    <w:widowControl/>
                    <w:kinsoku/>
                    <w:wordWrap/>
                    <w:overflowPunct/>
                    <w:topLinePunct w:val="0"/>
                    <w:autoSpaceDE/>
                    <w:autoSpaceDN/>
                    <w:bidi w:val="0"/>
                    <w:spacing w:line="240" w:lineRule="atLeast"/>
                    <w:ind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w:t>
                  </w:r>
                </w:p>
              </w:tc>
            </w:tr>
          </w:tbl>
          <w:p>
            <w:pPr>
              <w:rPr>
                <w:rFonts w:ascii="Times New Roman" w:hAnsi="Times New Roman" w:eastAsia="黑体" w:cs="Times New Roman"/>
                <w:b/>
                <w:bCs/>
                <w:sz w:val="32"/>
                <w:szCs w:val="32"/>
              </w:rPr>
            </w:pPr>
          </w:p>
        </w:tc>
      </w:tr>
    </w:tbl>
    <w:p>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Times New Roman" w:hAnsi="Times New Roman" w:cs="Times New Roman"/>
          <w:b/>
          <w:bCs/>
          <w:sz w:val="30"/>
          <w:szCs w:val="30"/>
        </w:rPr>
      </w:pPr>
      <w:r>
        <w:rPr>
          <w:rFonts w:ascii="Times New Roman" w:hAnsi="Times New Roman" w:cs="Times New Roman"/>
          <w:b/>
          <w:bCs/>
          <w:sz w:val="30"/>
          <w:szCs w:val="30"/>
        </w:rPr>
        <w:t>表三</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环评结论、建议及要求</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0" w:type="dxa"/>
          </w:tcPr>
          <w:p>
            <w:pPr>
              <w:spacing w:line="360" w:lineRule="auto"/>
              <w:rPr>
                <w:rFonts w:ascii="Times New Roman" w:hAnsi="Times New Roman" w:cs="Times New Roman"/>
                <w:b/>
                <w:bCs/>
                <w:sz w:val="28"/>
                <w:szCs w:val="28"/>
              </w:rPr>
            </w:pPr>
            <w:r>
              <w:rPr>
                <w:rFonts w:ascii="Times New Roman" w:hAnsi="Times New Roman" w:cs="Times New Roman"/>
                <w:b/>
                <w:bCs/>
                <w:sz w:val="28"/>
                <w:szCs w:val="28"/>
              </w:rPr>
              <w:t>一、环评主要结论</w:t>
            </w:r>
          </w:p>
          <w:p>
            <w:pPr>
              <w:spacing w:line="360" w:lineRule="auto"/>
              <w:ind w:firstLine="472" w:firstLineChars="196"/>
              <w:contextualSpacing/>
              <w:rPr>
                <w:rFonts w:ascii="Times New Roman" w:hAnsi="Times New Roman" w:cs="Times New Roman"/>
                <w:b/>
                <w:bCs/>
                <w:sz w:val="28"/>
                <w:szCs w:val="28"/>
              </w:rPr>
            </w:pPr>
            <w:r>
              <w:rPr>
                <w:rFonts w:ascii="Times New Roman" w:hAnsi="Times New Roman" w:cs="Times New Roman"/>
                <w:b/>
                <w:bCs/>
                <w:sz w:val="24"/>
              </w:rPr>
              <w:t>1、产业政策符合性</w:t>
            </w:r>
          </w:p>
          <w:p>
            <w:pPr>
              <w:spacing w:line="360" w:lineRule="auto"/>
              <w:ind w:firstLine="470" w:firstLineChars="196"/>
              <w:contextualSpacing/>
              <w:rPr>
                <w:rFonts w:hint="eastAsia" w:ascii="Times New Roman" w:hAnsi="Times New Roman" w:eastAsia="宋体" w:cs="Times New Roman"/>
                <w:sz w:val="24"/>
              </w:rPr>
            </w:pPr>
            <w:r>
              <w:rPr>
                <w:rFonts w:hint="eastAsia" w:ascii="Times New Roman" w:hAnsi="Times New Roman" w:eastAsia="宋体" w:cs="Times New Roman"/>
                <w:sz w:val="24"/>
              </w:rPr>
              <w:t>本项目生产塑料包装袋，根据《国民经济行业分类（2019年修订版）》（GB/T4754-2017），项目属于 C2927日用塑料制品制造。项目不属于中华人民共和国国家发展和改革委员会令第29号令《产业结构调整指导目录（2019年本）》中的鼓励、限制及淘汰类，项目符合国家法律、法规和政策规定，属于允许类。</w:t>
            </w:r>
          </w:p>
          <w:p>
            <w:pPr>
              <w:spacing w:line="360" w:lineRule="auto"/>
              <w:ind w:firstLine="470" w:firstLineChars="196"/>
              <w:contextualSpacing/>
              <w:rPr>
                <w:rFonts w:hint="eastAsia" w:ascii="Times New Roman" w:hAnsi="Times New Roman" w:eastAsia="宋体" w:cs="Times New Roman"/>
                <w:sz w:val="24"/>
              </w:rPr>
            </w:pPr>
            <w:r>
              <w:rPr>
                <w:rFonts w:hint="eastAsia" w:ascii="Times New Roman" w:hAnsi="Times New Roman" w:eastAsia="宋体" w:cs="Times New Roman"/>
                <w:sz w:val="24"/>
              </w:rPr>
              <w:t>同时，项目通过乐至县发展和改革局备案，备案号：川投资备【2019-512022-29-03-352714】FGQB-0057号。</w:t>
            </w:r>
          </w:p>
          <w:p>
            <w:pPr>
              <w:spacing w:line="360" w:lineRule="auto"/>
              <w:ind w:firstLine="470" w:firstLineChars="196"/>
              <w:contextualSpacing/>
              <w:rPr>
                <w:rFonts w:ascii="Times New Roman" w:hAnsi="Times New Roman" w:eastAsia="宋体" w:cs="Times New Roman"/>
                <w:sz w:val="24"/>
              </w:rPr>
            </w:pPr>
            <w:r>
              <w:rPr>
                <w:rFonts w:hint="eastAsia" w:ascii="Times New Roman" w:hAnsi="Times New Roman" w:eastAsia="宋体" w:cs="Times New Roman"/>
                <w:sz w:val="24"/>
              </w:rPr>
              <w:t>因此，本项目建设符合国家现行相关产业政策。</w:t>
            </w:r>
          </w:p>
          <w:p>
            <w:pPr>
              <w:spacing w:line="360" w:lineRule="auto"/>
              <w:ind w:firstLine="472" w:firstLineChars="196"/>
              <w:contextualSpacing/>
              <w:rPr>
                <w:rFonts w:hint="eastAsia" w:ascii="Times New Roman" w:hAnsi="Times New Roman" w:cs="Times New Roman"/>
                <w:b/>
                <w:bCs/>
                <w:sz w:val="24"/>
              </w:rPr>
            </w:pPr>
            <w:r>
              <w:rPr>
                <w:rFonts w:hint="eastAsia" w:ascii="Times New Roman" w:hAnsi="Times New Roman" w:cs="Times New Roman"/>
                <w:b/>
                <w:bCs/>
                <w:sz w:val="24"/>
                <w:lang w:val="en-US" w:eastAsia="zh-CN"/>
              </w:rPr>
              <w:t>2</w:t>
            </w:r>
            <w:r>
              <w:rPr>
                <w:rFonts w:hint="eastAsia" w:ascii="Times New Roman" w:hAnsi="Times New Roman" w:cs="Times New Roman"/>
                <w:b/>
                <w:bCs/>
                <w:sz w:val="24"/>
                <w:lang w:eastAsia="zh-CN"/>
              </w:rPr>
              <w:t>、</w:t>
            </w:r>
            <w:r>
              <w:rPr>
                <w:rFonts w:hint="eastAsia"/>
                <w:b/>
                <w:sz w:val="24"/>
                <w:szCs w:val="21"/>
              </w:rPr>
              <w:t>规划符合性</w:t>
            </w:r>
          </w:p>
          <w:p>
            <w:pPr>
              <w:spacing w:line="360" w:lineRule="auto"/>
              <w:ind w:firstLine="495"/>
              <w:contextualSpacing/>
              <w:rPr>
                <w:rFonts w:hint="eastAsia" w:ascii="Times New Roman" w:hAnsi="Times New Roman" w:eastAsia="宋体" w:cs="Times New Roman"/>
                <w:sz w:val="24"/>
              </w:rPr>
            </w:pPr>
            <w:r>
              <w:rPr>
                <w:rFonts w:hint="eastAsia" w:ascii="Times New Roman" w:hAnsi="Times New Roman" w:eastAsia="宋体" w:cs="Times New Roman"/>
                <w:sz w:val="24"/>
              </w:rPr>
              <w:t>本项目为日用塑料制品生产项目，主要生产工业包装袋、非复合膜包装袋、聚乳酸降解袋、降解气泡膜、缠绕膜、保鲜膜、汽配注塑件，清洁生产水平可达到国内先进水平，对区域不造成明显污染；此外，本项目不属于功能区规划环评限制类发展的行业，为园区允许类准入行业，项目入驻符合规划环评要求。因此，本项目符合乐至县童家发展区文峰园区规划要求。</w:t>
            </w:r>
          </w:p>
          <w:p>
            <w:pPr>
              <w:spacing w:line="360" w:lineRule="auto"/>
              <w:ind w:firstLine="495"/>
              <w:contextualSpacing/>
              <w:rPr>
                <w:rFonts w:hint="eastAsia" w:ascii="Times New Roman" w:hAnsi="宋体" w:eastAsia="宋体" w:cs="Times New Roman"/>
                <w:bCs/>
                <w:sz w:val="24"/>
              </w:rPr>
            </w:pPr>
            <w:r>
              <w:rPr>
                <w:rFonts w:hint="eastAsia" w:ascii="Times New Roman" w:hAnsi="Times New Roman" w:eastAsia="宋体" w:cs="Times New Roman"/>
                <w:sz w:val="24"/>
              </w:rPr>
              <w:t>本项目选址四川省资阳市乐至县童家发展区文峰园区（乐至县童家镇群乐村3组），资阳众诺诚塑料制品有限责任公司已取得不动产权证书（川（2019）乐至县不动产权第0014304），明确地类（用途）为工业用地。因此，项目用地符合区域土地利用规划要求。</w:t>
            </w:r>
          </w:p>
          <w:p>
            <w:pPr>
              <w:spacing w:line="360" w:lineRule="auto"/>
              <w:ind w:firstLine="472" w:firstLineChars="196"/>
              <w:contextualSpacing/>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3、</w:t>
            </w:r>
            <w:r>
              <w:rPr>
                <w:rFonts w:hint="eastAsia"/>
                <w:b/>
                <w:sz w:val="24"/>
                <w:lang w:val="zh-CN"/>
              </w:rPr>
              <w:t>选址合理性</w:t>
            </w:r>
          </w:p>
          <w:p>
            <w:pPr>
              <w:spacing w:line="360" w:lineRule="auto"/>
              <w:ind w:firstLine="495"/>
              <w:contextualSpacing/>
              <w:rPr>
                <w:rFonts w:hint="eastAsia" w:ascii="Times New Roman" w:hAnsi="宋体" w:eastAsia="宋体" w:cs="Times New Roman"/>
                <w:bCs/>
                <w:sz w:val="24"/>
                <w:lang w:val="en-US" w:eastAsia="zh-CN"/>
              </w:rPr>
            </w:pPr>
            <w:r>
              <w:rPr>
                <w:rFonts w:hint="eastAsia" w:ascii="Times New Roman" w:hAnsi="宋体" w:eastAsia="宋体" w:cs="Times New Roman"/>
                <w:bCs/>
                <w:sz w:val="24"/>
                <w:lang w:val="en-US" w:eastAsia="zh-CN"/>
              </w:rPr>
              <w:t>根据项目外环境关系可知，项目卫生防护距离范围内无敏感点，200m范围内无其他企业及敏感点等，不会对本项目形成环境制约。评价范围内不涉及自然保护区、风景名胜区、饮用水源保护区等环境敏感区域，项目运营过程中的有机废气通过集气罩+二级活性炭吸附处理+15m排气筒高空排放；噪声经隔声降噪、距离衰减等有效治理措施后，对居民点影响较小，可实现达标排放，项目的建设对周边环境的影响较小。</w:t>
            </w:r>
          </w:p>
          <w:p>
            <w:pPr>
              <w:spacing w:line="360" w:lineRule="auto"/>
              <w:ind w:firstLine="495"/>
              <w:contextualSpacing/>
              <w:rPr>
                <w:rFonts w:hint="eastAsia" w:ascii="Times New Roman" w:hAnsi="宋体" w:eastAsia="宋体" w:cs="Times New Roman"/>
                <w:bCs/>
                <w:sz w:val="24"/>
                <w:lang w:val="en-US" w:eastAsia="zh-CN"/>
              </w:rPr>
            </w:pPr>
            <w:r>
              <w:rPr>
                <w:rFonts w:hint="eastAsia" w:ascii="Times New Roman" w:hAnsi="宋体" w:eastAsia="宋体" w:cs="Times New Roman"/>
                <w:bCs/>
                <w:sz w:val="24"/>
                <w:lang w:val="en-US" w:eastAsia="zh-CN"/>
              </w:rPr>
              <w:t>综上所述，本项目外环境无明显制约因素，选址合理可行。</w:t>
            </w:r>
          </w:p>
          <w:p>
            <w:pPr>
              <w:pStyle w:val="4"/>
              <w:spacing w:before="0" w:after="0" w:line="360" w:lineRule="auto"/>
              <w:contextualSpacing/>
              <w:outlineLvl w:val="1"/>
              <w:rPr>
                <w:rFonts w:ascii="Times New Roman" w:hAnsi="Times New Roman" w:cs="Times New Roman"/>
                <w:szCs w:val="28"/>
              </w:rPr>
            </w:pPr>
          </w:p>
          <w:p>
            <w:pPr>
              <w:pStyle w:val="4"/>
              <w:spacing w:before="0" w:after="0" w:line="360" w:lineRule="auto"/>
              <w:contextualSpacing/>
              <w:outlineLvl w:val="1"/>
              <w:rPr>
                <w:rFonts w:ascii="Times New Roman" w:hAnsi="Times New Roman" w:cs="Times New Roman"/>
                <w:szCs w:val="28"/>
              </w:rPr>
            </w:pPr>
            <w:r>
              <w:rPr>
                <w:rFonts w:ascii="Times New Roman" w:hAnsi="Times New Roman" w:cs="Times New Roman"/>
                <w:szCs w:val="28"/>
              </w:rPr>
              <w:t>二、项目环评结论</w:t>
            </w:r>
          </w:p>
          <w:p>
            <w:pPr>
              <w:spacing w:line="360" w:lineRule="auto"/>
              <w:ind w:firstLine="480" w:firstLineChars="200"/>
              <w:contextualSpacing/>
              <w:rPr>
                <w:rFonts w:ascii="Times New Roman" w:hAnsi="Times New Roman" w:eastAsia="宋体" w:cs="Times New Roman"/>
                <w:bCs/>
                <w:kern w:val="0"/>
                <w:sz w:val="24"/>
              </w:rPr>
            </w:pPr>
            <w:r>
              <w:rPr>
                <w:rFonts w:hint="eastAsia" w:ascii="Times New Roman" w:hAnsi="Times New Roman" w:eastAsia="宋体" w:cs="Times New Roman"/>
                <w:bCs/>
                <w:kern w:val="0"/>
                <w:sz w:val="24"/>
              </w:rPr>
              <w:t>本项目符合国家现行产业政策，选址符合四川省资阳市乐至县童家发展区文峰园区规划，项目采用的生产工艺先进、成熟、可靠，符合清洁生产要求；项目采取的污染治理措施成熟可靠且技术经济可行，排放污染物能够达到国家和行业规定的标准，对评价区域环境质量的影响不明显。项目对外环境的环境风险影响处于可接受水平，风险防范措施及应急预案切实可行。只要严格落实环境影响报告表提出的环保对策及措施，严格执行“三同时”制度，确保项目污染物达标排放，认真落实环境风险的防范措施及应急预案，则本项目建设从环保角度可行</w:t>
            </w:r>
            <w:r>
              <w:rPr>
                <w:rFonts w:ascii="Times New Roman" w:hAnsi="Times New Roman" w:eastAsia="宋体" w:cs="Times New Roman"/>
                <w:bCs/>
                <w:kern w:val="0"/>
                <w:sz w:val="24"/>
              </w:rPr>
              <w:t>。</w:t>
            </w:r>
          </w:p>
          <w:p>
            <w:pPr>
              <w:pStyle w:val="4"/>
              <w:spacing w:before="0" w:after="0" w:line="360" w:lineRule="auto"/>
              <w:contextualSpacing/>
              <w:outlineLvl w:val="1"/>
              <w:rPr>
                <w:rFonts w:ascii="Times New Roman" w:hAnsi="Times New Roman" w:cs="Times New Roman"/>
                <w:szCs w:val="28"/>
              </w:rPr>
            </w:pPr>
            <w:bookmarkStart w:id="4" w:name="_Toc8213"/>
            <w:r>
              <w:rPr>
                <w:rFonts w:hint="eastAsia" w:ascii="Times New Roman" w:hAnsi="Times New Roman" w:cs="Times New Roman"/>
                <w:szCs w:val="28"/>
                <w:lang w:eastAsia="zh-CN"/>
              </w:rPr>
              <w:t>三</w:t>
            </w:r>
            <w:r>
              <w:rPr>
                <w:rFonts w:ascii="Times New Roman" w:hAnsi="Times New Roman" w:cs="Times New Roman"/>
                <w:szCs w:val="28"/>
              </w:rPr>
              <w:t>、</w:t>
            </w:r>
            <w:bookmarkEnd w:id="4"/>
            <w:r>
              <w:rPr>
                <w:rFonts w:ascii="Times New Roman" w:hAnsi="Times New Roman" w:cs="Times New Roman"/>
                <w:szCs w:val="28"/>
              </w:rPr>
              <w:t>环评批复</w:t>
            </w:r>
          </w:p>
          <w:p>
            <w:pPr>
              <w:pStyle w:val="19"/>
              <w:widowControl/>
              <w:spacing w:line="360" w:lineRule="auto"/>
              <w:ind w:firstLine="480" w:firstLineChars="200"/>
              <w:contextualSpacing/>
              <w:rPr>
                <w:rFonts w:hint="default" w:ascii="Times New Roman" w:hAnsi="Times New Roman"/>
              </w:rPr>
            </w:pPr>
            <w:r>
              <w:rPr>
                <w:rFonts w:hint="default" w:ascii="Times New Roman" w:hAnsi="Times New Roman"/>
              </w:rPr>
              <w:t>项目已取得环评批复（</w:t>
            </w:r>
            <w:r>
              <w:rPr>
                <w:rFonts w:hint="eastAsia" w:ascii="Times New Roman" w:hAnsi="Times New Roman"/>
                <w:bCs/>
                <w:lang w:eastAsia="zh-CN"/>
              </w:rPr>
              <w:t>资环审批乐诺[2020]4号</w:t>
            </w:r>
            <w:r>
              <w:rPr>
                <w:rFonts w:hint="default" w:ascii="Times New Roman" w:hAnsi="Times New Roman"/>
              </w:rPr>
              <w:t>），批复主要内容如下</w:t>
            </w:r>
            <w:r>
              <w:rPr>
                <w:rFonts w:ascii="Times New Roman" w:hAnsi="Times New Roman"/>
              </w:rPr>
              <w:t>：</w:t>
            </w:r>
          </w:p>
          <w:p>
            <w:pPr>
              <w:pStyle w:val="19"/>
              <w:widowControl/>
              <w:spacing w:line="360" w:lineRule="auto"/>
              <w:ind w:firstLine="480" w:firstLineChars="200"/>
              <w:contextualSpacing/>
              <w:rPr>
                <w:rFonts w:hint="eastAsia" w:ascii="Times New Roman" w:hAnsi="Times New Roman"/>
                <w:lang w:val="zh-CN"/>
              </w:rPr>
            </w:pPr>
            <w:r>
              <w:rPr>
                <w:rFonts w:hint="eastAsia" w:ascii="Times New Roman" w:hAnsi="Times New Roman"/>
                <w:lang w:val="zh-CN"/>
              </w:rPr>
              <w:t>资阳众诺诚塑料制品有限责任公司：</w:t>
            </w:r>
          </w:p>
          <w:p>
            <w:pPr>
              <w:pStyle w:val="19"/>
              <w:widowControl/>
              <w:spacing w:line="360" w:lineRule="auto"/>
              <w:ind w:firstLine="480" w:firstLineChars="200"/>
              <w:contextualSpacing/>
              <w:rPr>
                <w:rFonts w:hint="eastAsia" w:ascii="Times New Roman" w:hAnsi="Times New Roman"/>
                <w:lang w:val="zh-CN"/>
              </w:rPr>
            </w:pPr>
            <w:r>
              <w:rPr>
                <w:rFonts w:hint="eastAsia" w:ascii="Times New Roman" w:hAnsi="Times New Roman"/>
                <w:lang w:val="zh-CN"/>
              </w:rPr>
              <w:t>你单位关于《乐至县众诺诚注塑件项目环境影贮报告表》（下称“报告表”）的报批申请收悉。根据资阳市建设项目环境影响评价文件审批承诺制试点方案，现对该建设项目环境影响报告表批复如下：</w:t>
            </w:r>
          </w:p>
          <w:p>
            <w:pPr>
              <w:pStyle w:val="19"/>
              <w:widowControl/>
              <w:spacing w:line="360" w:lineRule="auto"/>
              <w:ind w:firstLine="480" w:firstLineChars="200"/>
              <w:contextualSpacing/>
              <w:rPr>
                <w:rFonts w:hint="eastAsia" w:ascii="Times New Roman" w:hAnsi="Times New Roman"/>
                <w:lang w:val="zh-CN"/>
              </w:rPr>
            </w:pPr>
            <w:r>
              <w:rPr>
                <w:rFonts w:hint="eastAsia" w:ascii="Times New Roman" w:hAnsi="Times New Roman"/>
                <w:lang w:val="zh-CN"/>
              </w:rPr>
              <w:t>一、根据重庆市江津区成硕环保工程有限公司对该项目开展环境影响评价的结论，在全面落实报告表提出的各项防治生态破坏和环境污染措施的前提下，工程建设对环境的不利影响能够得到缓解和控制。我局同意该项目环境影响报告表中所列建设项目的性质、规模、工艺、地点和拟采取的环境保护措施等。</w:t>
            </w:r>
          </w:p>
          <w:p>
            <w:pPr>
              <w:pStyle w:val="19"/>
              <w:widowControl/>
              <w:spacing w:line="360" w:lineRule="auto"/>
              <w:ind w:firstLine="480" w:firstLineChars="200"/>
              <w:contextualSpacing/>
              <w:rPr>
                <w:rFonts w:hint="eastAsia" w:ascii="Times New Roman" w:hAnsi="Times New Roman"/>
                <w:lang w:val="zh-CN"/>
              </w:rPr>
            </w:pPr>
            <w:r>
              <w:rPr>
                <w:rFonts w:hint="eastAsia" w:ascii="Times New Roman" w:hAnsi="Times New Roman"/>
                <w:lang w:val="zh-CN"/>
              </w:rPr>
              <w:t>二、你单位应当严格落实报告表提出的防治污染和防止生态破坏的措施，严格执行配套建设的环境保护设施与主体工程同时设计、同时施工、同时投产使用的环境保护“三同时”制度。纳入排污许可证管理的行业，必须按照国家排污许可证有关管理规定要求，申领排污许可证，不得无证排污或不按证排污。项目竣工后，你单位应按规定标准和程序实施竣工环境保护验收。</w:t>
            </w:r>
          </w:p>
          <w:p>
            <w:pPr>
              <w:pStyle w:val="19"/>
              <w:widowControl/>
              <w:spacing w:line="360" w:lineRule="auto"/>
              <w:ind w:firstLine="480" w:firstLineChars="200"/>
              <w:contextualSpacing/>
              <w:rPr>
                <w:rFonts w:hint="eastAsia" w:ascii="Times New Roman" w:hAnsi="Times New Roman"/>
                <w:lang w:val="zh-CN"/>
              </w:rPr>
            </w:pPr>
            <w:r>
              <w:rPr>
                <w:rFonts w:hint="eastAsia" w:ascii="Times New Roman" w:hAnsi="Times New Roman"/>
                <w:lang w:val="zh-CN"/>
              </w:rPr>
              <w:t>三、该报告表经批准后，如工程的性质、规模、地点或者防治污染、防止生态破坏的措施发生重大变动的，你单位应当重新报批报告表，否则不得实施建设。自报告表批准之日起，如工程超过5年未开工建设，报告表应当报我高重新审核。</w:t>
            </w:r>
          </w:p>
          <w:p>
            <w:pPr>
              <w:pStyle w:val="19"/>
              <w:widowControl/>
              <w:spacing w:line="360" w:lineRule="auto"/>
              <w:ind w:firstLine="480" w:firstLineChars="200"/>
              <w:contextualSpacing/>
              <w:rPr>
                <w:rFonts w:hint="default" w:ascii="Times New Roman" w:hAnsi="Times New Roman"/>
                <w:b/>
                <w:bCs/>
              </w:rPr>
            </w:pPr>
            <w:r>
              <w:rPr>
                <w:rFonts w:hint="eastAsia" w:ascii="Times New Roman" w:hAnsi="Times New Roman"/>
                <w:lang w:val="zh-CN"/>
              </w:rPr>
              <w:t>四、请资阳市乐至县环境监察执法大队负责该项目的“三同时”监督检查和日常的环境保护监督检查工作。</w:t>
            </w:r>
          </w:p>
        </w:tc>
      </w:tr>
    </w:tbl>
    <w:p>
      <w:pPr>
        <w:rPr>
          <w:rFonts w:ascii="Times New Roman" w:hAnsi="Times New Roman" w:cs="Times New Roma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rPr>
          <w:rFonts w:ascii="Times New Roman" w:hAnsi="Times New Roman" w:cs="Times New Roman"/>
          <w:b/>
          <w:bCs/>
          <w:sz w:val="30"/>
          <w:szCs w:val="30"/>
        </w:rPr>
      </w:pPr>
      <w:r>
        <w:rPr>
          <w:rFonts w:ascii="Times New Roman" w:hAnsi="Times New Roman" w:cs="Times New Roman"/>
          <w:b/>
          <w:bCs/>
          <w:sz w:val="30"/>
          <w:szCs w:val="30"/>
        </w:rPr>
        <w:t>表四</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验收监测标准</w:t>
      </w:r>
    </w:p>
    <w:tbl>
      <w:tblPr>
        <w:tblStyle w:val="2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3" w:type="dxa"/>
          </w:tcPr>
          <w:p>
            <w:pPr>
              <w:pStyle w:val="30"/>
              <w:keepNext w:val="0"/>
              <w:keepLines w:val="0"/>
              <w:pageBreakBefore w:val="0"/>
              <w:widowControl w:val="0"/>
              <w:kinsoku/>
              <w:wordWrap/>
              <w:overflowPunct/>
              <w:topLinePunct w:val="0"/>
              <w:autoSpaceDE/>
              <w:autoSpaceDN/>
              <w:bidi w:val="0"/>
              <w:adjustRightInd/>
              <w:snapToGrid/>
              <w:spacing w:after="0" w:line="240" w:lineRule="atLeast"/>
              <w:ind w:firstLine="480"/>
              <w:textAlignment w:val="auto"/>
              <w:rPr>
                <w:rFonts w:ascii="Times New Roman" w:hAnsi="Times New Roman" w:cs="Times New Roman"/>
                <w:highlight w:val="none"/>
              </w:rPr>
            </w:pPr>
            <w:r>
              <w:rPr>
                <w:rFonts w:ascii="Times New Roman" w:hAnsi="Times New Roman" w:cs="Times New Roman"/>
                <w:highlight w:val="none"/>
              </w:rPr>
              <w:t>环评标准与验收标准对照表见下表：</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表4-1</w:t>
            </w:r>
            <w:r>
              <w:rPr>
                <w:rFonts w:hint="eastAsia"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环评、验收监测执行标准对照表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968"/>
              <w:gridCol w:w="33"/>
              <w:gridCol w:w="2133"/>
              <w:gridCol w:w="1846"/>
              <w:gridCol w:w="20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
                      <w:bCs w:val="0"/>
                      <w:szCs w:val="21"/>
                      <w:highlight w:val="none"/>
                    </w:rPr>
                  </w:pPr>
                  <w:r>
                    <w:rPr>
                      <w:rFonts w:hint="default" w:ascii="Times New Roman" w:hAnsi="Times New Roman" w:cs="Times New Roman"/>
                      <w:b/>
                      <w:bCs w:val="0"/>
                      <w:szCs w:val="21"/>
                      <w:highlight w:val="none"/>
                    </w:rPr>
                    <w:t>类别</w:t>
                  </w:r>
                </w:p>
              </w:tc>
              <w:tc>
                <w:tcPr>
                  <w:tcW w:w="4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
                      <w:bCs w:val="0"/>
                      <w:szCs w:val="21"/>
                      <w:highlight w:val="none"/>
                    </w:rPr>
                  </w:pPr>
                  <w:r>
                    <w:rPr>
                      <w:rFonts w:hint="default" w:ascii="Times New Roman" w:hAnsi="Times New Roman" w:cs="Times New Roman"/>
                      <w:b/>
                      <w:bCs w:val="0"/>
                      <w:szCs w:val="21"/>
                      <w:highlight w:val="none"/>
                    </w:rPr>
                    <w:t>环评使用标准</w:t>
                  </w:r>
                </w:p>
              </w:tc>
              <w:tc>
                <w:tcPr>
                  <w:tcW w:w="39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
                      <w:bCs w:val="0"/>
                      <w:szCs w:val="21"/>
                      <w:highlight w:val="none"/>
                    </w:rPr>
                  </w:pPr>
                  <w:r>
                    <w:rPr>
                      <w:rFonts w:hint="default" w:ascii="Times New Roman" w:hAnsi="Times New Roman" w:cs="Times New Roman"/>
                      <w:b/>
                      <w:bCs w:val="0"/>
                      <w:szCs w:val="21"/>
                      <w:highlight w:val="none"/>
                    </w:rPr>
                    <w:t>验收监测标准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废水</w:t>
                  </w:r>
                </w:p>
              </w:tc>
              <w:tc>
                <w:tcPr>
                  <w:tcW w:w="4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废水执行《污水综合排放标准》（GB8978-1996）中三级标准限值，氨氮、总磷参照执行《污水排入城镇下水道水质标准》（GB/T31962-2015）</w:t>
                  </w:r>
                </w:p>
              </w:tc>
              <w:tc>
                <w:tcPr>
                  <w:tcW w:w="39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废水执行《污水综合排放标准》（GB8978-1996）中三级标准限值，氨氮、总磷参照执行《污水排入城镇下水道水质标准》（GB/T31962-2015）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highlight w:val="none"/>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限值</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项目</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highlight w:val="none"/>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PH</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6-9</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PH</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highlight w:val="none"/>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SS</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4</w:t>
                  </w:r>
                  <w:r>
                    <w:rPr>
                      <w:rFonts w:hint="default" w:ascii="Times New Roman" w:hAnsi="Times New Roman" w:cs="Times New Roman"/>
                      <w:szCs w:val="21"/>
                      <w:highlight w:val="none"/>
                    </w:rPr>
                    <w:t>00mg/L</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SS</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4</w:t>
                  </w:r>
                  <w:r>
                    <w:rPr>
                      <w:rFonts w:hint="default" w:ascii="Times New Roman" w:hAnsi="Times New Roman" w:cs="Times New Roman"/>
                      <w:szCs w:val="21"/>
                      <w:highlight w:val="none"/>
                    </w:rPr>
                    <w:t>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highlight w:val="none"/>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COD</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500mg/L</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COD</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500mg/L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highlight w:val="none"/>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vertAlign w:val="subscript"/>
                    </w:rPr>
                  </w:pPr>
                  <w:r>
                    <w:rPr>
                      <w:rFonts w:hint="default" w:ascii="Times New Roman" w:hAnsi="Times New Roman" w:cs="Times New Roman"/>
                      <w:szCs w:val="21"/>
                      <w:highlight w:val="none"/>
                    </w:rPr>
                    <w:t>BOD</w:t>
                  </w:r>
                  <w:r>
                    <w:rPr>
                      <w:rFonts w:hint="default" w:ascii="Times New Roman" w:hAnsi="Times New Roman" w:cs="Times New Roman"/>
                      <w:szCs w:val="21"/>
                      <w:highlight w:val="none"/>
                      <w:vertAlign w:val="subscript"/>
                    </w:rPr>
                    <w:t>5</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300mg/L</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vertAlign w:val="subscript"/>
                    </w:rPr>
                  </w:pPr>
                  <w:r>
                    <w:rPr>
                      <w:rFonts w:hint="default" w:ascii="Times New Roman" w:hAnsi="Times New Roman" w:cs="Times New Roman"/>
                      <w:szCs w:val="21"/>
                      <w:highlight w:val="none"/>
                    </w:rPr>
                    <w:t>BOD</w:t>
                  </w:r>
                  <w:r>
                    <w:rPr>
                      <w:rFonts w:hint="default" w:ascii="Times New Roman" w:hAnsi="Times New Roman" w:cs="Times New Roman"/>
                      <w:szCs w:val="21"/>
                      <w:highlight w:val="none"/>
                      <w:vertAlign w:val="subscript"/>
                    </w:rPr>
                    <w:t>5</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300mg/L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氨氮</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45mg/L（参照</w:t>
                  </w:r>
                  <w:r>
                    <w:rPr>
                      <w:rFonts w:hint="default" w:ascii="Times New Roman" w:hAnsi="Times New Roman" w:eastAsia="宋体" w:cs="Times New Roman"/>
                      <w:szCs w:val="21"/>
                    </w:rPr>
                    <w:t>GB/T31962-2015</w:t>
                  </w:r>
                  <w:r>
                    <w:rPr>
                      <w:rFonts w:hint="default" w:ascii="Times New Roman" w:hAnsi="Times New Roman" w:cs="Times New Roman"/>
                      <w:szCs w:val="21"/>
                    </w:rPr>
                    <w:t>）</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氨氮</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45mg/L（参照</w:t>
                  </w:r>
                  <w:r>
                    <w:rPr>
                      <w:rFonts w:hint="default" w:ascii="Times New Roman" w:hAnsi="Times New Roman" w:eastAsia="宋体" w:cs="Times New Roman"/>
                      <w:szCs w:val="21"/>
                    </w:rPr>
                    <w:t>GB/T31962-2015</w:t>
                  </w:r>
                  <w:r>
                    <w:rPr>
                      <w:rFonts w:hint="default"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总磷</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8mg/L（参照</w:t>
                  </w:r>
                  <w:r>
                    <w:rPr>
                      <w:rFonts w:hint="default" w:ascii="Times New Roman" w:hAnsi="Times New Roman" w:eastAsia="宋体" w:cs="Times New Roman"/>
                      <w:szCs w:val="21"/>
                    </w:rPr>
                    <w:t>GB/T31962-2015</w:t>
                  </w:r>
                  <w:r>
                    <w:rPr>
                      <w:rFonts w:hint="default" w:ascii="Times New Roman" w:hAnsi="Times New Roman" w:cs="Times New Roman"/>
                      <w:szCs w:val="21"/>
                    </w:rPr>
                    <w:t>）</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Cs w:val="21"/>
                    </w:rPr>
                    <w:t>总磷</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8mg/L（参照</w:t>
                  </w:r>
                  <w:r>
                    <w:rPr>
                      <w:rFonts w:hint="default" w:ascii="Times New Roman" w:hAnsi="Times New Roman" w:eastAsia="宋体" w:cs="Times New Roman"/>
                      <w:szCs w:val="21"/>
                    </w:rPr>
                    <w:t>GB/T31962-2015</w:t>
                  </w:r>
                  <w:r>
                    <w:rPr>
                      <w:rFonts w:hint="default" w:ascii="Times New Roman" w:hAnsi="Times New Roman" w:cs="Times New Roman"/>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废气</w:t>
                  </w:r>
                </w:p>
              </w:tc>
              <w:tc>
                <w:tcPr>
                  <w:tcW w:w="4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r>
                    <w:rPr>
                      <w:rFonts w:hint="default" w:ascii="Times New Roman" w:hAnsi="Times New Roman" w:eastAsia="宋体" w:cs="Times New Roman"/>
                      <w:bCs/>
                      <w:szCs w:val="21"/>
                    </w:rPr>
                    <w:t>《四川省固定污染源大气挥发性有机物排放标准》（DB51/2377-2017）</w:t>
                  </w:r>
                </w:p>
              </w:tc>
              <w:tc>
                <w:tcPr>
                  <w:tcW w:w="39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r>
                    <w:rPr>
                      <w:rFonts w:hint="default" w:ascii="Times New Roman" w:hAnsi="Times New Roman" w:eastAsia="宋体" w:cs="Times New Roman"/>
                      <w:bCs/>
                      <w:szCs w:val="21"/>
                    </w:rPr>
                    <w:t>《四川省固定污染源大气挥发性有机物排放标准》（DB51/2377-2017）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p>
              </w:tc>
              <w:tc>
                <w:tcPr>
                  <w:tcW w:w="1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项目</w:t>
                  </w:r>
                </w:p>
              </w:tc>
              <w:tc>
                <w:tcPr>
                  <w:tcW w:w="216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限值</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项目</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p>
              </w:tc>
              <w:tc>
                <w:tcPr>
                  <w:tcW w:w="19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VOCs（无组织）</w:t>
                  </w:r>
                </w:p>
              </w:tc>
              <w:tc>
                <w:tcPr>
                  <w:tcW w:w="216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cs="Times New Roman"/>
                      <w:bCs/>
                      <w:szCs w:val="21"/>
                    </w:rPr>
                    <w:t>2.0mg/m</w:t>
                  </w:r>
                  <w:r>
                    <w:rPr>
                      <w:rFonts w:hint="default" w:ascii="Times New Roman" w:hAnsi="Times New Roman" w:cs="Times New Roman"/>
                      <w:bCs/>
                      <w:szCs w:val="21"/>
                      <w:vertAlign w:val="superscript"/>
                    </w:rPr>
                    <w:t>3</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VOCs（无组织）</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cs="Times New Roman"/>
                      <w:bCs/>
                      <w:szCs w:val="21"/>
                    </w:rPr>
                    <w:t>2.0mg/m</w:t>
                  </w:r>
                  <w:r>
                    <w:rPr>
                      <w:rFonts w:hint="default" w:ascii="Times New Roman" w:hAnsi="Times New Roman" w:cs="Times New Roman"/>
                      <w:bCs/>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p>
              </w:tc>
              <w:tc>
                <w:tcPr>
                  <w:tcW w:w="196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VOCs（有组织）</w:t>
                  </w:r>
                </w:p>
              </w:tc>
              <w:tc>
                <w:tcPr>
                  <w:tcW w:w="216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Cs/>
                      <w:szCs w:val="21"/>
                    </w:rPr>
                  </w:pPr>
                  <w:r>
                    <w:rPr>
                      <w:rFonts w:hint="default" w:ascii="Times New Roman" w:hAnsi="Times New Roman" w:cs="Times New Roman"/>
                      <w:bCs/>
                      <w:szCs w:val="21"/>
                    </w:rPr>
                    <w:t>3.4kg/h（15m）</w:t>
                  </w:r>
                </w:p>
              </w:tc>
              <w:tc>
                <w:tcPr>
                  <w:tcW w:w="184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VOCs（有组织）</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Cs/>
                      <w:szCs w:val="21"/>
                    </w:rPr>
                  </w:pPr>
                  <w:r>
                    <w:rPr>
                      <w:rFonts w:hint="default" w:ascii="Times New Roman" w:hAnsi="Times New Roman" w:cs="Times New Roman"/>
                      <w:bCs/>
                      <w:szCs w:val="21"/>
                    </w:rPr>
                    <w:t>3.4kg/h（15m）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szCs w:val="21"/>
                    </w:rPr>
                  </w:pPr>
                </w:p>
              </w:tc>
              <w:tc>
                <w:tcPr>
                  <w:tcW w:w="196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p>
              </w:tc>
              <w:tc>
                <w:tcPr>
                  <w:tcW w:w="2166"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Cs/>
                      <w:szCs w:val="21"/>
                    </w:rPr>
                  </w:pPr>
                  <w:r>
                    <w:rPr>
                      <w:rFonts w:hint="default" w:ascii="Times New Roman" w:hAnsi="Times New Roman" w:cs="Times New Roman"/>
                      <w:bCs/>
                      <w:szCs w:val="21"/>
                    </w:rPr>
                    <w:t>60mg/m</w:t>
                  </w:r>
                  <w:r>
                    <w:rPr>
                      <w:rFonts w:hint="default" w:ascii="Times New Roman" w:hAnsi="Times New Roman" w:cs="Times New Roman"/>
                      <w:bCs/>
                      <w:szCs w:val="21"/>
                      <w:vertAlign w:val="superscript"/>
                    </w:rPr>
                    <w:t>3</w:t>
                  </w:r>
                </w:p>
              </w:tc>
              <w:tc>
                <w:tcPr>
                  <w:tcW w:w="184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eastAsia="宋体" w:cs="Times New Roman"/>
                      <w:bCs/>
                      <w:szCs w:val="21"/>
                    </w:rPr>
                  </w:pP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bCs/>
                      <w:szCs w:val="21"/>
                    </w:rPr>
                  </w:pPr>
                  <w:r>
                    <w:rPr>
                      <w:rFonts w:hint="default" w:ascii="Times New Roman" w:hAnsi="Times New Roman" w:cs="Times New Roman"/>
                      <w:bCs/>
                      <w:szCs w:val="21"/>
                    </w:rPr>
                    <w:t>60mg/m</w:t>
                  </w:r>
                  <w:r>
                    <w:rPr>
                      <w:rFonts w:hint="default" w:ascii="Times New Roman" w:hAnsi="Times New Roman" w:cs="Times New Roman"/>
                      <w:bCs/>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噪声</w:t>
                  </w:r>
                </w:p>
              </w:tc>
              <w:tc>
                <w:tcPr>
                  <w:tcW w:w="4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《工业企业厂界环境噪声排放标准》（GB12348-2008）中3类标准</w:t>
                  </w:r>
                </w:p>
              </w:tc>
              <w:tc>
                <w:tcPr>
                  <w:tcW w:w="39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《工业企业厂界环境噪声排放标准》（GB12348-2008）中3类标准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项目</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限值dB（A）</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项目</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限值dB（A）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昼间</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65</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昼间</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p>
              </w:tc>
              <w:tc>
                <w:tcPr>
                  <w:tcW w:w="2001"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夜间</w:t>
                  </w:r>
                </w:p>
              </w:tc>
              <w:tc>
                <w:tcPr>
                  <w:tcW w:w="21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55</w:t>
                  </w:r>
                </w:p>
              </w:tc>
              <w:tc>
                <w:tcPr>
                  <w:tcW w:w="18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夜间</w:t>
                  </w:r>
                </w:p>
              </w:tc>
              <w:tc>
                <w:tcPr>
                  <w:tcW w:w="209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contextualSpacing/>
                    <w:jc w:val="center"/>
                    <w:textAlignment w:val="auto"/>
                    <w:rPr>
                      <w:rFonts w:hint="default" w:ascii="Times New Roman" w:hAnsi="Times New Roman" w:cs="Times New Roman"/>
                      <w:szCs w:val="21"/>
                    </w:rPr>
                  </w:pPr>
                  <w:r>
                    <w:rPr>
                      <w:rFonts w:hint="default" w:ascii="Times New Roman" w:hAnsi="Times New Roman" w:cs="Times New Roman"/>
                      <w:szCs w:val="21"/>
                    </w:rPr>
                    <w:t>固体废物</w:t>
                  </w:r>
                </w:p>
              </w:tc>
              <w:tc>
                <w:tcPr>
                  <w:tcW w:w="4134"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一般固废执行《一般工业固体废物贮存和填埋污染控制标准》（GB18599－2020），危险废物储存执行《危险废物贮存污染控制标准》（GB18597－2001）中相关规定及2013年修改单。</w:t>
                  </w:r>
                </w:p>
              </w:tc>
              <w:tc>
                <w:tcPr>
                  <w:tcW w:w="3940"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jc w:val="center"/>
                    <w:textAlignment w:val="auto"/>
                    <w:rPr>
                      <w:rFonts w:hint="default" w:ascii="Times New Roman" w:hAnsi="Times New Roman" w:cs="Times New Roman"/>
                      <w:bCs/>
                      <w:szCs w:val="21"/>
                    </w:rPr>
                  </w:pPr>
                  <w:r>
                    <w:rPr>
                      <w:rFonts w:hint="default" w:ascii="Times New Roman" w:hAnsi="Times New Roman" w:cs="Times New Roman"/>
                      <w:bCs/>
                      <w:szCs w:val="21"/>
                    </w:rPr>
                    <w:t>一般固废执行《一般工业固体废物贮存和填埋污染控制标准》（GB18599－2020），危险废物储存执行《危险废物贮存污染控制标准》（GB18597－2001）中相关规定及2013年修改单。</w:t>
                  </w:r>
                </w:p>
              </w:tc>
            </w:tr>
          </w:tbl>
          <w:p>
            <w:pPr>
              <w:pStyle w:val="32"/>
              <w:ind w:firstLine="480" w:firstLineChars="200"/>
              <w:jc w:val="both"/>
              <w:rPr>
                <w:rFonts w:ascii="Times New Roman" w:hAnsi="Times New Roman" w:cs="Times New Roman" w:eastAsiaTheme="minorEastAsia"/>
                <w:b w:val="0"/>
                <w:kern w:val="2"/>
                <w:sz w:val="24"/>
                <w:szCs w:val="24"/>
                <w:highlight w:val="none"/>
                <w:lang w:val="en-US" w:eastAsia="zh-CN" w:bidi="ar-SA"/>
              </w:rPr>
            </w:pPr>
          </w:p>
        </w:tc>
      </w:tr>
    </w:tbl>
    <w:p>
      <w:pPr>
        <w:rPr>
          <w:rFonts w:ascii="Times New Roman" w:hAnsi="Times New Roman" w:cs="Times New Roman"/>
          <w:b/>
          <w:bCs/>
          <w:sz w:val="30"/>
          <w:szCs w:val="30"/>
        </w:rPr>
      </w:pPr>
      <w:r>
        <w:rPr>
          <w:rFonts w:ascii="Times New Roman" w:hAnsi="Times New Roman" w:cs="Times New Roman"/>
          <w:b/>
          <w:bCs/>
          <w:sz w:val="30"/>
          <w:szCs w:val="30"/>
        </w:rPr>
        <w:br w:type="page"/>
      </w:r>
    </w:p>
    <w:p>
      <w:pPr>
        <w:rPr>
          <w:rFonts w:ascii="Times New Roman" w:hAnsi="Times New Roman" w:cs="Times New Roman"/>
          <w:b/>
          <w:bCs/>
          <w:sz w:val="30"/>
          <w:szCs w:val="30"/>
        </w:rPr>
      </w:pPr>
      <w:r>
        <w:rPr>
          <w:rFonts w:ascii="Times New Roman" w:hAnsi="Times New Roman" w:cs="Times New Roman"/>
          <w:b/>
          <w:bCs/>
          <w:sz w:val="30"/>
          <w:szCs w:val="30"/>
        </w:rPr>
        <w:t>表五</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验收监测结果</w:t>
      </w:r>
    </w:p>
    <w:tbl>
      <w:tblPr>
        <w:tblStyle w:val="2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4" w:hRule="atLeast"/>
          <w:jc w:val="center"/>
        </w:trPr>
        <w:tc>
          <w:tcPr>
            <w:tcW w:w="8973" w:type="dxa"/>
          </w:tcPr>
          <w:p>
            <w:pPr>
              <w:spacing w:line="360" w:lineRule="auto"/>
              <w:rPr>
                <w:rFonts w:ascii="Times New Roman" w:hAnsi="Times New Roman" w:cs="Times New Roman"/>
                <w:sz w:val="28"/>
                <w:szCs w:val="28"/>
              </w:rPr>
            </w:pPr>
            <w:r>
              <w:rPr>
                <w:rFonts w:ascii="Times New Roman" w:hAnsi="Times New Roman" w:cs="Times New Roman"/>
                <w:b/>
                <w:bCs/>
                <w:sz w:val="28"/>
                <w:szCs w:val="28"/>
              </w:rPr>
              <w:t>一、验收监测分析质量控制和质量保证</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监测质量保证和质量控制按《环境监测技术规范》和《环境空气监测质量保证手册》的要求，进行全过程质量控制。</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1、现场采样和测试均严格按《验收监测方案》进行，并对监测期间发生的各种异常情况进行了详细的记录。</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2、验收监测中使用的布点、采样、分析测试方法，优先选择目前适用的国家和行业标准分析方法、监测技术规范，其次是国家环保总局推荐的统一分析方法或试行分析方法以及有关规定，符合采样要求。</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3、验收监测采样和分析人员，均获得环境监测资质合格证，持证上岗。</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w:t>
            </w:r>
            <w:r>
              <w:rPr>
                <w:rFonts w:hint="eastAsia" w:ascii="Times New Roman" w:hAnsi="Times New Roman" w:cs="Times New Roman"/>
                <w:sz w:val="24"/>
              </w:rPr>
              <w:t>气体监测分析过程中的质量保证和质量控制：采样器在进场前对气体分析、采样器流量计等均进行校核</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噪声监测分析过程中的质量保证和质量控制：分析时使用的声级计经计量部门检定、并在有效期间内，测定前后对噪声仪进行了校正，测定前后声级≤0.5dB（A）。</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、采样记录及分析结果：验收监测的采样记录及分析测试结果，均按国家标准和监测技术规范有关要求进行数据处理和填报，并按有关规定和要求进行了三级审核。</w:t>
            </w:r>
          </w:p>
          <w:p>
            <w:pPr>
              <w:pStyle w:val="4"/>
              <w:spacing w:before="0" w:after="0" w:line="360" w:lineRule="auto"/>
              <w:outlineLvl w:val="1"/>
              <w:rPr>
                <w:rFonts w:ascii="Times New Roman" w:hAnsi="Times New Roman" w:cs="Times New Roman"/>
                <w:szCs w:val="28"/>
              </w:rPr>
            </w:pPr>
            <w:bookmarkStart w:id="5" w:name="_Toc28625"/>
            <w:bookmarkStart w:id="6" w:name="_Toc455913673"/>
            <w:r>
              <w:rPr>
                <w:rFonts w:ascii="Times New Roman" w:hAnsi="Times New Roman" w:cs="Times New Roman"/>
                <w:szCs w:val="28"/>
              </w:rPr>
              <w:t>二、工况情况</w:t>
            </w:r>
            <w:bookmarkEnd w:id="5"/>
            <w:bookmarkEnd w:id="6"/>
          </w:p>
          <w:p>
            <w:pPr>
              <w:pStyle w:val="36"/>
              <w:spacing w:line="360" w:lineRule="auto"/>
              <w:ind w:firstLine="480" w:firstLineChars="200"/>
              <w:jc w:val="both"/>
              <w:rPr>
                <w:rFonts w:ascii="Times New Roman" w:cs="Times New Roman"/>
                <w:color w:val="auto"/>
              </w:rPr>
            </w:pPr>
            <w:r>
              <w:rPr>
                <w:rFonts w:ascii="Times New Roman" w:cs="Times New Roman" w:eastAsiaTheme="minorEastAsia"/>
                <w:color w:val="auto"/>
                <w:kern w:val="2"/>
              </w:rPr>
              <w:t>验收监测期间，该项目主体工程和环保设施连续、稳定、正常运行，满足验收监测的要求，验收期间</w:t>
            </w:r>
            <w:r>
              <w:rPr>
                <w:rFonts w:ascii="Times New Roman" w:cs="Times New Roman"/>
                <w:color w:val="auto"/>
              </w:rPr>
              <w:t>实际生产能力达到设计</w:t>
            </w:r>
            <w:r>
              <w:rPr>
                <w:rFonts w:ascii="Times New Roman" w:cs="Times New Roman"/>
                <w:bCs/>
                <w:color w:val="auto"/>
              </w:rPr>
              <w:t>生产规模</w:t>
            </w:r>
            <w:r>
              <w:rPr>
                <w:rFonts w:ascii="Times New Roman" w:cs="Times New Roman"/>
                <w:color w:val="auto"/>
              </w:rPr>
              <w:t>的75%以上，工况符合，满足验收监测条件。</w:t>
            </w:r>
          </w:p>
          <w:p>
            <w:pPr>
              <w:pStyle w:val="4"/>
              <w:spacing w:before="0" w:after="0" w:line="360" w:lineRule="auto"/>
              <w:outlineLvl w:val="1"/>
              <w:rPr>
                <w:rFonts w:ascii="Times New Roman" w:hAnsi="Times New Roman" w:cs="Times New Roman"/>
                <w:szCs w:val="28"/>
              </w:rPr>
            </w:pPr>
            <w:bookmarkStart w:id="7" w:name="_Toc216508029"/>
            <w:bookmarkStart w:id="8" w:name="_Toc70139331"/>
            <w:bookmarkStart w:id="9" w:name="_Toc185867427"/>
            <w:bookmarkStart w:id="10" w:name="_Toc70139218"/>
            <w:bookmarkStart w:id="11" w:name="_Toc70139529"/>
            <w:bookmarkStart w:id="12" w:name="_Toc22871"/>
            <w:bookmarkStart w:id="13" w:name="_Toc455913674"/>
            <w:r>
              <w:rPr>
                <w:rFonts w:ascii="Times New Roman" w:hAnsi="Times New Roman" w:cs="Times New Roman"/>
                <w:szCs w:val="28"/>
              </w:rPr>
              <w:t>三、</w:t>
            </w:r>
            <w:bookmarkEnd w:id="7"/>
            <w:bookmarkEnd w:id="8"/>
            <w:bookmarkEnd w:id="9"/>
            <w:bookmarkEnd w:id="10"/>
            <w:bookmarkEnd w:id="11"/>
            <w:bookmarkEnd w:id="12"/>
            <w:bookmarkEnd w:id="13"/>
            <w:bookmarkStart w:id="14" w:name="_Toc216508030"/>
            <w:bookmarkStart w:id="15" w:name="_Toc70139219"/>
            <w:bookmarkStart w:id="16" w:name="_Toc185867428"/>
            <w:bookmarkStart w:id="17" w:name="_Toc70139332"/>
            <w:bookmarkStart w:id="18" w:name="_Toc70139530"/>
            <w:r>
              <w:rPr>
                <w:rFonts w:ascii="Times New Roman" w:hAnsi="Times New Roman" w:cs="Times New Roman"/>
                <w:szCs w:val="28"/>
              </w:rPr>
              <w:t>监测内容</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项目区域市政污水管网已经建成，项目废水依托房东已建预处理池处理后外排园区污水管网。</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本次验收对项目的废气、废水、噪声进行了监测</w:t>
            </w:r>
            <w:r>
              <w:rPr>
                <w:rFonts w:ascii="Times New Roman" w:hAnsi="Times New Roman" w:cs="Times New Roman"/>
                <w:sz w:val="24"/>
              </w:rPr>
              <w:t>。</w:t>
            </w:r>
          </w:p>
          <w:p>
            <w:pPr>
              <w:spacing w:line="360" w:lineRule="auto"/>
              <w:ind w:firstLine="482" w:firstLineChars="200"/>
              <w:rPr>
                <w:rFonts w:hint="eastAsia" w:ascii="Times New Roman" w:hAnsi="Times New Roman" w:cs="Times New Roman"/>
                <w:b/>
                <w:bCs/>
                <w:sz w:val="24"/>
                <w:lang w:val="en-US" w:eastAsia="zh-CN"/>
              </w:rPr>
            </w:pPr>
          </w:p>
          <w:p>
            <w:pPr>
              <w:spacing w:line="360" w:lineRule="auto"/>
              <w:ind w:firstLine="482" w:firstLineChars="200"/>
              <w:rPr>
                <w:rFonts w:hint="eastAsia" w:ascii="Times New Roman" w:hAnsi="Times New Roman" w:cs="Times New Roman"/>
                <w:b/>
                <w:bCs/>
                <w:sz w:val="24"/>
                <w:lang w:val="en-US" w:eastAsia="zh-CN"/>
              </w:rPr>
            </w:pPr>
          </w:p>
          <w:p>
            <w:pPr>
              <w:spacing w:line="360" w:lineRule="auto"/>
              <w:ind w:firstLine="482" w:firstLineChars="200"/>
              <w:rPr>
                <w:rFonts w:hint="eastAsia" w:ascii="Times New Roman" w:hAnsi="Times New Roman" w:cs="Times New Roman"/>
                <w:b/>
                <w:bCs/>
                <w:sz w:val="24"/>
                <w:lang w:val="en-US" w:eastAsia="zh-CN"/>
              </w:rPr>
            </w:pPr>
          </w:p>
          <w:p>
            <w:pPr>
              <w:spacing w:line="360" w:lineRule="auto"/>
              <w:ind w:firstLine="482" w:firstLineChars="200"/>
              <w:rPr>
                <w:rFonts w:hint="eastAsia" w:ascii="Times New Roman" w:hAnsi="Times New Roman" w:cs="Times New Roman" w:eastAsiaTheme="minorEastAsia"/>
                <w:b/>
                <w:bCs/>
                <w:sz w:val="24"/>
                <w:lang w:eastAsia="zh-CN"/>
              </w:rPr>
            </w:pPr>
            <w:r>
              <w:rPr>
                <w:rFonts w:hint="eastAsia" w:ascii="Times New Roman" w:hAnsi="Times New Roman" w:cs="Times New Roman"/>
                <w:b/>
                <w:bCs/>
                <w:sz w:val="24"/>
                <w:lang w:val="en-US" w:eastAsia="zh-CN"/>
              </w:rPr>
              <w:t>1</w:t>
            </w:r>
            <w:r>
              <w:rPr>
                <w:rFonts w:hint="eastAsia" w:ascii="Times New Roman" w:hAnsi="Times New Roman" w:cs="Times New Roman"/>
                <w:b/>
                <w:bCs/>
                <w:sz w:val="24"/>
              </w:rPr>
              <w:t>、</w:t>
            </w:r>
            <w:r>
              <w:rPr>
                <w:rFonts w:ascii="Times New Roman" w:hAnsi="Times New Roman" w:cs="Times New Roman"/>
                <w:b/>
                <w:bCs/>
                <w:sz w:val="24"/>
              </w:rPr>
              <w:t>废水</w:t>
            </w:r>
            <w:r>
              <w:rPr>
                <w:rFonts w:hint="eastAsia" w:ascii="Times New Roman" w:hAnsi="Times New Roman" w:cs="Times New Roman"/>
                <w:b/>
                <w:bCs/>
                <w:sz w:val="24"/>
                <w:lang w:eastAsia="zh-CN"/>
              </w:rPr>
              <w:t>监测</w:t>
            </w:r>
          </w:p>
          <w:p>
            <w:pPr>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（1）监测点位、时间、频次</w:t>
            </w:r>
          </w:p>
          <w:p>
            <w:pPr>
              <w:spacing w:line="360" w:lineRule="auto"/>
              <w:ind w:firstLine="480" w:firstLineChars="200"/>
              <w:rPr>
                <w:rFonts w:ascii="Times New Roman" w:hAnsi="Times New Roman" w:cs="Times New Roman"/>
                <w:sz w:val="24"/>
              </w:rPr>
            </w:pPr>
            <w:r>
              <w:rPr>
                <w:rFonts w:ascii="Times New Roman" w:hAnsi="Times New Roman" w:cs="Times New Roman"/>
                <w:sz w:val="24"/>
              </w:rPr>
              <w:t>项目共布置1个废水监测点，废水采样布点、监测项目、监测频率见表5-</w:t>
            </w:r>
            <w:r>
              <w:rPr>
                <w:rFonts w:hint="eastAsia" w:ascii="Times New Roman" w:hAnsi="Times New Roman" w:cs="Times New Roman"/>
                <w:sz w:val="24"/>
                <w:lang w:val="en-US" w:eastAsia="zh-CN"/>
              </w:rPr>
              <w:t>1</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default" w:ascii="Times New Roman" w:hAnsi="Times New Roman" w:eastAsia="宋体" w:cs="Times New Roman"/>
                <w:b/>
                <w:bCs/>
                <w:sz w:val="24"/>
                <w:szCs w:val="24"/>
              </w:rPr>
            </w:pPr>
            <w:r>
              <w:rPr>
                <w:rFonts w:hint="eastAsia" w:ascii="Times New Roman" w:hAnsi="Times New Roman" w:eastAsia="宋体" w:cs="Times New Roman"/>
                <w:b/>
                <w:bCs/>
                <w:sz w:val="24"/>
                <w:szCs w:val="24"/>
              </w:rPr>
              <w:t>表</w:t>
            </w:r>
            <w:r>
              <w:rPr>
                <w:rFonts w:hint="default" w:ascii="Times New Roman" w:hAnsi="Times New Roman" w:eastAsia="宋体" w:cs="Times New Roman"/>
                <w:b/>
                <w:bCs/>
                <w:sz w:val="24"/>
                <w:szCs w:val="24"/>
              </w:rPr>
              <w:t>5-</w:t>
            </w:r>
            <w:r>
              <w:rPr>
                <w:rFonts w:hint="eastAsia" w:ascii="Times New Roman" w:hAnsi="Times New Roman" w:eastAsia="宋体" w:cs="Times New Roman"/>
                <w:b/>
                <w:bCs/>
                <w:sz w:val="24"/>
                <w:szCs w:val="24"/>
                <w:lang w:val="en-US" w:eastAsia="zh-CN"/>
              </w:rPr>
              <w:t xml:space="preserve">1 </w:t>
            </w:r>
            <w:r>
              <w:rPr>
                <w:rFonts w:hint="default" w:ascii="Times New Roman" w:hAnsi="Times New Roman" w:eastAsia="宋体" w:cs="Times New Roman"/>
                <w:b/>
                <w:bCs/>
                <w:sz w:val="24"/>
                <w:szCs w:val="24"/>
              </w:rPr>
              <w:t>废水采样布点及监测</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048"/>
              <w:gridCol w:w="2146"/>
              <w:gridCol w:w="2941"/>
              <w:gridCol w:w="16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48" w:type="dxa"/>
                  <w:tcBorders>
                    <w:tl2br w:val="nil"/>
                    <w:tr2bl w:val="nil"/>
                  </w:tcBorders>
                  <w:vAlign w:val="center"/>
                </w:tcPr>
                <w:p>
                  <w:pPr>
                    <w:jc w:val="center"/>
                    <w:rPr>
                      <w:rFonts w:ascii="Times New Roman" w:hAnsi="Times New Roman" w:cs="Times New Roman"/>
                      <w:b/>
                      <w:bCs/>
                      <w:szCs w:val="21"/>
                    </w:rPr>
                  </w:pPr>
                  <w:r>
                    <w:rPr>
                      <w:rFonts w:ascii="Times New Roman" w:hAnsi="Times New Roman" w:cs="Times New Roman"/>
                      <w:b/>
                      <w:bCs/>
                      <w:szCs w:val="21"/>
                    </w:rPr>
                    <w:t>污染源位置</w:t>
                  </w:r>
                </w:p>
              </w:tc>
              <w:tc>
                <w:tcPr>
                  <w:tcW w:w="2146" w:type="dxa"/>
                  <w:tcBorders>
                    <w:tl2br w:val="nil"/>
                    <w:tr2bl w:val="nil"/>
                  </w:tcBorders>
                  <w:vAlign w:val="center"/>
                </w:tcPr>
                <w:p>
                  <w:pPr>
                    <w:jc w:val="center"/>
                    <w:rPr>
                      <w:rFonts w:ascii="Times New Roman" w:hAnsi="Times New Roman" w:cs="Times New Roman"/>
                      <w:b/>
                      <w:bCs/>
                      <w:szCs w:val="21"/>
                    </w:rPr>
                  </w:pPr>
                  <w:r>
                    <w:rPr>
                      <w:rFonts w:ascii="Times New Roman" w:hAnsi="Times New Roman" w:cs="Times New Roman"/>
                      <w:b/>
                      <w:bCs/>
                      <w:szCs w:val="21"/>
                    </w:rPr>
                    <w:t>采样时间</w:t>
                  </w:r>
                </w:p>
              </w:tc>
              <w:tc>
                <w:tcPr>
                  <w:tcW w:w="2941" w:type="dxa"/>
                  <w:tcBorders>
                    <w:tl2br w:val="nil"/>
                    <w:tr2bl w:val="nil"/>
                  </w:tcBorders>
                  <w:vAlign w:val="center"/>
                </w:tcPr>
                <w:p>
                  <w:pPr>
                    <w:jc w:val="center"/>
                    <w:rPr>
                      <w:rFonts w:ascii="Times New Roman" w:hAnsi="Times New Roman" w:cs="Times New Roman"/>
                      <w:b/>
                      <w:bCs/>
                      <w:szCs w:val="21"/>
                    </w:rPr>
                  </w:pPr>
                  <w:r>
                    <w:rPr>
                      <w:rFonts w:ascii="Times New Roman" w:hAnsi="Times New Roman" w:cs="Times New Roman"/>
                      <w:b/>
                      <w:bCs/>
                      <w:szCs w:val="21"/>
                    </w:rPr>
                    <w:t>监测项目</w:t>
                  </w:r>
                </w:p>
              </w:tc>
              <w:tc>
                <w:tcPr>
                  <w:tcW w:w="1622" w:type="dxa"/>
                  <w:tcBorders>
                    <w:tl2br w:val="nil"/>
                    <w:tr2bl w:val="nil"/>
                  </w:tcBorders>
                  <w:vAlign w:val="center"/>
                </w:tcPr>
                <w:p>
                  <w:pPr>
                    <w:jc w:val="center"/>
                    <w:rPr>
                      <w:rFonts w:ascii="Times New Roman" w:hAnsi="Times New Roman" w:cs="Times New Roman"/>
                      <w:b/>
                      <w:bCs/>
                      <w:szCs w:val="21"/>
                    </w:rPr>
                  </w:pPr>
                  <w:r>
                    <w:rPr>
                      <w:rFonts w:ascii="Times New Roman" w:hAnsi="Times New Roman" w:cs="Times New Roman"/>
                      <w:b/>
                      <w:bCs/>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048" w:type="dxa"/>
                  <w:tcBorders>
                    <w:tl2br w:val="nil"/>
                    <w:tr2bl w:val="nil"/>
                  </w:tcBorders>
                  <w:vAlign w:val="center"/>
                </w:tcPr>
                <w:p>
                  <w:pPr>
                    <w:ind w:left="-105" w:leftChars="-50" w:right="-105" w:rightChars="-50"/>
                    <w:jc w:val="center"/>
                    <w:rPr>
                      <w:rFonts w:hint="eastAsia" w:ascii="宋体" w:hAnsi="宋体" w:eastAsia="宋体" w:cs="Times New Roman"/>
                      <w:szCs w:val="21"/>
                      <w:highlight w:val="none"/>
                    </w:rPr>
                  </w:pPr>
                  <w:r>
                    <w:rPr>
                      <w:rFonts w:hint="eastAsia" w:ascii="宋体" w:hAnsi="宋体" w:eastAsia="宋体" w:cs="Times New Roman"/>
                      <w:szCs w:val="21"/>
                      <w:highlight w:val="none"/>
                    </w:rPr>
                    <w:t>★1</w:t>
                  </w:r>
                </w:p>
                <w:p>
                  <w:pPr>
                    <w:ind w:left="-105" w:leftChars="-50" w:right="-105" w:rightChars="-50"/>
                    <w:jc w:val="center"/>
                    <w:rPr>
                      <w:rFonts w:ascii="Times New Roman" w:hAnsi="Times New Roman" w:cs="Times New Roman"/>
                      <w:szCs w:val="21"/>
                      <w:highlight w:val="none"/>
                    </w:rPr>
                  </w:pPr>
                  <w:r>
                    <w:rPr>
                      <w:rFonts w:hint="eastAsia" w:ascii="宋体" w:hAnsi="宋体" w:eastAsia="宋体" w:cs="Times New Roman"/>
                      <w:szCs w:val="21"/>
                      <w:highlight w:val="none"/>
                      <w:lang w:eastAsia="zh-CN"/>
                    </w:rPr>
                    <w:t>项目</w:t>
                  </w:r>
                  <w:r>
                    <w:rPr>
                      <w:rFonts w:hint="eastAsia" w:ascii="Times New Roman" w:hAnsi="Times New Roman" w:cs="Times New Roman"/>
                      <w:szCs w:val="21"/>
                      <w:highlight w:val="none"/>
                    </w:rPr>
                    <w:t>污水总排</w:t>
                  </w:r>
                  <w:r>
                    <w:rPr>
                      <w:rFonts w:ascii="Times New Roman" w:hAnsi="Times New Roman" w:cs="Times New Roman"/>
                      <w:szCs w:val="21"/>
                      <w:highlight w:val="none"/>
                    </w:rPr>
                    <w:t>口</w:t>
                  </w:r>
                </w:p>
              </w:tc>
              <w:tc>
                <w:tcPr>
                  <w:tcW w:w="2146" w:type="dxa"/>
                  <w:tcBorders>
                    <w:tl2br w:val="nil"/>
                    <w:tr2bl w:val="nil"/>
                  </w:tcBorders>
                  <w:vAlign w:val="center"/>
                </w:tcPr>
                <w:p>
                  <w:pPr>
                    <w:jc w:val="center"/>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eastAsia="zh-CN"/>
                    </w:rPr>
                    <w:t>2022年7月18日~19日</w:t>
                  </w:r>
                </w:p>
              </w:tc>
              <w:tc>
                <w:tcPr>
                  <w:tcW w:w="2941" w:type="dxa"/>
                  <w:tcBorders>
                    <w:tl2br w:val="nil"/>
                    <w:tr2bl w:val="nil"/>
                  </w:tcBorders>
                  <w:vAlign w:val="center"/>
                </w:tcPr>
                <w:p>
                  <w:pPr>
                    <w:jc w:val="center"/>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pH、化学需氧量、五日生化需氧量、氨氮、总磷、悬浮物、动植物油</w:t>
                  </w:r>
                </w:p>
              </w:tc>
              <w:tc>
                <w:tcPr>
                  <w:tcW w:w="1622" w:type="dxa"/>
                  <w:tcBorders>
                    <w:tl2br w:val="nil"/>
                    <w:tr2bl w:val="nil"/>
                  </w:tcBorders>
                  <w:vAlign w:val="center"/>
                </w:tcPr>
                <w:p>
                  <w:pPr>
                    <w:jc w:val="center"/>
                    <w:rPr>
                      <w:rFonts w:ascii="Times New Roman" w:hAnsi="Times New Roman" w:cs="Times New Roman"/>
                      <w:szCs w:val="21"/>
                      <w:highlight w:val="none"/>
                    </w:rPr>
                  </w:pPr>
                  <w:r>
                    <w:rPr>
                      <w:rFonts w:ascii="Times New Roman" w:hAnsi="Times New Roman" w:cs="Times New Roman"/>
                      <w:szCs w:val="21"/>
                      <w:highlight w:val="none"/>
                    </w:rPr>
                    <w:t>每天</w:t>
                  </w:r>
                  <w:r>
                    <w:rPr>
                      <w:rFonts w:hint="eastAsia" w:ascii="Times New Roman" w:hAnsi="Times New Roman" w:cs="Times New Roman"/>
                      <w:szCs w:val="21"/>
                      <w:highlight w:val="none"/>
                      <w:lang w:val="en-US" w:eastAsia="zh-CN"/>
                    </w:rPr>
                    <w:t>3</w:t>
                  </w:r>
                  <w:r>
                    <w:rPr>
                      <w:rFonts w:ascii="Times New Roman" w:hAnsi="Times New Roman" w:cs="Times New Roman"/>
                      <w:szCs w:val="21"/>
                      <w:highlight w:val="none"/>
                    </w:rPr>
                    <w:t>次</w:t>
                  </w:r>
                </w:p>
                <w:p>
                  <w:pPr>
                    <w:jc w:val="center"/>
                    <w:rPr>
                      <w:rFonts w:ascii="Times New Roman" w:hAnsi="Times New Roman" w:cs="Times New Roman"/>
                      <w:szCs w:val="21"/>
                      <w:highlight w:val="none"/>
                    </w:rPr>
                  </w:pPr>
                  <w:r>
                    <w:rPr>
                      <w:rFonts w:ascii="Times New Roman" w:hAnsi="Times New Roman" w:cs="Times New Roman"/>
                      <w:szCs w:val="21"/>
                      <w:highlight w:val="none"/>
                    </w:rPr>
                    <w:t>连续监测2天</w:t>
                  </w:r>
                </w:p>
              </w:tc>
            </w:tr>
          </w:tbl>
          <w:p>
            <w:pPr>
              <w:pStyle w:val="30"/>
              <w:spacing w:after="0" w:line="360" w:lineRule="auto"/>
              <w:ind w:firstLine="480"/>
              <w:contextualSpacing/>
              <w:rPr>
                <w:rFonts w:ascii="Times New Roman" w:hAnsi="Times New Roman" w:cs="Times New Roman"/>
              </w:rPr>
            </w:pPr>
            <w:r>
              <w:rPr>
                <w:b/>
                <w:bCs/>
                <w:szCs w:val="24"/>
              </w:rPr>
              <w:t>（2）分析方法</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表5-</w:t>
            </w:r>
            <w:r>
              <w:rPr>
                <w:rFonts w:hint="eastAsia" w:ascii="Times New Roman" w:hAnsi="Times New Roman" w:eastAsia="宋体" w:cs="Times New Roman"/>
                <w:b/>
                <w:bCs/>
                <w:sz w:val="24"/>
                <w:szCs w:val="24"/>
                <w:lang w:val="en-US" w:eastAsia="zh-CN"/>
              </w:rPr>
              <w:t xml:space="preserve">2 </w:t>
            </w:r>
            <w:r>
              <w:rPr>
                <w:rFonts w:hint="eastAsia" w:ascii="Times New Roman" w:hAnsi="Times New Roman" w:eastAsia="宋体" w:cs="Times New Roman"/>
                <w:b/>
                <w:bCs/>
                <w:sz w:val="24"/>
                <w:szCs w:val="24"/>
              </w:rPr>
              <w:t>废水监测分析方法</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786"/>
              <w:gridCol w:w="2976"/>
              <w:gridCol w:w="2499"/>
              <w:gridCol w:w="14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20"/>
                    <w:spacing w:before="0" w:beforeAutospacing="0" w:after="0" w:afterAutospacing="0"/>
                    <w:jc w:val="center"/>
                    <w:rPr>
                      <w:rFonts w:ascii="Times New Roman" w:hAnsi="Times New Roman" w:cs="Times New Roman"/>
                      <w:b/>
                      <w:bCs/>
                      <w:sz w:val="21"/>
                      <w:szCs w:val="21"/>
                    </w:rPr>
                  </w:pPr>
                  <w:r>
                    <w:rPr>
                      <w:rFonts w:ascii="Times New Roman" w:hAnsi="Times New Roman" w:cs="Times New Roman"/>
                      <w:b/>
                      <w:bCs/>
                      <w:sz w:val="21"/>
                      <w:szCs w:val="21"/>
                    </w:rPr>
                    <w:t>项目</w:t>
                  </w:r>
                </w:p>
              </w:tc>
              <w:tc>
                <w:tcPr>
                  <w:tcW w:w="1699" w:type="pct"/>
                  <w:tcBorders>
                    <w:tl2br w:val="nil"/>
                    <w:tr2bl w:val="nil"/>
                  </w:tcBorders>
                  <w:vAlign w:val="center"/>
                </w:tcPr>
                <w:p>
                  <w:pPr>
                    <w:pStyle w:val="20"/>
                    <w:spacing w:before="0" w:beforeAutospacing="0" w:after="0" w:afterAutospacing="0"/>
                    <w:jc w:val="center"/>
                    <w:rPr>
                      <w:rFonts w:ascii="Times New Roman" w:hAnsi="Times New Roman" w:cs="Times New Roman"/>
                      <w:b/>
                      <w:bCs/>
                      <w:sz w:val="21"/>
                      <w:szCs w:val="21"/>
                    </w:rPr>
                  </w:pPr>
                  <w:r>
                    <w:rPr>
                      <w:rFonts w:ascii="Times New Roman" w:hAnsi="Times New Roman" w:cs="Times New Roman"/>
                      <w:b/>
                      <w:bCs/>
                      <w:sz w:val="21"/>
                      <w:szCs w:val="21"/>
                    </w:rPr>
                    <w:t>检测方法</w:t>
                  </w:r>
                </w:p>
              </w:tc>
              <w:tc>
                <w:tcPr>
                  <w:tcW w:w="1426" w:type="pct"/>
                  <w:tcBorders>
                    <w:tl2br w:val="nil"/>
                    <w:tr2bl w:val="nil"/>
                  </w:tcBorders>
                  <w:vAlign w:val="center"/>
                </w:tcPr>
                <w:p>
                  <w:pPr>
                    <w:pStyle w:val="20"/>
                    <w:spacing w:before="0" w:beforeAutospacing="0" w:after="0" w:afterAutospacing="0"/>
                    <w:jc w:val="center"/>
                    <w:rPr>
                      <w:rFonts w:ascii="Times New Roman" w:hAnsi="Times New Roman" w:cs="Times New Roman"/>
                      <w:b/>
                      <w:bCs/>
                      <w:sz w:val="21"/>
                      <w:szCs w:val="21"/>
                    </w:rPr>
                  </w:pPr>
                  <w:r>
                    <w:rPr>
                      <w:rFonts w:ascii="Times New Roman" w:hAnsi="Times New Roman" w:cs="Times New Roman"/>
                      <w:b/>
                      <w:bCs/>
                      <w:sz w:val="21"/>
                      <w:szCs w:val="21"/>
                    </w:rPr>
                    <w:t>方法来源</w:t>
                  </w:r>
                </w:p>
              </w:tc>
              <w:tc>
                <w:tcPr>
                  <w:tcW w:w="854" w:type="pct"/>
                  <w:tcBorders>
                    <w:tl2br w:val="nil"/>
                    <w:tr2bl w:val="nil"/>
                  </w:tcBorders>
                  <w:vAlign w:val="center"/>
                </w:tcPr>
                <w:p>
                  <w:pPr>
                    <w:pStyle w:val="20"/>
                    <w:spacing w:before="0" w:beforeAutospacing="0" w:after="0" w:afterAutospacing="0"/>
                    <w:jc w:val="center"/>
                    <w:rPr>
                      <w:rFonts w:ascii="Times New Roman" w:hAnsi="Times New Roman" w:cs="Times New Roman"/>
                      <w:b/>
                      <w:bCs/>
                      <w:sz w:val="21"/>
                      <w:szCs w:val="21"/>
                    </w:rPr>
                  </w:pPr>
                  <w:r>
                    <w:rPr>
                      <w:rFonts w:ascii="Times New Roman" w:hAnsi="Times New Roman" w:cs="Times New Roman"/>
                      <w:b/>
                      <w:bCs/>
                      <w:sz w:val="21"/>
                      <w:szCs w:val="21"/>
                    </w:rPr>
                    <w:t>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pH</w:t>
                  </w:r>
                </w:p>
              </w:tc>
              <w:tc>
                <w:tcPr>
                  <w:tcW w:w="1699"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电极法</w:t>
                  </w:r>
                </w:p>
              </w:tc>
              <w:tc>
                <w:tcPr>
                  <w:tcW w:w="1426"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H</w:t>
                  </w:r>
                  <w:r>
                    <w:rPr>
                      <w:rFonts w:ascii="Times New Roman" w:hAnsi="Times New Roman" w:cs="Times New Roman"/>
                    </w:rPr>
                    <w:t>J1147-2020</w:t>
                  </w:r>
                </w:p>
              </w:tc>
              <w:tc>
                <w:tcPr>
                  <w:tcW w:w="854"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COD</w:t>
                  </w:r>
                </w:p>
              </w:tc>
              <w:tc>
                <w:tcPr>
                  <w:tcW w:w="1699"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快速消解分光光度法</w:t>
                  </w:r>
                </w:p>
              </w:tc>
              <w:tc>
                <w:tcPr>
                  <w:tcW w:w="1426"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HJ/T399-2017</w:t>
                  </w:r>
                </w:p>
              </w:tc>
              <w:tc>
                <w:tcPr>
                  <w:tcW w:w="854"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3.0</w:t>
                  </w:r>
                  <w:r>
                    <w:rPr>
                      <w:rFonts w:hint="eastAsia" w:ascii="Times New Roman" w:hAnsi="Times New Roman" w:cs="Times New Roma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BOD</w:t>
                  </w:r>
                  <w:r>
                    <w:rPr>
                      <w:rFonts w:ascii="Times New Roman" w:hAnsi="Times New Roman" w:cs="Times New Roman"/>
                      <w:vertAlign w:val="subscript"/>
                    </w:rPr>
                    <w:t>5</w:t>
                  </w:r>
                </w:p>
              </w:tc>
              <w:tc>
                <w:tcPr>
                  <w:tcW w:w="169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稀释与接种法</w:t>
                  </w:r>
                </w:p>
              </w:tc>
              <w:tc>
                <w:tcPr>
                  <w:tcW w:w="1426"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HJ505-2009</w:t>
                  </w:r>
                </w:p>
              </w:tc>
              <w:tc>
                <w:tcPr>
                  <w:tcW w:w="854"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0.5mg/L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氨氮</w:t>
                  </w:r>
                </w:p>
              </w:tc>
              <w:tc>
                <w:tcPr>
                  <w:tcW w:w="169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纳氏试剂分光光度法</w:t>
                  </w:r>
                </w:p>
              </w:tc>
              <w:tc>
                <w:tcPr>
                  <w:tcW w:w="1426"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HJ535-2009</w:t>
                  </w:r>
                </w:p>
              </w:tc>
              <w:tc>
                <w:tcPr>
                  <w:tcW w:w="854"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0.025mg/L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ascii="Times New Roman" w:hAnsi="Times New Roman" w:cs="Times New Roman"/>
                    </w:rPr>
                  </w:pPr>
                  <w:r>
                    <w:rPr>
                      <w:rFonts w:ascii="Times New Roman" w:hAnsi="Times New Roman" w:cs="Times New Roman"/>
                    </w:rPr>
                    <w:t>总磷</w:t>
                  </w:r>
                </w:p>
              </w:tc>
              <w:tc>
                <w:tcPr>
                  <w:tcW w:w="1699"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钼酸铵分光光度法</w:t>
                  </w:r>
                </w:p>
              </w:tc>
              <w:tc>
                <w:tcPr>
                  <w:tcW w:w="1426"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GB11893-89</w:t>
                  </w:r>
                </w:p>
              </w:tc>
              <w:tc>
                <w:tcPr>
                  <w:tcW w:w="854"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0.01mg/L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悬浮物</w:t>
                  </w:r>
                </w:p>
              </w:tc>
              <w:tc>
                <w:tcPr>
                  <w:tcW w:w="1699"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重量法</w:t>
                  </w:r>
                </w:p>
              </w:tc>
              <w:tc>
                <w:tcPr>
                  <w:tcW w:w="1426"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G</w:t>
                  </w:r>
                  <w:r>
                    <w:rPr>
                      <w:rFonts w:ascii="Times New Roman" w:hAnsi="Times New Roman" w:cs="Times New Roman"/>
                    </w:rPr>
                    <w:t>B11901-89</w:t>
                  </w:r>
                </w:p>
              </w:tc>
              <w:tc>
                <w:tcPr>
                  <w:tcW w:w="854" w:type="pct"/>
                  <w:tcBorders>
                    <w:tl2br w:val="nil"/>
                    <w:tr2bl w:val="nil"/>
                  </w:tcBorders>
                  <w:vAlign w:val="center"/>
                </w:tcPr>
                <w:p>
                  <w:pPr>
                    <w:pStyle w:val="12"/>
                    <w:adjustRightInd w:val="0"/>
                    <w:jc w:val="center"/>
                    <w:rPr>
                      <w:rFonts w:ascii="Times New Roman" w:hAnsi="Times New Roman" w:cs="Times New Roman"/>
                    </w:rPr>
                  </w:pPr>
                  <w:r>
                    <w:rPr>
                      <w:rFonts w:hint="eastAsia" w:ascii="Times New Roman" w:hAnsi="Times New Roman" w:cs="Times New Roman"/>
                    </w:rPr>
                    <w:t>4mg/L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019" w:type="pct"/>
                  <w:tcBorders>
                    <w:tl2br w:val="nil"/>
                    <w:tr2bl w:val="nil"/>
                  </w:tcBorders>
                  <w:vAlign w:val="center"/>
                </w:tcPr>
                <w:p>
                  <w:pPr>
                    <w:pStyle w:val="12"/>
                    <w:adjustRightInd w:val="0"/>
                    <w:jc w:val="center"/>
                    <w:rPr>
                      <w:rFonts w:hint="eastAsia" w:ascii="Times New Roman" w:hAnsi="Times New Roman" w:cs="Times New Roman" w:eastAsiaTheme="minorEastAsia"/>
                      <w:lang w:eastAsia="zh-CN"/>
                    </w:rPr>
                  </w:pPr>
                  <w:r>
                    <w:rPr>
                      <w:rFonts w:hint="eastAsia" w:ascii="Times New Roman" w:hAnsi="Times New Roman" w:cs="Times New Roman"/>
                      <w:lang w:eastAsia="zh-CN"/>
                    </w:rPr>
                    <w:t>动植物油</w:t>
                  </w:r>
                </w:p>
              </w:tc>
              <w:tc>
                <w:tcPr>
                  <w:tcW w:w="1699" w:type="pct"/>
                  <w:tcBorders>
                    <w:tl2br w:val="nil"/>
                    <w:tr2bl w:val="nil"/>
                  </w:tcBorders>
                  <w:vAlign w:val="center"/>
                </w:tcPr>
                <w:p>
                  <w:pPr>
                    <w:pStyle w:val="12"/>
                    <w:adjustRightInd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rPr>
                    <w:t>红外分光光度法</w:t>
                  </w:r>
                </w:p>
              </w:tc>
              <w:tc>
                <w:tcPr>
                  <w:tcW w:w="1426" w:type="pct"/>
                  <w:tcBorders>
                    <w:tl2br w:val="nil"/>
                    <w:tr2bl w:val="nil"/>
                  </w:tcBorders>
                  <w:vAlign w:val="center"/>
                </w:tcPr>
                <w:p>
                  <w:pPr>
                    <w:pStyle w:val="12"/>
                    <w:adjustRightInd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rPr>
                    <w:t>H</w:t>
                  </w:r>
                  <w:r>
                    <w:rPr>
                      <w:rFonts w:ascii="Times New Roman" w:hAnsi="Times New Roman" w:cs="Times New Roman"/>
                    </w:rPr>
                    <w:t>J 637-2018</w:t>
                  </w:r>
                </w:p>
              </w:tc>
              <w:tc>
                <w:tcPr>
                  <w:tcW w:w="854" w:type="pct"/>
                  <w:tcBorders>
                    <w:tl2br w:val="nil"/>
                    <w:tr2bl w:val="nil"/>
                  </w:tcBorders>
                  <w:vAlign w:val="center"/>
                </w:tcPr>
                <w:p>
                  <w:pPr>
                    <w:pStyle w:val="12"/>
                    <w:adjustRightInd w:val="0"/>
                    <w:jc w:val="center"/>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rPr>
                    <w:t>0</w:t>
                  </w:r>
                  <w:r>
                    <w:rPr>
                      <w:rFonts w:ascii="Times New Roman" w:hAnsi="Times New Roman" w:cs="Times New Roman"/>
                    </w:rPr>
                    <w:t>.06</w:t>
                  </w:r>
                  <w:r>
                    <w:rPr>
                      <w:rFonts w:hint="eastAsia" w:ascii="Times New Roman" w:hAnsi="Times New Roman" w:cs="Times New Roman"/>
                    </w:rPr>
                    <w:t>mg/L</w:t>
                  </w:r>
                </w:p>
              </w:tc>
            </w:tr>
          </w:tbl>
          <w:p>
            <w:pPr>
              <w:pStyle w:val="5"/>
              <w:spacing w:before="0" w:after="0" w:line="360" w:lineRule="auto"/>
              <w:ind w:firstLine="472" w:firstLineChars="196"/>
              <w:contextualSpacing/>
              <w:outlineLvl w:val="2"/>
              <w:rPr>
                <w:b/>
                <w:bCs/>
                <w:szCs w:val="24"/>
              </w:rPr>
            </w:pPr>
            <w:r>
              <w:rPr>
                <w:b/>
                <w:bCs/>
                <w:szCs w:val="24"/>
              </w:rPr>
              <w:t>（3）废水监测结果及评价</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表5-</w:t>
            </w: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rPr>
              <w:t xml:space="preserve">  项目总排口废水监测结果</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13"/>
              <w:gridCol w:w="1114"/>
              <w:gridCol w:w="1821"/>
              <w:gridCol w:w="759"/>
              <w:gridCol w:w="986"/>
              <w:gridCol w:w="986"/>
              <w:gridCol w:w="987"/>
              <w:gridCol w:w="9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restart"/>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rPr>
                    <w:t>点位</w:t>
                  </w:r>
                  <w:r>
                    <w:rPr>
                      <w:rFonts w:hint="default" w:ascii="Times New Roman" w:hAnsi="Times New Roman" w:eastAsia="宋体" w:cs="Times New Roman"/>
                      <w:b/>
                      <w:bCs/>
                      <w:sz w:val="21"/>
                      <w:szCs w:val="21"/>
                      <w:lang w:val="en-US" w:eastAsia="zh-CN"/>
                    </w:rPr>
                    <w:t>编号</w:t>
                  </w:r>
                </w:p>
              </w:tc>
              <w:tc>
                <w:tcPr>
                  <w:tcW w:w="1190" w:type="dxa"/>
                  <w:vMerge w:val="restart"/>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检测日期</w:t>
                  </w:r>
                </w:p>
              </w:tc>
              <w:tc>
                <w:tcPr>
                  <w:tcW w:w="1946" w:type="dxa"/>
                  <w:vMerge w:val="restart"/>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b/>
                      <w:bCs/>
                      <w:sz w:val="21"/>
                      <w:szCs w:val="21"/>
                      <w:lang w:val="en-US"/>
                    </w:rPr>
                    <w:t>检测项目</w:t>
                  </w:r>
                </w:p>
              </w:tc>
              <w:tc>
                <w:tcPr>
                  <w:tcW w:w="810" w:type="dxa"/>
                  <w:vMerge w:val="restart"/>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单位</w:t>
                  </w:r>
                </w:p>
              </w:tc>
              <w:tc>
                <w:tcPr>
                  <w:tcW w:w="3160" w:type="dxa"/>
                  <w:gridSpan w:val="3"/>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检测结果</w:t>
                  </w:r>
                </w:p>
              </w:tc>
              <w:tc>
                <w:tcPr>
                  <w:tcW w:w="1059" w:type="dxa"/>
                  <w:vMerge w:val="restart"/>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rPr>
                  </w:pPr>
                  <w:r>
                    <w:rPr>
                      <w:rFonts w:hint="default" w:ascii="Times New Roman" w:hAnsi="Times New Roman" w:eastAsia="宋体" w:cs="Times New Roman"/>
                      <w:b/>
                      <w:bCs/>
                      <w:sz w:val="21"/>
                      <w:szCs w:val="21"/>
                      <w:lang w:val="en-US"/>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rPr>
                  </w:pPr>
                </w:p>
              </w:tc>
              <w:tc>
                <w:tcPr>
                  <w:tcW w:w="1946"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rPr>
                  </w:pPr>
                </w:p>
              </w:tc>
              <w:tc>
                <w:tcPr>
                  <w:tcW w:w="81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rPr>
                  </w:pP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第一次</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第二次</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第三次</w:t>
                  </w:r>
                </w:p>
              </w:tc>
              <w:tc>
                <w:tcPr>
                  <w:tcW w:w="1059"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
                      <w:bCs/>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themeColor="text1"/>
                      <w:sz w:val="21"/>
                      <w:szCs w:val="21"/>
                      <w:lang w:val="en-US"/>
                    </w:rPr>
                    <w:t>★</w:t>
                  </w:r>
                  <w:r>
                    <w:rPr>
                      <w:rFonts w:hint="default" w:ascii="Times New Roman" w:hAnsi="Times New Roman" w:eastAsia="宋体" w:cs="Times New Roman"/>
                      <w:color w:val="000000" w:themeColor="text1"/>
                      <w:sz w:val="21"/>
                      <w:szCs w:val="21"/>
                      <w:lang w:val="en-US" w:eastAsia="zh-CN"/>
                    </w:rPr>
                    <w:t>1</w:t>
                  </w:r>
                </w:p>
              </w:tc>
              <w:tc>
                <w:tcPr>
                  <w:tcW w:w="1190"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color w:val="000000" w:themeColor="text1"/>
                      <w:sz w:val="21"/>
                      <w:szCs w:val="21"/>
                      <w:lang w:val="en-US" w:eastAsia="zh-CN"/>
                    </w:rPr>
                    <w:t>2022.07.18</w:t>
                  </w: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pH</w:t>
                  </w:r>
                </w:p>
              </w:tc>
              <w:tc>
                <w:tcPr>
                  <w:tcW w:w="810" w:type="dxa"/>
                  <w:tcBorders>
                    <w:tl2br w:val="nil"/>
                    <w:tr2bl w:val="nil"/>
                  </w:tcBorders>
                  <w:vAlign w:val="center"/>
                </w:tcPr>
                <w:p>
                  <w:pPr>
                    <w:pStyle w:val="67"/>
                    <w:spacing w:line="240" w:lineRule="atLeast"/>
                    <w:ind w:firstLine="0" w:firstLineChars="0"/>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sz w:val="21"/>
                      <w:szCs w:val="21"/>
                      <w:lang w:val="en-US"/>
                    </w:rPr>
                    <w:t>无量纲</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7.2</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7.2</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7.2</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化学需氧量</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22.4</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23.8</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26.1</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五日生化需氧量</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7.3</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7.9</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7.4</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氨氮</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0.534</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0.453</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0.413</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总磷</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0.12</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0.11</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0.12</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rPr>
                    <w:t>悬浮物</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动植物油</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2.25</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2.28</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2.18</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restart"/>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2022.07.19</w:t>
                  </w: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rPr>
                    <w:t>pH</w:t>
                  </w:r>
                </w:p>
              </w:tc>
              <w:tc>
                <w:tcPr>
                  <w:tcW w:w="810" w:type="dxa"/>
                  <w:tcBorders>
                    <w:tl2br w:val="nil"/>
                    <w:tr2bl w:val="nil"/>
                  </w:tcBorders>
                  <w:vAlign w:val="center"/>
                </w:tcPr>
                <w:p>
                  <w:pPr>
                    <w:pStyle w:val="67"/>
                    <w:spacing w:line="240" w:lineRule="atLeast"/>
                    <w:ind w:firstLine="0" w:firstLineChars="0"/>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sz w:val="21"/>
                      <w:szCs w:val="21"/>
                      <w:lang w:val="en-US"/>
                    </w:rPr>
                    <w:t>无量纲</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7.2</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7.2</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7.2</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化学需氧量</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27.6</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26.4</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28.7</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rPr>
                    <w:t>五日生化需氧量</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8.6</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7.3</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7.8</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rPr>
                    <w:t>氨氮</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0.613</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0.493</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0.387</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总磷</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0.11</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0.12</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0.12</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rPr>
                    <w:t>悬浮物</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24</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23</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22</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189" w:type="dxa"/>
                  <w:vMerge w:val="continue"/>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rPr>
                  </w:pPr>
                </w:p>
              </w:tc>
              <w:tc>
                <w:tcPr>
                  <w:tcW w:w="1190"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rPr>
                  </w:pPr>
                </w:p>
              </w:tc>
              <w:tc>
                <w:tcPr>
                  <w:tcW w:w="1946"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动植物油</w:t>
                  </w:r>
                </w:p>
              </w:tc>
              <w:tc>
                <w:tcPr>
                  <w:tcW w:w="810"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themeColor="text1"/>
                      <w:sz w:val="21"/>
                      <w:szCs w:val="21"/>
                      <w:lang w:val="en-US" w:eastAsia="zh-CN" w:bidi="zh-CN"/>
                    </w:rPr>
                  </w:pPr>
                  <w:r>
                    <w:rPr>
                      <w:rFonts w:hint="default" w:ascii="Times New Roman" w:hAnsi="Times New Roman" w:eastAsia="宋体" w:cs="Times New Roman"/>
                      <w:bCs/>
                      <w:color w:val="000000" w:themeColor="text1"/>
                      <w:sz w:val="21"/>
                      <w:szCs w:val="21"/>
                      <w:lang w:val="en-US"/>
                    </w:rPr>
                    <w:t>mg/L</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2.28</w:t>
                  </w:r>
                </w:p>
              </w:tc>
              <w:tc>
                <w:tcPr>
                  <w:tcW w:w="1053"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2.25</w:t>
                  </w:r>
                </w:p>
              </w:tc>
              <w:tc>
                <w:tcPr>
                  <w:tcW w:w="1054"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2.36</w:t>
                  </w:r>
                </w:p>
              </w:tc>
              <w:tc>
                <w:tcPr>
                  <w:tcW w:w="1059"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354" w:type="dxa"/>
                  <w:gridSpan w:val="8"/>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tLeast"/>
                    <w:ind w:left="79" w:leftChars="0"/>
                    <w:jc w:val="lef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color w:val="auto"/>
                      <w:sz w:val="21"/>
                      <w:szCs w:val="21"/>
                      <w:lang w:val="en-US" w:eastAsia="zh-CN"/>
                    </w:rPr>
                    <w:t>检测结果显示，在检测期间，</w:t>
                  </w:r>
                  <w:r>
                    <w:rPr>
                      <w:rFonts w:hint="default" w:ascii="Times New Roman" w:hAnsi="Times New Roman" w:eastAsia="宋体" w:cs="Times New Roman"/>
                      <w:color w:val="auto"/>
                      <w:sz w:val="21"/>
                      <w:szCs w:val="21"/>
                      <w:lang w:val="en-US"/>
                    </w:rPr>
                    <w:t>氨氮、</w:t>
                  </w:r>
                  <w:r>
                    <w:rPr>
                      <w:rFonts w:hint="default" w:ascii="Times New Roman" w:hAnsi="Times New Roman" w:eastAsia="宋体" w:cs="Times New Roman"/>
                      <w:color w:val="auto"/>
                      <w:sz w:val="21"/>
                      <w:szCs w:val="21"/>
                      <w:lang w:val="en-US" w:eastAsia="zh-CN"/>
                    </w:rPr>
                    <w:t>总磷检测结果满足</w:t>
                  </w:r>
                  <w:r>
                    <w:rPr>
                      <w:rFonts w:hint="default" w:ascii="Times New Roman" w:hAnsi="Times New Roman" w:eastAsia="宋体" w:cs="Times New Roman"/>
                      <w:color w:val="auto"/>
                      <w:sz w:val="21"/>
                      <w:szCs w:val="21"/>
                    </w:rPr>
                    <w:t>《污水排入城镇下水道水质标准》（GB/T 31962-2015）表1中</w:t>
                  </w:r>
                  <w:r>
                    <w:rPr>
                      <w:rFonts w:hint="default" w:ascii="Times New Roman" w:hAnsi="Times New Roman" w:eastAsia="宋体" w:cs="Times New Roman"/>
                      <w:color w:val="auto"/>
                      <w:sz w:val="21"/>
                      <w:szCs w:val="21"/>
                      <w:lang w:val="en-US" w:eastAsia="zh-CN"/>
                    </w:rPr>
                    <w:t>B</w:t>
                  </w:r>
                  <w:r>
                    <w:rPr>
                      <w:rFonts w:hint="default" w:ascii="Times New Roman" w:hAnsi="Times New Roman" w:eastAsia="宋体" w:cs="Times New Roman"/>
                      <w:color w:val="auto"/>
                      <w:sz w:val="21"/>
                      <w:szCs w:val="21"/>
                    </w:rPr>
                    <w:t>级标准限值</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其余项目检测结果均满足</w:t>
                  </w:r>
                  <w:r>
                    <w:rPr>
                      <w:rFonts w:hint="default" w:ascii="Times New Roman" w:hAnsi="Times New Roman" w:eastAsia="宋体" w:cs="Times New Roman"/>
                      <w:color w:val="auto"/>
                      <w:sz w:val="21"/>
                      <w:szCs w:val="21"/>
                      <w:lang w:val="en-US"/>
                    </w:rPr>
                    <w:t>《污水综合排放标》（GB 8978-96）表4中三级标准限值</w:t>
                  </w:r>
                  <w:r>
                    <w:rPr>
                      <w:rFonts w:hint="default" w:ascii="Times New Roman" w:hAnsi="Times New Roman" w:eastAsia="宋体" w:cs="Times New Roman"/>
                      <w:color w:val="auto"/>
                      <w:sz w:val="21"/>
                      <w:szCs w:val="21"/>
                      <w:lang w:val="en-US" w:eastAsia="zh-CN"/>
                    </w:rPr>
                    <w:t>。</w:t>
                  </w:r>
                </w:p>
              </w:tc>
            </w:tr>
          </w:tbl>
          <w:p>
            <w:pPr>
              <w:keepNext/>
              <w:keepLines/>
              <w:spacing w:line="360" w:lineRule="auto"/>
              <w:ind w:firstLine="472" w:firstLineChars="196"/>
              <w:outlineLvl w:val="2"/>
              <w:rPr>
                <w:rFonts w:ascii="Times New Roman" w:hAnsi="Times New Roman" w:cs="Times New Roman"/>
                <w:b/>
                <w:bCs/>
                <w:kern w:val="0"/>
                <w:sz w:val="24"/>
              </w:rPr>
            </w:pPr>
            <w:r>
              <w:rPr>
                <w:rFonts w:hint="eastAsia" w:ascii="Times New Roman" w:hAnsi="Times New Roman" w:cs="Times New Roman"/>
                <w:b/>
                <w:bCs/>
                <w:kern w:val="0"/>
                <w:sz w:val="24"/>
                <w:lang w:val="en-US" w:eastAsia="zh-CN"/>
              </w:rPr>
              <w:t>2</w:t>
            </w:r>
            <w:r>
              <w:rPr>
                <w:rFonts w:ascii="Times New Roman" w:hAnsi="Times New Roman" w:cs="Times New Roman"/>
                <w:b/>
                <w:sz w:val="24"/>
              </w:rPr>
              <w:t>、</w:t>
            </w:r>
            <w:r>
              <w:rPr>
                <w:rFonts w:hint="eastAsia" w:ascii="Times New Roman" w:hAnsi="Times New Roman" w:cs="Times New Roman"/>
                <w:b/>
                <w:bCs/>
                <w:kern w:val="0"/>
                <w:sz w:val="24"/>
              </w:rPr>
              <w:t>废气监测</w:t>
            </w:r>
          </w:p>
          <w:p>
            <w:pPr>
              <w:spacing w:line="360" w:lineRule="auto"/>
              <w:ind w:firstLine="482" w:firstLineChars="200"/>
              <w:rPr>
                <w:rFonts w:ascii="Times New Roman" w:hAnsi="Times New Roman" w:cs="Times New Roman"/>
                <w:b/>
                <w:bCs w:val="0"/>
                <w:sz w:val="24"/>
              </w:rPr>
            </w:pPr>
            <w:r>
              <w:rPr>
                <w:rFonts w:hint="eastAsia" w:ascii="Times New Roman" w:hAnsi="Times New Roman" w:cs="Times New Roman"/>
                <w:b/>
                <w:bCs w:val="0"/>
                <w:sz w:val="24"/>
              </w:rPr>
              <w:t>（</w:t>
            </w:r>
            <w:r>
              <w:rPr>
                <w:rFonts w:ascii="Times New Roman" w:hAnsi="Times New Roman" w:cs="Times New Roman"/>
                <w:b/>
                <w:bCs w:val="0"/>
                <w:sz w:val="24"/>
              </w:rPr>
              <w:t>1</w:t>
            </w:r>
            <w:r>
              <w:rPr>
                <w:rFonts w:hint="eastAsia" w:ascii="Times New Roman" w:hAnsi="Times New Roman" w:cs="Times New Roman"/>
                <w:b/>
                <w:bCs w:val="0"/>
                <w:sz w:val="24"/>
              </w:rPr>
              <w:t>）监测点位、时间、频次</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项目共布置</w:t>
            </w:r>
            <w:r>
              <w:rPr>
                <w:rFonts w:hint="eastAsia" w:ascii="Times New Roman" w:hAnsi="Times New Roman" w:cs="Times New Roman"/>
                <w:sz w:val="24"/>
                <w:lang w:val="en-US" w:eastAsia="zh-CN"/>
              </w:rPr>
              <w:t>1</w:t>
            </w:r>
            <w:r>
              <w:rPr>
                <w:rFonts w:hint="eastAsia" w:ascii="Times New Roman" w:hAnsi="Times New Roman" w:cs="Times New Roman"/>
                <w:sz w:val="24"/>
              </w:rPr>
              <w:t>个有组织废气监控点，</w:t>
            </w:r>
            <w:r>
              <w:rPr>
                <w:rFonts w:ascii="Times New Roman" w:hAnsi="Times New Roman" w:cs="Times New Roman"/>
                <w:sz w:val="24"/>
              </w:rPr>
              <w:t>3</w:t>
            </w:r>
            <w:r>
              <w:rPr>
                <w:rFonts w:hint="eastAsia" w:ascii="Times New Roman" w:hAnsi="Times New Roman" w:cs="Times New Roman"/>
                <w:sz w:val="24"/>
              </w:rPr>
              <w:t>个无组织废气监控点。项目废气监测点位见附图，废气采样布点、监测项目、监测频率见表</w:t>
            </w:r>
            <w:r>
              <w:rPr>
                <w:rFonts w:ascii="Times New Roman" w:hAnsi="Times New Roman" w:cs="Times New Roman"/>
                <w:sz w:val="24"/>
              </w:rPr>
              <w:t>5-</w:t>
            </w:r>
            <w:r>
              <w:rPr>
                <w:rFonts w:hint="eastAsia" w:ascii="Times New Roman" w:hAnsi="Times New Roman" w:cs="Times New Roman"/>
                <w:sz w:val="24"/>
                <w:lang w:val="en-US" w:eastAsia="zh-CN"/>
              </w:rPr>
              <w:t>4</w:t>
            </w:r>
            <w:r>
              <w:rPr>
                <w:rFonts w:hint="eastAsia"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表5-</w:t>
            </w:r>
            <w:r>
              <w:rPr>
                <w:rFonts w:hint="eastAsia" w:ascii="Times New Roman" w:hAnsi="Times New Roman" w:eastAsia="宋体" w:cs="Times New Roman"/>
                <w:b/>
                <w:bCs/>
                <w:sz w:val="24"/>
                <w:szCs w:val="24"/>
                <w:lang w:val="en-US" w:eastAsia="zh-CN"/>
              </w:rPr>
              <w:t xml:space="preserve">4 </w:t>
            </w:r>
            <w:r>
              <w:rPr>
                <w:rFonts w:hint="eastAsia" w:ascii="Times New Roman" w:hAnsi="Times New Roman" w:eastAsia="宋体" w:cs="Times New Roman"/>
                <w:b/>
                <w:bCs/>
                <w:sz w:val="24"/>
                <w:szCs w:val="24"/>
              </w:rPr>
              <w:t>废气采样布点及监测</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500"/>
              <w:gridCol w:w="1313"/>
              <w:gridCol w:w="3028"/>
              <w:gridCol w:w="12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4" w:type="pct"/>
                  <w:gridSpan w:val="2"/>
                  <w:tcBorders>
                    <w:tl2br w:val="nil"/>
                    <w:tr2bl w:val="nil"/>
                  </w:tcBorders>
                  <w:vAlign w:val="center"/>
                </w:tcPr>
                <w:p>
                  <w:pPr>
                    <w:jc w:val="center"/>
                    <w:rPr>
                      <w:rFonts w:ascii="Times New Roman" w:hAnsi="Times New Roman" w:cs="Times New Roman"/>
                      <w:b/>
                      <w:bCs w:val="0"/>
                      <w:szCs w:val="21"/>
                    </w:rPr>
                  </w:pPr>
                  <w:r>
                    <w:rPr>
                      <w:rFonts w:hint="eastAsia" w:ascii="Times New Roman" w:hAnsi="Times New Roman" w:cs="Times New Roman"/>
                      <w:b/>
                      <w:bCs w:val="0"/>
                      <w:szCs w:val="21"/>
                    </w:rPr>
                    <w:t>污染源位置</w:t>
                  </w:r>
                </w:p>
              </w:tc>
              <w:tc>
                <w:tcPr>
                  <w:tcW w:w="749" w:type="pct"/>
                  <w:tcBorders>
                    <w:tl2br w:val="nil"/>
                    <w:tr2bl w:val="nil"/>
                  </w:tcBorders>
                  <w:vAlign w:val="center"/>
                </w:tcPr>
                <w:p>
                  <w:pPr>
                    <w:jc w:val="center"/>
                    <w:rPr>
                      <w:rFonts w:ascii="Times New Roman" w:hAnsi="Times New Roman" w:cs="Times New Roman"/>
                      <w:b/>
                      <w:bCs w:val="0"/>
                      <w:szCs w:val="21"/>
                    </w:rPr>
                  </w:pPr>
                  <w:r>
                    <w:rPr>
                      <w:rFonts w:hint="eastAsia" w:ascii="Times New Roman" w:hAnsi="Times New Roman" w:cs="Times New Roman"/>
                      <w:b/>
                      <w:bCs w:val="0"/>
                      <w:szCs w:val="21"/>
                    </w:rPr>
                    <w:t>采样时间</w:t>
                  </w:r>
                </w:p>
              </w:tc>
              <w:tc>
                <w:tcPr>
                  <w:tcW w:w="1728" w:type="pct"/>
                  <w:tcBorders>
                    <w:tl2br w:val="nil"/>
                    <w:tr2bl w:val="nil"/>
                  </w:tcBorders>
                  <w:vAlign w:val="center"/>
                </w:tcPr>
                <w:p>
                  <w:pPr>
                    <w:jc w:val="center"/>
                    <w:rPr>
                      <w:rFonts w:ascii="Times New Roman" w:hAnsi="Times New Roman" w:cs="Times New Roman"/>
                      <w:b/>
                      <w:bCs w:val="0"/>
                      <w:szCs w:val="21"/>
                    </w:rPr>
                  </w:pPr>
                  <w:r>
                    <w:rPr>
                      <w:rFonts w:hint="eastAsia" w:ascii="Times New Roman" w:hAnsi="Times New Roman" w:cs="Times New Roman"/>
                      <w:b/>
                      <w:bCs w:val="0"/>
                      <w:szCs w:val="21"/>
                    </w:rPr>
                    <w:t>监测项目</w:t>
                  </w:r>
                </w:p>
              </w:tc>
              <w:tc>
                <w:tcPr>
                  <w:tcW w:w="717" w:type="pct"/>
                  <w:tcBorders>
                    <w:tl2br w:val="nil"/>
                    <w:tr2bl w:val="nil"/>
                  </w:tcBorders>
                  <w:vAlign w:val="center"/>
                </w:tcPr>
                <w:p>
                  <w:pPr>
                    <w:jc w:val="center"/>
                    <w:rPr>
                      <w:rFonts w:ascii="Times New Roman" w:hAnsi="Times New Roman" w:cs="Times New Roman"/>
                      <w:b/>
                      <w:bCs w:val="0"/>
                      <w:szCs w:val="21"/>
                    </w:rPr>
                  </w:pPr>
                  <w:r>
                    <w:rPr>
                      <w:rFonts w:hint="eastAsia" w:ascii="Times New Roman" w:hAnsi="Times New Roman" w:cs="Times New Roman"/>
                      <w:b/>
                      <w:bCs w:val="0"/>
                      <w:szCs w:val="21"/>
                    </w:rPr>
                    <w:t>监测频次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restart"/>
                  <w:tcBorders>
                    <w:tl2br w:val="nil"/>
                    <w:tr2bl w:val="nil"/>
                  </w:tcBorders>
                  <w:vAlign w:val="center"/>
                </w:tcPr>
                <w:p>
                  <w:pPr>
                    <w:jc w:val="center"/>
                    <w:rPr>
                      <w:rFonts w:ascii="Times New Roman" w:hAnsi="Times New Roman" w:cs="Times New Roman"/>
                      <w:bCs/>
                      <w:szCs w:val="21"/>
                    </w:rPr>
                  </w:pPr>
                  <w:r>
                    <w:rPr>
                      <w:rFonts w:hint="eastAsia" w:ascii="Times New Roman" w:hAnsi="Times New Roman" w:cs="Times New Roman"/>
                      <w:bCs/>
                      <w:szCs w:val="21"/>
                    </w:rPr>
                    <w:t>有组织</w:t>
                  </w:r>
                </w:p>
              </w:tc>
              <w:tc>
                <w:tcPr>
                  <w:tcW w:w="1427" w:type="pct"/>
                  <w:tcBorders>
                    <w:tl2br w:val="nil"/>
                    <w:tr2bl w:val="nil"/>
                  </w:tcBorders>
                  <w:vAlign w:val="center"/>
                </w:tcPr>
                <w:p>
                  <w:pPr>
                    <w:jc w:val="center"/>
                    <w:rPr>
                      <w:rFonts w:ascii="Times New Roman" w:hAnsi="Times New Roman" w:cs="Times New Roman"/>
                      <w:bCs/>
                      <w:szCs w:val="21"/>
                      <w:highlight w:val="none"/>
                    </w:rPr>
                  </w:pPr>
                  <w:r>
                    <w:rPr>
                      <w:rFonts w:hint="eastAsia"/>
                      <w:bCs/>
                      <w:szCs w:val="21"/>
                      <w:lang w:eastAsia="zh-CN"/>
                    </w:rPr>
                    <w:t>◎</w:t>
                  </w:r>
                  <w:r>
                    <w:rPr>
                      <w:rFonts w:hint="eastAsia"/>
                      <w:bCs/>
                      <w:szCs w:val="21"/>
                      <w:lang w:val="en-US" w:eastAsia="zh-CN"/>
                    </w:rPr>
                    <w:t>2</w:t>
                  </w:r>
                  <w:r>
                    <w:rPr>
                      <w:rFonts w:hint="eastAsia"/>
                      <w:bCs/>
                      <w:szCs w:val="21"/>
                      <w:lang w:eastAsia="zh-CN"/>
                    </w:rPr>
                    <w:t>吹膜印刷废气排气筒</w:t>
                  </w:r>
                </w:p>
              </w:tc>
              <w:tc>
                <w:tcPr>
                  <w:tcW w:w="749" w:type="pct"/>
                  <w:vMerge w:val="restart"/>
                  <w:tcBorders>
                    <w:tl2br w:val="nil"/>
                    <w:tr2bl w:val="nil"/>
                  </w:tcBorders>
                  <w:vAlign w:val="center"/>
                </w:tcPr>
                <w:p>
                  <w:pPr>
                    <w:jc w:val="center"/>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eastAsia="zh-CN"/>
                    </w:rPr>
                    <w:t>2022年7月18日~19日</w:t>
                  </w:r>
                </w:p>
              </w:tc>
              <w:tc>
                <w:tcPr>
                  <w:tcW w:w="1728" w:type="pct"/>
                  <w:tcBorders>
                    <w:tl2br w:val="nil"/>
                    <w:tr2bl w:val="nil"/>
                  </w:tcBorders>
                  <w:vAlign w:val="center"/>
                </w:tcPr>
                <w:p>
                  <w:pPr>
                    <w:spacing w:line="240" w:lineRule="auto"/>
                    <w:ind w:firstLine="0" w:firstLineChars="0"/>
                    <w:jc w:val="center"/>
                    <w:rPr>
                      <w:rFonts w:ascii="Times New Roman" w:hAnsi="Times New Roman" w:cs="Times New Roman" w:eastAsiaTheme="minorEastAsia"/>
                      <w:bCs/>
                      <w:kern w:val="2"/>
                      <w:sz w:val="21"/>
                      <w:szCs w:val="21"/>
                      <w:highlight w:val="none"/>
                      <w:lang w:val="en-US" w:eastAsia="zh-CN" w:bidi="ar-SA"/>
                    </w:rPr>
                  </w:pPr>
                  <w:r>
                    <w:rPr>
                      <w:rFonts w:hint="eastAsia" w:ascii="Times New Roman" w:hAnsi="Times New Roman" w:cs="Times New Roman"/>
                      <w:sz w:val="21"/>
                      <w:szCs w:val="21"/>
                      <w:highlight w:val="none"/>
                      <w:lang w:val="en-US" w:eastAsia="zh-CN"/>
                    </w:rPr>
                    <w:t>非甲烷总烃</w:t>
                  </w:r>
                </w:p>
              </w:tc>
              <w:tc>
                <w:tcPr>
                  <w:tcW w:w="717" w:type="pct"/>
                  <w:vMerge w:val="restart"/>
                  <w:tcBorders>
                    <w:tl2br w:val="nil"/>
                    <w:tr2bl w:val="nil"/>
                  </w:tcBorders>
                  <w:vAlign w:val="center"/>
                </w:tcPr>
                <w:p>
                  <w:pPr>
                    <w:jc w:val="center"/>
                    <w:rPr>
                      <w:rFonts w:ascii="Times New Roman" w:hAnsi="Times New Roman" w:cs="Times New Roman"/>
                      <w:bCs/>
                      <w:szCs w:val="21"/>
                    </w:rPr>
                  </w:pPr>
                  <w:r>
                    <w:rPr>
                      <w:rFonts w:hint="eastAsia" w:ascii="Times New Roman" w:hAnsi="Times New Roman" w:cs="Times New Roman"/>
                      <w:szCs w:val="21"/>
                    </w:rPr>
                    <w:t>每天</w:t>
                  </w:r>
                  <w:r>
                    <w:rPr>
                      <w:rFonts w:ascii="Times New Roman" w:hAnsi="Times New Roman" w:cs="Times New Roman"/>
                      <w:szCs w:val="21"/>
                    </w:rPr>
                    <w:t>3</w:t>
                  </w:r>
                  <w:r>
                    <w:rPr>
                      <w:rFonts w:hint="eastAsia" w:ascii="Times New Roman" w:hAnsi="Times New Roman" w:cs="Times New Roman"/>
                      <w:szCs w:val="21"/>
                    </w:rPr>
                    <w:t>次，监测</w:t>
                  </w:r>
                  <w:r>
                    <w:rPr>
                      <w:rFonts w:ascii="Times New Roman" w:hAnsi="Times New Roman" w:cs="Times New Roman"/>
                      <w:szCs w:val="21"/>
                    </w:rPr>
                    <w:t>2</w:t>
                  </w:r>
                  <w:r>
                    <w:rPr>
                      <w:rFonts w:hint="eastAsia" w:ascii="Times New Roman" w:hAnsi="Times New Roman" w:cs="Times New Roman"/>
                      <w:szCs w:val="21"/>
                    </w:rPr>
                    <w:t>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continue"/>
                  <w:tcBorders>
                    <w:tl2br w:val="nil"/>
                    <w:tr2bl w:val="nil"/>
                  </w:tcBorders>
                  <w:vAlign w:val="center"/>
                </w:tcPr>
                <w:p>
                  <w:pPr>
                    <w:jc w:val="center"/>
                    <w:rPr>
                      <w:rFonts w:hint="eastAsia" w:ascii="Times New Roman" w:hAnsi="Times New Roman" w:cs="Times New Roman"/>
                      <w:bCs/>
                      <w:szCs w:val="21"/>
                    </w:rPr>
                  </w:pPr>
                </w:p>
              </w:tc>
              <w:tc>
                <w:tcPr>
                  <w:tcW w:w="1427" w:type="pct"/>
                  <w:tcBorders>
                    <w:tl2br w:val="nil"/>
                    <w:tr2bl w:val="nil"/>
                  </w:tcBorders>
                  <w:vAlign w:val="center"/>
                </w:tcPr>
                <w:p>
                  <w:pPr>
                    <w:jc w:val="center"/>
                    <w:rPr>
                      <w:rFonts w:hint="eastAsia" w:ascii="Times New Roman" w:hAnsi="Times New Roman" w:cs="Times New Roman"/>
                      <w:color w:val="000000" w:themeColor="text1"/>
                      <w:sz w:val="21"/>
                      <w:szCs w:val="21"/>
                      <w:highlight w:val="none"/>
                      <w:lang w:val="en-US"/>
                    </w:rPr>
                  </w:pPr>
                  <w:r>
                    <w:rPr>
                      <w:rFonts w:hint="eastAsia"/>
                      <w:bCs/>
                      <w:szCs w:val="21"/>
                      <w:lang w:eastAsia="zh-CN"/>
                    </w:rPr>
                    <w:t>◎</w:t>
                  </w:r>
                  <w:r>
                    <w:rPr>
                      <w:rFonts w:hint="eastAsia"/>
                      <w:bCs/>
                      <w:szCs w:val="21"/>
                      <w:lang w:val="en-US" w:eastAsia="zh-CN"/>
                    </w:rPr>
                    <w:t>3</w:t>
                  </w:r>
                  <w:r>
                    <w:rPr>
                      <w:rFonts w:hint="eastAsia"/>
                      <w:bCs/>
                      <w:szCs w:val="21"/>
                      <w:lang w:eastAsia="zh-CN"/>
                    </w:rPr>
                    <w:t>造粒</w:t>
                  </w:r>
                  <w:r>
                    <w:rPr>
                      <w:rFonts w:hint="eastAsia"/>
                      <w:bCs/>
                      <w:szCs w:val="21"/>
                    </w:rPr>
                    <w:t>废气排气筒</w:t>
                  </w:r>
                </w:p>
              </w:tc>
              <w:tc>
                <w:tcPr>
                  <w:tcW w:w="749" w:type="pct"/>
                  <w:vMerge w:val="continue"/>
                  <w:tcBorders>
                    <w:tl2br w:val="nil"/>
                    <w:tr2bl w:val="nil"/>
                  </w:tcBorders>
                  <w:vAlign w:val="center"/>
                </w:tcPr>
                <w:p>
                  <w:pPr>
                    <w:jc w:val="center"/>
                    <w:rPr>
                      <w:rFonts w:hint="eastAsia" w:ascii="Times New Roman" w:hAnsi="Times New Roman" w:cs="Times New Roman"/>
                      <w:szCs w:val="21"/>
                      <w:highlight w:val="none"/>
                      <w:lang w:eastAsia="zh-CN"/>
                    </w:rPr>
                  </w:pPr>
                </w:p>
              </w:tc>
              <w:tc>
                <w:tcPr>
                  <w:tcW w:w="1728" w:type="pct"/>
                  <w:tcBorders>
                    <w:tl2br w:val="nil"/>
                    <w:tr2bl w:val="nil"/>
                  </w:tcBorders>
                  <w:vAlign w:val="center"/>
                </w:tcPr>
                <w:p>
                  <w:pPr>
                    <w:spacing w:line="240" w:lineRule="auto"/>
                    <w:ind w:firstLine="0" w:firstLineChars="0"/>
                    <w:jc w:val="center"/>
                    <w:rPr>
                      <w:rFonts w:hint="eastAsia" w:ascii="Times New Roman" w:hAnsi="Times New Roman" w:cs="Times New Roman" w:eastAsiaTheme="minorEastAsia"/>
                      <w:bCs/>
                      <w:kern w:val="2"/>
                      <w:sz w:val="21"/>
                      <w:szCs w:val="21"/>
                      <w:highlight w:val="none"/>
                      <w:lang w:val="en-US" w:eastAsia="zh-CN" w:bidi="ar-SA"/>
                    </w:rPr>
                  </w:pPr>
                  <w:r>
                    <w:rPr>
                      <w:rFonts w:hint="eastAsia" w:ascii="Times New Roman" w:hAnsi="Times New Roman" w:cs="Times New Roman"/>
                      <w:sz w:val="21"/>
                      <w:szCs w:val="21"/>
                      <w:highlight w:val="none"/>
                      <w:lang w:val="en-US" w:eastAsia="zh-CN"/>
                    </w:rPr>
                    <w:t>非甲烷总烃</w:t>
                  </w:r>
                </w:p>
              </w:tc>
              <w:tc>
                <w:tcPr>
                  <w:tcW w:w="717" w:type="pct"/>
                  <w:vMerge w:val="continue"/>
                  <w:tcBorders>
                    <w:tl2br w:val="nil"/>
                    <w:tr2bl w:val="nil"/>
                  </w:tcBorders>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continue"/>
                  <w:tcBorders>
                    <w:tl2br w:val="nil"/>
                    <w:tr2bl w:val="nil"/>
                  </w:tcBorders>
                  <w:vAlign w:val="center"/>
                </w:tcPr>
                <w:p>
                  <w:pPr>
                    <w:jc w:val="center"/>
                    <w:rPr>
                      <w:rFonts w:hint="eastAsia" w:ascii="Times New Roman" w:hAnsi="Times New Roman" w:cs="Times New Roman"/>
                      <w:bCs/>
                      <w:szCs w:val="21"/>
                    </w:rPr>
                  </w:pPr>
                </w:p>
              </w:tc>
              <w:tc>
                <w:tcPr>
                  <w:tcW w:w="1427" w:type="pct"/>
                  <w:tcBorders>
                    <w:tl2br w:val="nil"/>
                    <w:tr2bl w:val="nil"/>
                  </w:tcBorders>
                  <w:vAlign w:val="center"/>
                </w:tcPr>
                <w:p>
                  <w:pPr>
                    <w:jc w:val="center"/>
                    <w:rPr>
                      <w:rFonts w:hint="eastAsia" w:ascii="Times New Roman" w:hAnsi="Times New Roman" w:cs="Times New Roman"/>
                      <w:color w:val="000000" w:themeColor="text1"/>
                      <w:sz w:val="21"/>
                      <w:szCs w:val="21"/>
                      <w:highlight w:val="none"/>
                      <w:lang w:val="en-US"/>
                    </w:rPr>
                  </w:pPr>
                  <w:r>
                    <w:rPr>
                      <w:rFonts w:hint="eastAsia"/>
                      <w:bCs/>
                      <w:szCs w:val="21"/>
                      <w:lang w:eastAsia="zh-CN"/>
                    </w:rPr>
                    <w:t>◎</w:t>
                  </w:r>
                  <w:r>
                    <w:rPr>
                      <w:rFonts w:hint="eastAsia"/>
                      <w:bCs/>
                      <w:szCs w:val="21"/>
                      <w:lang w:val="en-US" w:eastAsia="zh-CN"/>
                    </w:rPr>
                    <w:t>4</w:t>
                  </w:r>
                  <w:r>
                    <w:rPr>
                      <w:rFonts w:hint="eastAsia"/>
                      <w:bCs/>
                      <w:szCs w:val="21"/>
                      <w:lang w:eastAsia="zh-CN"/>
                    </w:rPr>
                    <w:t>食堂油烟排气筒</w:t>
                  </w:r>
                </w:p>
              </w:tc>
              <w:tc>
                <w:tcPr>
                  <w:tcW w:w="749" w:type="pct"/>
                  <w:vMerge w:val="continue"/>
                  <w:tcBorders>
                    <w:tl2br w:val="nil"/>
                    <w:tr2bl w:val="nil"/>
                  </w:tcBorders>
                  <w:vAlign w:val="center"/>
                </w:tcPr>
                <w:p>
                  <w:pPr>
                    <w:jc w:val="center"/>
                    <w:rPr>
                      <w:rFonts w:hint="eastAsia" w:ascii="Times New Roman" w:hAnsi="Times New Roman" w:cs="Times New Roman"/>
                      <w:szCs w:val="21"/>
                      <w:highlight w:val="none"/>
                      <w:lang w:eastAsia="zh-CN"/>
                    </w:rPr>
                  </w:pPr>
                </w:p>
              </w:tc>
              <w:tc>
                <w:tcPr>
                  <w:tcW w:w="1728" w:type="pct"/>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油烟</w:t>
                  </w:r>
                </w:p>
              </w:tc>
              <w:tc>
                <w:tcPr>
                  <w:tcW w:w="717" w:type="pct"/>
                  <w:vMerge w:val="continue"/>
                  <w:tcBorders>
                    <w:tl2br w:val="nil"/>
                    <w:tr2bl w:val="nil"/>
                  </w:tcBorders>
                  <w:vAlign w:val="center"/>
                </w:tcPr>
                <w:p>
                  <w:pPr>
                    <w:jc w:val="center"/>
                    <w:rPr>
                      <w:rFonts w:hint="eastAsia"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restart"/>
                  <w:tcBorders>
                    <w:tl2br w:val="nil"/>
                    <w:tr2bl w:val="nil"/>
                  </w:tcBorders>
                  <w:vAlign w:val="center"/>
                </w:tcPr>
                <w:p>
                  <w:pPr>
                    <w:jc w:val="center"/>
                    <w:outlineLvl w:val="0"/>
                    <w:rPr>
                      <w:rFonts w:ascii="Times New Roman" w:hAnsi="Times New Roman" w:cs="Courier New"/>
                      <w:kern w:val="0"/>
                      <w:szCs w:val="21"/>
                    </w:rPr>
                  </w:pPr>
                  <w:r>
                    <w:rPr>
                      <w:rFonts w:ascii="Times New Roman" w:hAnsi="Times New Roman" w:cs="Courier New"/>
                      <w:kern w:val="0"/>
                      <w:szCs w:val="21"/>
                    </w:rPr>
                    <w:t>无组织</w:t>
                  </w:r>
                </w:p>
              </w:tc>
              <w:tc>
                <w:tcPr>
                  <w:tcW w:w="1427" w:type="pct"/>
                  <w:tcBorders>
                    <w:tl2br w:val="nil"/>
                    <w:tr2bl w:val="nil"/>
                  </w:tcBorders>
                  <w:vAlign w:val="center"/>
                </w:tcPr>
                <w:p>
                  <w:pPr>
                    <w:jc w:val="center"/>
                    <w:outlineLvl w:val="0"/>
                    <w:rPr>
                      <w:rFonts w:ascii="Times New Roman" w:hAnsi="Times New Roman" w:cs="Courier New"/>
                      <w:kern w:val="0"/>
                      <w:szCs w:val="21"/>
                      <w:highlight w:val="none"/>
                    </w:rPr>
                  </w:pPr>
                  <w:r>
                    <w:rPr>
                      <w:rFonts w:hint="eastAsia" w:ascii="宋体" w:hAnsi="宋体" w:eastAsia="宋体" w:cs="Courier New"/>
                      <w:kern w:val="0"/>
                      <w:szCs w:val="21"/>
                      <w:highlight w:val="none"/>
                    </w:rPr>
                    <w:t>○</w:t>
                  </w:r>
                  <w:r>
                    <w:rPr>
                      <w:rFonts w:hint="eastAsia" w:ascii="Times New Roman" w:hAnsi="Times New Roman" w:eastAsia="宋体" w:cs="Courier New"/>
                      <w:kern w:val="0"/>
                      <w:szCs w:val="21"/>
                      <w:highlight w:val="none"/>
                      <w:lang w:val="en-US" w:eastAsia="zh-CN"/>
                    </w:rPr>
                    <w:t>5</w:t>
                  </w:r>
                  <w:r>
                    <w:rPr>
                      <w:rFonts w:hint="eastAsia" w:ascii="Times New Roman" w:hAnsi="Times New Roman" w:cs="Courier New"/>
                      <w:kern w:val="0"/>
                      <w:szCs w:val="21"/>
                      <w:highlight w:val="none"/>
                    </w:rPr>
                    <w:t>污染源</w:t>
                  </w:r>
                  <w:r>
                    <w:rPr>
                      <w:rFonts w:hint="eastAsia" w:ascii="Times New Roman" w:hAnsi="Times New Roman" w:cs="Courier New"/>
                      <w:kern w:val="0"/>
                      <w:szCs w:val="21"/>
                      <w:highlight w:val="none"/>
                      <w:lang w:eastAsia="zh-CN"/>
                    </w:rPr>
                    <w:t>上</w:t>
                  </w:r>
                  <w:r>
                    <w:rPr>
                      <w:rFonts w:hint="eastAsia" w:ascii="Times New Roman" w:hAnsi="Times New Roman" w:cs="Courier New"/>
                      <w:kern w:val="0"/>
                      <w:szCs w:val="21"/>
                      <w:highlight w:val="none"/>
                    </w:rPr>
                    <w:t>风向</w:t>
                  </w:r>
                </w:p>
              </w:tc>
              <w:tc>
                <w:tcPr>
                  <w:tcW w:w="749" w:type="pct"/>
                  <w:vMerge w:val="continue"/>
                  <w:tcBorders>
                    <w:tl2br w:val="nil"/>
                    <w:tr2bl w:val="nil"/>
                  </w:tcBorders>
                  <w:vAlign w:val="center"/>
                </w:tcPr>
                <w:p>
                  <w:pPr>
                    <w:ind w:left="-105" w:leftChars="-50" w:right="-105" w:rightChars="-50"/>
                    <w:jc w:val="center"/>
                    <w:rPr>
                      <w:rFonts w:ascii="Times New Roman" w:hAnsi="Times New Roman" w:cs="Times New Roman"/>
                      <w:bCs/>
                      <w:szCs w:val="21"/>
                      <w:highlight w:val="none"/>
                    </w:rPr>
                  </w:pPr>
                </w:p>
              </w:tc>
              <w:tc>
                <w:tcPr>
                  <w:tcW w:w="1728" w:type="pct"/>
                  <w:vMerge w:val="restart"/>
                  <w:tcBorders>
                    <w:tl2br w:val="nil"/>
                    <w:tr2bl w:val="nil"/>
                  </w:tcBorders>
                  <w:vAlign w:val="center"/>
                </w:tcPr>
                <w:p>
                  <w:pPr>
                    <w:spacing w:line="240" w:lineRule="auto"/>
                    <w:ind w:firstLine="0" w:firstLineChars="0"/>
                    <w:jc w:val="center"/>
                    <w:rPr>
                      <w:rFonts w:ascii="Times New Roman" w:hAnsi="Times New Roman" w:cs="Times New Roman"/>
                      <w:bCs/>
                      <w:szCs w:val="21"/>
                      <w:highlight w:val="none"/>
                    </w:rPr>
                  </w:pPr>
                  <w:r>
                    <w:rPr>
                      <w:rFonts w:hint="eastAsia" w:ascii="Times New Roman" w:hAnsi="Times New Roman" w:cs="Times New Roman"/>
                      <w:sz w:val="21"/>
                      <w:szCs w:val="21"/>
                      <w:highlight w:val="none"/>
                      <w:lang w:val="en-US" w:eastAsia="zh-CN"/>
                    </w:rPr>
                    <w:t>非甲烷总烃</w:t>
                  </w:r>
                </w:p>
              </w:tc>
              <w:tc>
                <w:tcPr>
                  <w:tcW w:w="717" w:type="pct"/>
                  <w:vMerge w:val="continue"/>
                  <w:tcBorders>
                    <w:tl2br w:val="nil"/>
                    <w:tr2bl w:val="nil"/>
                  </w:tcBorders>
                  <w:vAlign w:val="center"/>
                </w:tcPr>
                <w:p>
                  <w:pPr>
                    <w:jc w:val="center"/>
                    <w:rPr>
                      <w:rFonts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continue"/>
                  <w:tcBorders>
                    <w:tl2br w:val="nil"/>
                    <w:tr2bl w:val="nil"/>
                  </w:tcBorders>
                  <w:vAlign w:val="center"/>
                </w:tcPr>
                <w:p>
                  <w:pPr>
                    <w:jc w:val="center"/>
                    <w:outlineLvl w:val="0"/>
                    <w:rPr>
                      <w:rFonts w:ascii="Times New Roman" w:hAnsi="Times New Roman" w:cs="Courier New"/>
                      <w:kern w:val="0"/>
                      <w:szCs w:val="21"/>
                    </w:rPr>
                  </w:pPr>
                </w:p>
              </w:tc>
              <w:tc>
                <w:tcPr>
                  <w:tcW w:w="1427" w:type="pct"/>
                  <w:tcBorders>
                    <w:tl2br w:val="nil"/>
                    <w:tr2bl w:val="nil"/>
                  </w:tcBorders>
                  <w:vAlign w:val="center"/>
                </w:tcPr>
                <w:p>
                  <w:pPr>
                    <w:jc w:val="center"/>
                    <w:outlineLvl w:val="0"/>
                    <w:rPr>
                      <w:rFonts w:ascii="Times New Roman" w:hAnsi="Times New Roman" w:cs="Courier New"/>
                      <w:kern w:val="0"/>
                      <w:szCs w:val="21"/>
                      <w:highlight w:val="none"/>
                    </w:rPr>
                  </w:pPr>
                  <w:r>
                    <w:rPr>
                      <w:rFonts w:hint="eastAsia" w:ascii="宋体" w:hAnsi="宋体" w:eastAsia="宋体" w:cs="Courier New"/>
                      <w:kern w:val="0"/>
                      <w:szCs w:val="21"/>
                      <w:highlight w:val="none"/>
                    </w:rPr>
                    <w:t>○</w:t>
                  </w:r>
                  <w:r>
                    <w:rPr>
                      <w:rFonts w:hint="eastAsia" w:ascii="Times New Roman" w:hAnsi="Times New Roman" w:eastAsia="宋体" w:cs="Courier New"/>
                      <w:kern w:val="0"/>
                      <w:szCs w:val="21"/>
                      <w:highlight w:val="none"/>
                      <w:lang w:val="en-US" w:eastAsia="zh-CN"/>
                    </w:rPr>
                    <w:t>6</w:t>
                  </w:r>
                  <w:r>
                    <w:rPr>
                      <w:rFonts w:hint="eastAsia" w:ascii="Times New Roman" w:hAnsi="Times New Roman" w:cs="Courier New"/>
                      <w:kern w:val="0"/>
                      <w:szCs w:val="21"/>
                      <w:highlight w:val="none"/>
                    </w:rPr>
                    <w:t>污染源下风向</w:t>
                  </w:r>
                </w:p>
              </w:tc>
              <w:tc>
                <w:tcPr>
                  <w:tcW w:w="749" w:type="pct"/>
                  <w:vMerge w:val="continue"/>
                  <w:tcBorders>
                    <w:tl2br w:val="nil"/>
                    <w:tr2bl w:val="nil"/>
                  </w:tcBorders>
                  <w:vAlign w:val="center"/>
                </w:tcPr>
                <w:p>
                  <w:pPr>
                    <w:ind w:left="-105" w:leftChars="-50" w:right="-105" w:rightChars="-50"/>
                    <w:jc w:val="center"/>
                    <w:rPr>
                      <w:rFonts w:ascii="Times New Roman" w:hAnsi="Times New Roman" w:cs="Times New Roman"/>
                      <w:bCs/>
                      <w:szCs w:val="21"/>
                      <w:highlight w:val="none"/>
                    </w:rPr>
                  </w:pPr>
                </w:p>
              </w:tc>
              <w:tc>
                <w:tcPr>
                  <w:tcW w:w="1728" w:type="pct"/>
                  <w:vMerge w:val="continue"/>
                  <w:tcBorders>
                    <w:tl2br w:val="nil"/>
                    <w:tr2bl w:val="nil"/>
                  </w:tcBorders>
                  <w:vAlign w:val="center"/>
                </w:tcPr>
                <w:p>
                  <w:pPr>
                    <w:jc w:val="center"/>
                    <w:rPr>
                      <w:rFonts w:ascii="Times New Roman" w:hAnsi="Times New Roman" w:cs="Times New Roman"/>
                      <w:bCs/>
                      <w:szCs w:val="21"/>
                      <w:highlight w:val="none"/>
                    </w:rPr>
                  </w:pPr>
                </w:p>
              </w:tc>
              <w:tc>
                <w:tcPr>
                  <w:tcW w:w="717" w:type="pct"/>
                  <w:vMerge w:val="continue"/>
                  <w:tcBorders>
                    <w:tl2br w:val="nil"/>
                    <w:tr2bl w:val="nil"/>
                  </w:tcBorders>
                  <w:vAlign w:val="center"/>
                </w:tcPr>
                <w:p>
                  <w:pPr>
                    <w:jc w:val="center"/>
                    <w:rPr>
                      <w:rFonts w:ascii="Times New Roman" w:hAnsi="Times New Roman" w:cs="Times New Roman"/>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6" w:type="pct"/>
                  <w:vMerge w:val="continue"/>
                  <w:tcBorders>
                    <w:tl2br w:val="nil"/>
                    <w:tr2bl w:val="nil"/>
                  </w:tcBorders>
                  <w:vAlign w:val="center"/>
                </w:tcPr>
                <w:p>
                  <w:pPr>
                    <w:jc w:val="center"/>
                    <w:outlineLvl w:val="0"/>
                    <w:rPr>
                      <w:rFonts w:ascii="Times New Roman" w:hAnsi="Times New Roman" w:cs="Courier New"/>
                      <w:kern w:val="0"/>
                      <w:szCs w:val="21"/>
                    </w:rPr>
                  </w:pPr>
                </w:p>
              </w:tc>
              <w:tc>
                <w:tcPr>
                  <w:tcW w:w="1427" w:type="pct"/>
                  <w:tcBorders>
                    <w:tl2br w:val="nil"/>
                    <w:tr2bl w:val="nil"/>
                  </w:tcBorders>
                  <w:vAlign w:val="center"/>
                </w:tcPr>
                <w:p>
                  <w:pPr>
                    <w:jc w:val="center"/>
                    <w:outlineLvl w:val="0"/>
                    <w:rPr>
                      <w:rFonts w:ascii="Times New Roman" w:hAnsi="Times New Roman" w:cs="Courier New"/>
                      <w:kern w:val="0"/>
                      <w:szCs w:val="21"/>
                      <w:highlight w:val="none"/>
                    </w:rPr>
                  </w:pPr>
                  <w:r>
                    <w:rPr>
                      <w:rFonts w:hint="eastAsia" w:ascii="宋体" w:hAnsi="宋体" w:eastAsia="宋体" w:cs="Courier New"/>
                      <w:kern w:val="0"/>
                      <w:szCs w:val="21"/>
                      <w:highlight w:val="none"/>
                    </w:rPr>
                    <w:t>○</w:t>
                  </w:r>
                  <w:r>
                    <w:rPr>
                      <w:rFonts w:hint="eastAsia" w:ascii="Times New Roman" w:hAnsi="Times New Roman" w:eastAsia="宋体" w:cs="Courier New"/>
                      <w:kern w:val="0"/>
                      <w:szCs w:val="21"/>
                      <w:highlight w:val="none"/>
                      <w:lang w:val="en-US" w:eastAsia="zh-CN"/>
                    </w:rPr>
                    <w:t>7</w:t>
                  </w:r>
                  <w:r>
                    <w:rPr>
                      <w:rFonts w:hint="eastAsia" w:ascii="Times New Roman" w:hAnsi="Times New Roman" w:cs="Courier New"/>
                      <w:kern w:val="0"/>
                      <w:szCs w:val="21"/>
                      <w:highlight w:val="none"/>
                    </w:rPr>
                    <w:t>污染源下风向</w:t>
                  </w:r>
                </w:p>
              </w:tc>
              <w:tc>
                <w:tcPr>
                  <w:tcW w:w="749" w:type="pct"/>
                  <w:vMerge w:val="continue"/>
                  <w:tcBorders>
                    <w:tl2br w:val="nil"/>
                    <w:tr2bl w:val="nil"/>
                  </w:tcBorders>
                  <w:vAlign w:val="center"/>
                </w:tcPr>
                <w:p>
                  <w:pPr>
                    <w:ind w:left="-105" w:leftChars="-50" w:right="-105" w:rightChars="-50"/>
                    <w:jc w:val="center"/>
                    <w:rPr>
                      <w:rFonts w:ascii="Times New Roman" w:hAnsi="Times New Roman" w:cs="Times New Roman"/>
                      <w:bCs/>
                      <w:szCs w:val="21"/>
                      <w:highlight w:val="none"/>
                    </w:rPr>
                  </w:pPr>
                </w:p>
              </w:tc>
              <w:tc>
                <w:tcPr>
                  <w:tcW w:w="1728" w:type="pct"/>
                  <w:vMerge w:val="continue"/>
                  <w:tcBorders>
                    <w:tl2br w:val="nil"/>
                    <w:tr2bl w:val="nil"/>
                  </w:tcBorders>
                  <w:vAlign w:val="center"/>
                </w:tcPr>
                <w:p>
                  <w:pPr>
                    <w:jc w:val="center"/>
                    <w:rPr>
                      <w:rFonts w:ascii="Times New Roman" w:hAnsi="Times New Roman" w:cs="Times New Roman"/>
                      <w:szCs w:val="21"/>
                      <w:highlight w:val="none"/>
                    </w:rPr>
                  </w:pPr>
                </w:p>
              </w:tc>
              <w:tc>
                <w:tcPr>
                  <w:tcW w:w="717" w:type="pct"/>
                  <w:vMerge w:val="continue"/>
                  <w:tcBorders>
                    <w:tl2br w:val="nil"/>
                    <w:tr2bl w:val="nil"/>
                  </w:tcBorders>
                  <w:vAlign w:val="center"/>
                </w:tcPr>
                <w:p>
                  <w:pPr>
                    <w:jc w:val="center"/>
                    <w:rPr>
                      <w:rFonts w:ascii="Times New Roman" w:hAnsi="Times New Roman" w:cs="Times New Roman"/>
                      <w:szCs w:val="21"/>
                    </w:rPr>
                  </w:pPr>
                </w:p>
              </w:tc>
            </w:tr>
          </w:tbl>
          <w:p>
            <w:pPr>
              <w:spacing w:line="360" w:lineRule="auto"/>
              <w:ind w:firstLine="482" w:firstLineChars="200"/>
              <w:contextualSpacing/>
              <w:rPr>
                <w:rFonts w:ascii="Times New Roman" w:hAnsi="Times New Roman" w:cs="Times New Roman"/>
                <w:sz w:val="24"/>
              </w:rPr>
            </w:pPr>
            <w:bookmarkStart w:id="19" w:name="_Toc185867440"/>
            <w:r>
              <w:rPr>
                <w:rFonts w:hint="eastAsia" w:ascii="Times New Roman" w:hAnsi="Times New Roman" w:cs="Times New Roman"/>
                <w:b/>
                <w:bCs/>
                <w:kern w:val="0"/>
                <w:sz w:val="24"/>
              </w:rPr>
              <w:t>（</w:t>
            </w:r>
            <w:r>
              <w:rPr>
                <w:rFonts w:ascii="Times New Roman" w:hAnsi="Times New Roman" w:cs="Times New Roman"/>
                <w:b/>
                <w:bCs/>
                <w:kern w:val="0"/>
                <w:sz w:val="24"/>
              </w:rPr>
              <w:t>2</w:t>
            </w:r>
            <w:r>
              <w:rPr>
                <w:rFonts w:hint="eastAsia" w:ascii="Times New Roman" w:hAnsi="Times New Roman" w:cs="Times New Roman"/>
                <w:b/>
                <w:bCs/>
                <w:kern w:val="0"/>
                <w:sz w:val="24"/>
              </w:rPr>
              <w:t>）分析方法</w:t>
            </w:r>
            <w:bookmarkEnd w:id="19"/>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表5-5废气监测分析方法</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790"/>
              <w:gridCol w:w="1583"/>
              <w:gridCol w:w="3500"/>
              <w:gridCol w:w="1687"/>
              <w:gridCol w:w="11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354" w:type="pct"/>
                  <w:gridSpan w:val="2"/>
                  <w:tcBorders>
                    <w:tl2br w:val="nil"/>
                    <w:tr2bl w:val="nil"/>
                  </w:tcBorders>
                  <w:vAlign w:val="center"/>
                </w:tcPr>
                <w:p>
                  <w:pPr>
                    <w:widowControl/>
                    <w:jc w:val="center"/>
                    <w:rPr>
                      <w:rFonts w:ascii="Times New Roman" w:hAnsi="Times New Roman" w:cs="Times New Roman"/>
                      <w:b/>
                      <w:bCs/>
                      <w:szCs w:val="21"/>
                    </w:rPr>
                  </w:pPr>
                  <w:r>
                    <w:rPr>
                      <w:rFonts w:hint="eastAsia" w:ascii="Times New Roman" w:hAnsi="Times New Roman" w:cs="Times New Roman"/>
                      <w:b/>
                      <w:bCs/>
                      <w:szCs w:val="21"/>
                    </w:rPr>
                    <w:t>项目</w:t>
                  </w:r>
                </w:p>
              </w:tc>
              <w:tc>
                <w:tcPr>
                  <w:tcW w:w="1998" w:type="pct"/>
                  <w:tcBorders>
                    <w:tl2br w:val="nil"/>
                    <w:tr2bl w:val="nil"/>
                  </w:tcBorders>
                  <w:vAlign w:val="center"/>
                </w:tcPr>
                <w:p>
                  <w:pPr>
                    <w:widowControl/>
                    <w:jc w:val="center"/>
                    <w:rPr>
                      <w:rFonts w:ascii="Times New Roman" w:hAnsi="Times New Roman" w:cs="Times New Roman"/>
                      <w:b/>
                      <w:bCs/>
                      <w:szCs w:val="21"/>
                    </w:rPr>
                  </w:pPr>
                  <w:r>
                    <w:rPr>
                      <w:rFonts w:hint="eastAsia" w:ascii="Times New Roman" w:hAnsi="Times New Roman" w:cs="Times New Roman"/>
                      <w:b/>
                      <w:bCs/>
                      <w:szCs w:val="21"/>
                    </w:rPr>
                    <w:t>检测方法</w:t>
                  </w:r>
                </w:p>
              </w:tc>
              <w:tc>
                <w:tcPr>
                  <w:tcW w:w="963" w:type="pct"/>
                  <w:tcBorders>
                    <w:tl2br w:val="nil"/>
                    <w:tr2bl w:val="nil"/>
                  </w:tcBorders>
                  <w:vAlign w:val="center"/>
                </w:tcPr>
                <w:p>
                  <w:pPr>
                    <w:widowControl/>
                    <w:jc w:val="center"/>
                    <w:rPr>
                      <w:rFonts w:ascii="Times New Roman" w:hAnsi="Times New Roman" w:cs="Times New Roman"/>
                      <w:b/>
                      <w:bCs/>
                      <w:szCs w:val="21"/>
                    </w:rPr>
                  </w:pPr>
                  <w:r>
                    <w:rPr>
                      <w:rFonts w:hint="eastAsia" w:ascii="Times New Roman" w:hAnsi="Times New Roman" w:cs="Times New Roman"/>
                      <w:b/>
                      <w:bCs/>
                      <w:szCs w:val="21"/>
                    </w:rPr>
                    <w:t>方法来源</w:t>
                  </w:r>
                </w:p>
              </w:tc>
              <w:tc>
                <w:tcPr>
                  <w:tcW w:w="683" w:type="pct"/>
                  <w:tcBorders>
                    <w:tl2br w:val="nil"/>
                    <w:tr2bl w:val="nil"/>
                  </w:tcBorders>
                  <w:vAlign w:val="center"/>
                </w:tcPr>
                <w:p>
                  <w:pPr>
                    <w:widowControl/>
                    <w:jc w:val="center"/>
                    <w:rPr>
                      <w:rFonts w:ascii="Times New Roman" w:hAnsi="Times New Roman" w:cs="Times New Roman"/>
                      <w:b/>
                      <w:bCs/>
                      <w:szCs w:val="21"/>
                    </w:rPr>
                  </w:pPr>
                  <w:r>
                    <w:rPr>
                      <w:rFonts w:ascii="Times New Roman" w:hAnsi="Times New Roman" w:cs="Times New Roman"/>
                      <w:b/>
                      <w:bCs/>
                      <w:szCs w:val="21"/>
                    </w:rPr>
                    <w:t>检出限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51" w:type="pct"/>
                  <w:vMerge w:val="restart"/>
                  <w:tcBorders>
                    <w:tl2br w:val="nil"/>
                    <w:tr2bl w:val="nil"/>
                  </w:tcBorders>
                  <w:vAlign w:val="center"/>
                </w:tcPr>
                <w:p>
                  <w:pPr>
                    <w:widowControl/>
                    <w:jc w:val="center"/>
                    <w:rPr>
                      <w:rFonts w:ascii="Times New Roman" w:hAnsi="Times New Roman" w:cs="Times New Roman"/>
                      <w:szCs w:val="21"/>
                    </w:rPr>
                  </w:pPr>
                  <w:r>
                    <w:rPr>
                      <w:rFonts w:hint="eastAsia" w:ascii="Times New Roman" w:hAnsi="Times New Roman" w:cs="Times New Roman"/>
                      <w:szCs w:val="21"/>
                    </w:rPr>
                    <w:t>有组织</w:t>
                  </w:r>
                </w:p>
              </w:tc>
              <w:tc>
                <w:tcPr>
                  <w:tcW w:w="903" w:type="pct"/>
                  <w:tcBorders>
                    <w:tl2br w:val="nil"/>
                    <w:tr2bl w:val="nil"/>
                  </w:tcBorders>
                  <w:vAlign w:val="center"/>
                </w:tcPr>
                <w:p>
                  <w:pPr>
                    <w:widowControl/>
                    <w:jc w:val="center"/>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eastAsia="zh-CN"/>
                    </w:rPr>
                    <w:t>油烟</w:t>
                  </w:r>
                </w:p>
              </w:tc>
              <w:tc>
                <w:tcPr>
                  <w:tcW w:w="1998" w:type="pct"/>
                  <w:tcBorders>
                    <w:tl2br w:val="nil"/>
                    <w:tr2bl w:val="nil"/>
                  </w:tcBorders>
                  <w:vAlign w:val="center"/>
                </w:tcPr>
                <w:p>
                  <w:pPr>
                    <w:widowControl/>
                    <w:spacing w:line="240" w:lineRule="auto"/>
                    <w:ind w:firstLine="0" w:firstLineChars="0"/>
                    <w:jc w:val="center"/>
                    <w:textAlignment w:val="center"/>
                    <w:rPr>
                      <w:rFonts w:hint="default" w:ascii="Times New Roman" w:hAnsi="Times New Roman" w:eastAsia="宋体" w:cs="Times New Roman"/>
                      <w:bCs/>
                      <w:color w:val="000000"/>
                      <w:kern w:val="2"/>
                      <w:sz w:val="21"/>
                      <w:szCs w:val="21"/>
                      <w:highlight w:val="none"/>
                      <w:lang w:val="en-US" w:eastAsia="zh-CN" w:bidi="zh-CN"/>
                    </w:rPr>
                  </w:pPr>
                  <w:r>
                    <w:rPr>
                      <w:rFonts w:hint="eastAsia" w:ascii="Times New Roman" w:hAnsi="Times New Roman" w:cs="Times New Roman"/>
                      <w:bCs/>
                      <w:color w:val="000000"/>
                      <w:sz w:val="21"/>
                      <w:szCs w:val="21"/>
                      <w:highlight w:val="none"/>
                      <w:lang w:val="en-US"/>
                    </w:rPr>
                    <w:t>饮食业油烟排放标准</w:t>
                  </w:r>
                  <w:r>
                    <w:rPr>
                      <w:rFonts w:hint="eastAsia" w:ascii="Times New Roman" w:hAnsi="Times New Roman" w:cs="Times New Roman"/>
                      <w:bCs/>
                      <w:color w:val="000000"/>
                      <w:sz w:val="21"/>
                      <w:szCs w:val="21"/>
                      <w:highlight w:val="none"/>
                      <w:lang w:val="en-US" w:eastAsia="zh-CN"/>
                    </w:rPr>
                    <w:t>（试行）</w:t>
                  </w:r>
                  <w:r>
                    <w:rPr>
                      <w:rFonts w:hint="eastAsia" w:ascii="Times New Roman" w:hAnsi="Times New Roman" w:cs="Times New Roman"/>
                      <w:bCs/>
                      <w:color w:val="000000"/>
                      <w:sz w:val="21"/>
                      <w:szCs w:val="21"/>
                      <w:highlight w:val="none"/>
                      <w:lang w:val="en-US"/>
                    </w:rPr>
                    <w:t xml:space="preserve"> 附录A</w:t>
                  </w:r>
                </w:p>
              </w:tc>
              <w:tc>
                <w:tcPr>
                  <w:tcW w:w="963" w:type="pct"/>
                  <w:tcBorders>
                    <w:tl2br w:val="nil"/>
                    <w:tr2bl w:val="nil"/>
                  </w:tcBorders>
                  <w:vAlign w:val="center"/>
                </w:tcPr>
                <w:p>
                  <w:pPr>
                    <w:widowControl/>
                    <w:jc w:val="center"/>
                    <w:rPr>
                      <w:rFonts w:ascii="Times New Roman" w:hAnsi="Times New Roman" w:cs="Times New Roman"/>
                      <w:szCs w:val="21"/>
                      <w:highlight w:val="none"/>
                    </w:rPr>
                  </w:pPr>
                  <w:r>
                    <w:rPr>
                      <w:rFonts w:hint="eastAsia" w:ascii="Times New Roman" w:hAnsi="Times New Roman" w:cs="Times New Roman"/>
                      <w:bCs/>
                      <w:color w:val="000000"/>
                      <w:sz w:val="21"/>
                      <w:szCs w:val="21"/>
                      <w:highlight w:val="none"/>
                      <w:lang w:val="en-US"/>
                    </w:rPr>
                    <w:t xml:space="preserve"> GB18483-2001</w:t>
                  </w:r>
                </w:p>
              </w:tc>
              <w:tc>
                <w:tcPr>
                  <w:tcW w:w="683" w:type="pct"/>
                  <w:tcBorders>
                    <w:tl2br w:val="nil"/>
                    <w:tr2bl w:val="nil"/>
                  </w:tcBorders>
                  <w:vAlign w:val="center"/>
                </w:tcPr>
                <w:p>
                  <w:pPr>
                    <w:widowControl/>
                    <w:jc w:val="center"/>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51" w:type="pct"/>
                  <w:vMerge w:val="continue"/>
                  <w:tcBorders>
                    <w:tl2br w:val="nil"/>
                    <w:tr2bl w:val="nil"/>
                  </w:tcBorders>
                  <w:vAlign w:val="center"/>
                </w:tcPr>
                <w:p>
                  <w:pPr>
                    <w:widowControl/>
                    <w:jc w:val="center"/>
                    <w:rPr>
                      <w:rFonts w:ascii="Times New Roman" w:hAnsi="Times New Roman" w:cs="Times New Roman"/>
                      <w:szCs w:val="21"/>
                    </w:rPr>
                  </w:pPr>
                </w:p>
              </w:tc>
              <w:tc>
                <w:tcPr>
                  <w:tcW w:w="903" w:type="pct"/>
                  <w:tcBorders>
                    <w:tl2br w:val="nil"/>
                    <w:tr2bl w:val="nil"/>
                  </w:tcBorders>
                  <w:vAlign w:val="center"/>
                </w:tcPr>
                <w:p>
                  <w:pPr>
                    <w:widowControl/>
                    <w:jc w:val="center"/>
                    <w:rPr>
                      <w:rFonts w:ascii="Times New Roman" w:hAnsi="Times New Roman" w:cs="Times New Roman"/>
                      <w:szCs w:val="21"/>
                      <w:highlight w:val="none"/>
                    </w:rPr>
                  </w:pPr>
                  <w:r>
                    <w:rPr>
                      <w:rFonts w:hint="eastAsia" w:ascii="Times New Roman" w:hAnsi="Times New Roman" w:cs="Times New Roman"/>
                      <w:szCs w:val="21"/>
                      <w:highlight w:val="none"/>
                    </w:rPr>
                    <w:t>非甲烷总烃</w:t>
                  </w:r>
                </w:p>
              </w:tc>
              <w:tc>
                <w:tcPr>
                  <w:tcW w:w="1998" w:type="pct"/>
                  <w:tcBorders>
                    <w:tl2br w:val="nil"/>
                    <w:tr2bl w:val="nil"/>
                  </w:tcBorders>
                  <w:vAlign w:val="center"/>
                </w:tcPr>
                <w:p>
                  <w:pPr>
                    <w:widowControl/>
                    <w:jc w:val="center"/>
                    <w:rPr>
                      <w:rFonts w:ascii="Times New Roman" w:hAnsi="Times New Roman" w:cs="Times New Roman"/>
                      <w:szCs w:val="21"/>
                      <w:highlight w:val="none"/>
                    </w:rPr>
                  </w:pPr>
                  <w:r>
                    <w:rPr>
                      <w:rFonts w:hint="eastAsia" w:ascii="Times New Roman" w:hAnsi="Times New Roman" w:cs="Times New Roman"/>
                      <w:szCs w:val="21"/>
                      <w:highlight w:val="none"/>
                    </w:rPr>
                    <w:t>气相色谱法</w:t>
                  </w:r>
                </w:p>
              </w:tc>
              <w:tc>
                <w:tcPr>
                  <w:tcW w:w="963" w:type="pct"/>
                  <w:tcBorders>
                    <w:tl2br w:val="nil"/>
                    <w:tr2bl w:val="nil"/>
                  </w:tcBorders>
                  <w:vAlign w:val="center"/>
                </w:tcPr>
                <w:p>
                  <w:pPr>
                    <w:widowControl/>
                    <w:jc w:val="center"/>
                    <w:rPr>
                      <w:rFonts w:ascii="Times New Roman" w:hAnsi="Times New Roman" w:cs="Times New Roman"/>
                      <w:szCs w:val="21"/>
                      <w:highlight w:val="none"/>
                    </w:rPr>
                  </w:pPr>
                  <w:r>
                    <w:rPr>
                      <w:rFonts w:ascii="Times New Roman" w:hAnsi="Times New Roman" w:cs="Times New Roman"/>
                      <w:szCs w:val="21"/>
                      <w:highlight w:val="none"/>
                    </w:rPr>
                    <w:t>HJ 38-2017</w:t>
                  </w:r>
                </w:p>
              </w:tc>
              <w:tc>
                <w:tcPr>
                  <w:tcW w:w="683" w:type="pct"/>
                  <w:tcBorders>
                    <w:tl2br w:val="nil"/>
                    <w:tr2bl w:val="nil"/>
                  </w:tcBorders>
                  <w:vAlign w:val="center"/>
                </w:tcPr>
                <w:p>
                  <w:pPr>
                    <w:widowControl/>
                    <w:jc w:val="center"/>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.07mg/m</w:t>
                  </w:r>
                  <w:r>
                    <w:rPr>
                      <w:rFonts w:ascii="Times New Roman" w:hAnsi="Times New Roman" w:cs="Times New Roman"/>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451" w:type="pct"/>
                  <w:tcBorders>
                    <w:tl2br w:val="nil"/>
                    <w:tr2bl w:val="nil"/>
                  </w:tcBorders>
                  <w:vAlign w:val="center"/>
                </w:tcPr>
                <w:p>
                  <w:pPr>
                    <w:adjustRightInd w:val="0"/>
                    <w:jc w:val="center"/>
                    <w:rPr>
                      <w:rFonts w:ascii="Times New Roman" w:hAnsi="Times New Roman" w:cs="Times New Roman"/>
                      <w:szCs w:val="21"/>
                    </w:rPr>
                  </w:pPr>
                  <w:r>
                    <w:rPr>
                      <w:rFonts w:hint="eastAsia" w:ascii="Times New Roman" w:hAnsi="Times New Roman" w:cs="Times New Roman"/>
                      <w:bCs/>
                      <w:szCs w:val="21"/>
                    </w:rPr>
                    <w:t>无组织</w:t>
                  </w:r>
                </w:p>
              </w:tc>
              <w:tc>
                <w:tcPr>
                  <w:tcW w:w="903" w:type="pct"/>
                  <w:tcBorders>
                    <w:tl2br w:val="nil"/>
                    <w:tr2bl w:val="nil"/>
                  </w:tcBorders>
                  <w:vAlign w:val="center"/>
                </w:tcPr>
                <w:p>
                  <w:pPr>
                    <w:adjustRightInd w:val="0"/>
                    <w:jc w:val="center"/>
                    <w:rPr>
                      <w:rFonts w:ascii="Times New Roman" w:hAnsi="Times New Roman" w:cs="Times New Roman" w:eastAsiaTheme="minorEastAsia"/>
                      <w:bCs/>
                      <w:kern w:val="2"/>
                      <w:sz w:val="21"/>
                      <w:szCs w:val="21"/>
                      <w:highlight w:val="none"/>
                      <w:lang w:val="en-US" w:eastAsia="zh-CN" w:bidi="ar-SA"/>
                    </w:rPr>
                  </w:pPr>
                  <w:r>
                    <w:rPr>
                      <w:rFonts w:hint="eastAsia" w:ascii="Times New Roman" w:hAnsi="Times New Roman" w:cs="Times New Roman"/>
                      <w:bCs/>
                      <w:szCs w:val="21"/>
                      <w:highlight w:val="none"/>
                    </w:rPr>
                    <w:t>非甲烷总烃</w:t>
                  </w:r>
                </w:p>
              </w:tc>
              <w:tc>
                <w:tcPr>
                  <w:tcW w:w="1998" w:type="pct"/>
                  <w:tcBorders>
                    <w:tl2br w:val="nil"/>
                    <w:tr2bl w:val="nil"/>
                  </w:tcBorders>
                  <w:vAlign w:val="center"/>
                </w:tcPr>
                <w:p>
                  <w:pPr>
                    <w:adjustRightInd w:val="0"/>
                    <w:jc w:val="center"/>
                    <w:rPr>
                      <w:rFonts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rPr>
                    <w:t>直接进样-气相色谱法</w:t>
                  </w:r>
                </w:p>
              </w:tc>
              <w:tc>
                <w:tcPr>
                  <w:tcW w:w="963" w:type="pct"/>
                  <w:tcBorders>
                    <w:tl2br w:val="nil"/>
                    <w:tr2bl w:val="nil"/>
                  </w:tcBorders>
                  <w:vAlign w:val="center"/>
                </w:tcPr>
                <w:p>
                  <w:pPr>
                    <w:adjustRightInd w:val="0"/>
                    <w:jc w:val="center"/>
                    <w:rPr>
                      <w:rFonts w:ascii="Times New Roman" w:hAnsi="Times New Roman" w:cs="Times New Roman" w:eastAsiaTheme="minorEastAsia"/>
                      <w:kern w:val="2"/>
                      <w:sz w:val="21"/>
                      <w:szCs w:val="21"/>
                      <w:highlight w:val="none"/>
                      <w:lang w:val="en-US" w:eastAsia="zh-CN" w:bidi="ar-SA"/>
                    </w:rPr>
                  </w:pPr>
                  <w:r>
                    <w:rPr>
                      <w:rFonts w:ascii="Times New Roman" w:hAnsi="Times New Roman" w:cs="Times New Roman"/>
                      <w:szCs w:val="21"/>
                      <w:highlight w:val="none"/>
                    </w:rPr>
                    <w:t>HJ604-2017</w:t>
                  </w:r>
                </w:p>
              </w:tc>
              <w:tc>
                <w:tcPr>
                  <w:tcW w:w="683" w:type="pct"/>
                  <w:tcBorders>
                    <w:tl2br w:val="nil"/>
                    <w:tr2bl w:val="nil"/>
                  </w:tcBorders>
                  <w:vAlign w:val="center"/>
                </w:tcPr>
                <w:p>
                  <w:pPr>
                    <w:adjustRightInd w:val="0"/>
                    <w:jc w:val="center"/>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rPr>
                    <w:t>0</w:t>
                  </w:r>
                  <w:r>
                    <w:rPr>
                      <w:rFonts w:ascii="Times New Roman" w:hAnsi="Times New Roman" w:eastAsia="宋体" w:cs="Times New Roman"/>
                      <w:szCs w:val="21"/>
                    </w:rPr>
                    <w:t>.07mg/m</w:t>
                  </w:r>
                  <w:r>
                    <w:rPr>
                      <w:rFonts w:ascii="Times New Roman" w:hAnsi="Times New Roman" w:eastAsia="宋体" w:cs="Times New Roman"/>
                      <w:szCs w:val="21"/>
                      <w:vertAlign w:val="superscript"/>
                    </w:rPr>
                    <w:t>3</w:t>
                  </w:r>
                </w:p>
              </w:tc>
            </w:tr>
          </w:tbl>
          <w:p>
            <w:pPr>
              <w:keepNext/>
              <w:keepLines/>
              <w:spacing w:line="360" w:lineRule="auto"/>
              <w:ind w:firstLine="472" w:firstLineChars="196"/>
              <w:contextualSpacing/>
              <w:outlineLvl w:val="2"/>
              <w:rPr>
                <w:rFonts w:ascii="Times New Roman" w:hAnsi="Times New Roman" w:cs="Times New Roman"/>
                <w:b/>
                <w:bCs/>
                <w:kern w:val="0"/>
                <w:sz w:val="24"/>
              </w:rPr>
            </w:pPr>
            <w:r>
              <w:rPr>
                <w:rFonts w:hint="eastAsia" w:ascii="Times New Roman" w:hAnsi="Times New Roman" w:cs="Times New Roman"/>
                <w:b/>
                <w:bCs/>
                <w:kern w:val="0"/>
                <w:sz w:val="24"/>
              </w:rPr>
              <w:t>（</w:t>
            </w:r>
            <w:r>
              <w:rPr>
                <w:rFonts w:ascii="Times New Roman" w:hAnsi="Times New Roman" w:cs="Times New Roman"/>
                <w:b/>
                <w:bCs/>
                <w:kern w:val="0"/>
                <w:sz w:val="24"/>
              </w:rPr>
              <w:t>3</w:t>
            </w:r>
            <w:r>
              <w:rPr>
                <w:rFonts w:hint="eastAsia" w:ascii="Times New Roman" w:hAnsi="Times New Roman" w:cs="Times New Roman"/>
                <w:b/>
                <w:bCs/>
                <w:kern w:val="0"/>
                <w:sz w:val="24"/>
              </w:rPr>
              <w:t>）废气监测结果及评价</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表5-6 有组织废气监测结果</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93"/>
              <w:gridCol w:w="1094"/>
              <w:gridCol w:w="932"/>
              <w:gridCol w:w="932"/>
              <w:gridCol w:w="755"/>
              <w:gridCol w:w="975"/>
              <w:gridCol w:w="975"/>
              <w:gridCol w:w="978"/>
              <w:gridCol w:w="10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rPr>
                    <w:t>点位</w:t>
                  </w:r>
                  <w:r>
                    <w:rPr>
                      <w:rFonts w:hint="default" w:ascii="Times New Roman" w:hAnsi="Times New Roman" w:eastAsia="宋体" w:cs="Times New Roman"/>
                      <w:b/>
                      <w:bCs/>
                      <w:sz w:val="21"/>
                      <w:szCs w:val="21"/>
                      <w:lang w:val="en-US" w:eastAsia="zh-CN"/>
                    </w:rPr>
                    <w:t>编号</w:t>
                  </w:r>
                </w:p>
              </w:tc>
              <w:tc>
                <w:tcPr>
                  <w:tcW w:w="1094" w:type="dxa"/>
                  <w:vMerge w:val="restart"/>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b/>
                      <w:bCs/>
                      <w:sz w:val="21"/>
                      <w:szCs w:val="21"/>
                      <w:lang w:val="en-US" w:eastAsia="zh-CN"/>
                    </w:rPr>
                    <w:t>检测日期</w:t>
                  </w:r>
                </w:p>
              </w:tc>
              <w:tc>
                <w:tcPr>
                  <w:tcW w:w="1864" w:type="dxa"/>
                  <w:gridSpan w:val="2"/>
                  <w:vMerge w:val="restart"/>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
                      <w:bCs/>
                      <w:sz w:val="21"/>
                      <w:szCs w:val="21"/>
                      <w:lang w:val="en-US"/>
                    </w:rPr>
                    <w:t>检测项目</w:t>
                  </w:r>
                </w:p>
              </w:tc>
              <w:tc>
                <w:tcPr>
                  <w:tcW w:w="755" w:type="dxa"/>
                  <w:vMerge w:val="restart"/>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
                      <w:bCs/>
                      <w:sz w:val="21"/>
                      <w:szCs w:val="21"/>
                      <w:lang w:val="en-US"/>
                    </w:rPr>
                    <w:t>单位</w:t>
                  </w:r>
                </w:p>
              </w:tc>
              <w:tc>
                <w:tcPr>
                  <w:tcW w:w="2928" w:type="dxa"/>
                  <w:gridSpan w:val="3"/>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b/>
                      <w:bCs/>
                      <w:sz w:val="21"/>
                      <w:szCs w:val="21"/>
                      <w:lang w:val="en-US"/>
                    </w:rPr>
                    <w:t>检测结果</w:t>
                  </w:r>
                </w:p>
              </w:tc>
              <w:tc>
                <w:tcPr>
                  <w:tcW w:w="1023" w:type="dxa"/>
                  <w:vMerge w:val="restart"/>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b/>
                      <w:bCs/>
                      <w:sz w:val="21"/>
                      <w:szCs w:val="21"/>
                      <w:lang w:val="en-US"/>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rPr>
                  </w:pPr>
                </w:p>
              </w:tc>
              <w:tc>
                <w:tcPr>
                  <w:tcW w:w="1094"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rPr>
                  </w:pPr>
                </w:p>
              </w:tc>
              <w:tc>
                <w:tcPr>
                  <w:tcW w:w="1864" w:type="dxa"/>
                  <w:gridSpan w:val="2"/>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rPr>
                  </w:pPr>
                </w:p>
              </w:tc>
              <w:tc>
                <w:tcPr>
                  <w:tcW w:w="755"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rPr>
                  </w:pP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第一次</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第二次</w:t>
                  </w:r>
                </w:p>
              </w:tc>
              <w:tc>
                <w:tcPr>
                  <w:tcW w:w="978"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第三次</w:t>
                  </w:r>
                </w:p>
              </w:tc>
              <w:tc>
                <w:tcPr>
                  <w:tcW w:w="102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bCs/>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restart"/>
                  <w:vAlign w:val="center"/>
                </w:tcPr>
                <w:p>
                  <w:pPr>
                    <w:jc w:val="center"/>
                    <w:rPr>
                      <w:rFonts w:hint="default" w:ascii="Times New Roman" w:hAnsi="Times New Roman" w:eastAsia="宋体" w:cs="Times New Roman"/>
                      <w:sz w:val="21"/>
                      <w:szCs w:val="21"/>
                      <w:lang w:val="en-US"/>
                    </w:rPr>
                  </w:pPr>
                  <w:r>
                    <w:rPr>
                      <w:rFonts w:hint="eastAsia"/>
                      <w:bCs/>
                      <w:szCs w:val="21"/>
                      <w:lang w:eastAsia="zh-CN"/>
                    </w:rPr>
                    <w:t>◎</w:t>
                  </w:r>
                  <w:r>
                    <w:rPr>
                      <w:rFonts w:hint="eastAsia"/>
                      <w:bCs/>
                      <w:szCs w:val="21"/>
                      <w:lang w:val="en-US" w:eastAsia="zh-CN"/>
                    </w:rPr>
                    <w:t>2</w:t>
                  </w:r>
                </w:p>
              </w:tc>
              <w:tc>
                <w:tcPr>
                  <w:tcW w:w="1094" w:type="dxa"/>
                  <w:vMerge w:val="restart"/>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color w:val="000000" w:themeColor="text1"/>
                      <w:sz w:val="21"/>
                      <w:szCs w:val="21"/>
                      <w:lang w:val="en-US" w:eastAsia="zh-CN"/>
                    </w:rPr>
                    <w:t>2022.07.18</w:t>
                  </w:r>
                </w:p>
              </w:tc>
              <w:tc>
                <w:tcPr>
                  <w:tcW w:w="932"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t>排气参数</w:t>
                  </w:r>
                </w:p>
              </w:tc>
              <w:tc>
                <w:tcPr>
                  <w:tcW w:w="932"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rPr>
                    <w:t>标干流量</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sz w:val="21"/>
                      <w:szCs w:val="21"/>
                      <w:lang w:val="en-US"/>
                    </w:rPr>
                    <w:t>m³/h</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27942</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27350</w:t>
                  </w:r>
                </w:p>
              </w:tc>
              <w:tc>
                <w:tcPr>
                  <w:tcW w:w="978"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lang w:val="en-US" w:eastAsia="zh-CN"/>
                    </w:rPr>
                    <w:t>27426</w:t>
                  </w:r>
                </w:p>
              </w:tc>
              <w:tc>
                <w:tcPr>
                  <w:tcW w:w="1023"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
                      <w:bCs/>
                      <w:kern w:val="2"/>
                      <w:sz w:val="21"/>
                      <w:szCs w:val="21"/>
                      <w:lang w:val="en-US" w:eastAsia="zh-CN" w:bidi="ar-SA"/>
                    </w:rPr>
                  </w:pPr>
                  <w:r>
                    <w:rPr>
                      <w:rFonts w:hint="default" w:ascii="Times New Roman" w:hAnsi="Times New Roman" w:eastAsia="宋体"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932"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非甲烷</w:t>
                  </w:r>
                </w:p>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总烃</w:t>
                  </w: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eastAsia="zh-CN" w:bidi="zh-CN"/>
                    </w:rPr>
                  </w:pPr>
                  <w:r>
                    <w:rPr>
                      <w:rFonts w:hint="default" w:ascii="Times New Roman" w:hAnsi="Times New Roman" w:eastAsia="宋体" w:cs="Times New Roman"/>
                      <w:bCs/>
                      <w:color w:val="000000"/>
                      <w:sz w:val="21"/>
                      <w:szCs w:val="21"/>
                      <w:lang w:val="en-US"/>
                    </w:rPr>
                    <w:t>排放浓度</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eastAsia="zh-CN" w:bidi="zh-CN"/>
                    </w:rPr>
                  </w:pPr>
                  <w:r>
                    <w:rPr>
                      <w:rFonts w:hint="default" w:ascii="Times New Roman" w:hAnsi="Times New Roman" w:eastAsia="宋体" w:cs="Times New Roman"/>
                      <w:bCs/>
                      <w:color w:val="000000"/>
                      <w:sz w:val="21"/>
                      <w:szCs w:val="21"/>
                      <w:lang w:val="en-US"/>
                    </w:rPr>
                    <w:t>mg/m³</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2.33</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2.36</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2.29</w:t>
                  </w:r>
                </w:p>
              </w:tc>
              <w:tc>
                <w:tcPr>
                  <w:tcW w:w="1023" w:type="dxa"/>
                  <w:vAlign w:val="center"/>
                </w:tcPr>
                <w:p>
                  <w:pPr>
                    <w:pStyle w:val="2"/>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bidi="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rPr>
                  </w:pPr>
                </w:p>
              </w:tc>
              <w:tc>
                <w:tcPr>
                  <w:tcW w:w="932"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eastAsia="zh-CN" w:bidi="zh-CN"/>
                    </w:rPr>
                  </w:pPr>
                  <w:r>
                    <w:rPr>
                      <w:rFonts w:hint="default" w:ascii="Times New Roman" w:hAnsi="Times New Roman" w:eastAsia="宋体" w:cs="Times New Roman"/>
                      <w:bCs/>
                      <w:color w:val="000000"/>
                      <w:sz w:val="21"/>
                      <w:szCs w:val="21"/>
                      <w:lang w:val="en-US"/>
                    </w:rPr>
                    <w:t>排放速率</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eastAsia="zh-CN" w:bidi="zh-CN"/>
                    </w:rPr>
                  </w:pPr>
                  <w:r>
                    <w:rPr>
                      <w:rFonts w:hint="default" w:ascii="Times New Roman" w:hAnsi="Times New Roman" w:eastAsia="宋体" w:cs="Times New Roman"/>
                      <w:bCs/>
                      <w:color w:val="000000"/>
                      <w:sz w:val="21"/>
                      <w:szCs w:val="21"/>
                      <w:lang w:val="en-US"/>
                    </w:rPr>
                    <w:t>kg/h</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0.065</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0.065</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0.063</w:t>
                  </w:r>
                </w:p>
              </w:tc>
              <w:tc>
                <w:tcPr>
                  <w:tcW w:w="1023" w:type="dxa"/>
                  <w:vAlign w:val="center"/>
                </w:tcPr>
                <w:p>
                  <w:pPr>
                    <w:keepNext w:val="0"/>
                    <w:keepLines w:val="0"/>
                    <w:pageBreakBefore w:val="0"/>
                    <w:kinsoku/>
                    <w:wordWrap/>
                    <w:overflowPunct/>
                    <w:topLinePunct w:val="0"/>
                    <w:autoSpaceDE w:val="0"/>
                    <w:autoSpaceDN w:val="0"/>
                    <w:bidi w:val="0"/>
                    <w:adjustRightInd/>
                    <w:snapToGrid/>
                    <w:spacing w:line="240" w:lineRule="atLeas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bidi="zh-CN"/>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2022.07.19</w:t>
                  </w:r>
                </w:p>
              </w:tc>
              <w:tc>
                <w:tcPr>
                  <w:tcW w:w="932" w:type="dxa"/>
                  <w:vAlign w:val="center"/>
                </w:tcPr>
                <w:p>
                  <w:pPr>
                    <w:keepNext w:val="0"/>
                    <w:keepLines w:val="0"/>
                    <w:pageBreakBefore w:val="0"/>
                    <w:widowControl/>
                    <w:kinsoku/>
                    <w:wordWrap/>
                    <w:overflowPunct/>
                    <w:topLinePunct w:val="0"/>
                    <w:autoSpaceDE w:val="0"/>
                    <w:autoSpaceDN w:val="0"/>
                    <w:bidi w:val="0"/>
                    <w:adjustRightInd/>
                    <w:snapToGrid/>
                    <w:spacing w:line="240" w:lineRule="atLeast"/>
                    <w:ind w:firstLine="0" w:firstLineChars="0"/>
                    <w:jc w:val="center"/>
                    <w:textAlignment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rPr>
                    <w:t>排气参数</w:t>
                  </w:r>
                </w:p>
              </w:tc>
              <w:tc>
                <w:tcPr>
                  <w:tcW w:w="932"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sz w:val="21"/>
                      <w:szCs w:val="21"/>
                      <w:lang w:val="en-US"/>
                    </w:rPr>
                    <w:t>标干流量</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sz w:val="21"/>
                      <w:szCs w:val="21"/>
                      <w:lang w:val="en-US"/>
                    </w:rPr>
                    <w:t>m³/h</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27211</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27320</w:t>
                  </w:r>
                </w:p>
              </w:tc>
              <w:tc>
                <w:tcPr>
                  <w:tcW w:w="978"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27697</w:t>
                  </w:r>
                </w:p>
              </w:tc>
              <w:tc>
                <w:tcPr>
                  <w:tcW w:w="1023"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kern w:val="2"/>
                      <w:sz w:val="21"/>
                      <w:szCs w:val="21"/>
                      <w:lang w:val="en-US" w:eastAsia="zh-CN" w:bidi="zh-CN"/>
                    </w:rPr>
                  </w:pPr>
                  <w:r>
                    <w:rPr>
                      <w:rFonts w:hint="default" w:ascii="Times New Roman" w:hAnsi="Times New Roman" w:eastAsia="宋体"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932"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非甲烷</w:t>
                  </w:r>
                </w:p>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eastAsia="zh-CN"/>
                    </w:rPr>
                    <w:t>总烃</w:t>
                  </w: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排放浓度</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mg/m³</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2.37</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2.11</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2.17</w:t>
                  </w:r>
                </w:p>
              </w:tc>
              <w:tc>
                <w:tcPr>
                  <w:tcW w:w="1023" w:type="dxa"/>
                  <w:vAlign w:val="center"/>
                </w:tcPr>
                <w:p>
                  <w:pPr>
                    <w:pStyle w:val="2"/>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rPr>
                  </w:pPr>
                </w:p>
              </w:tc>
              <w:tc>
                <w:tcPr>
                  <w:tcW w:w="932"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排放速率</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kg/h</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0.064</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0.058</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0.060</w:t>
                  </w:r>
                </w:p>
              </w:tc>
              <w:tc>
                <w:tcPr>
                  <w:tcW w:w="1023" w:type="dxa"/>
                  <w:vAlign w:val="center"/>
                </w:tcPr>
                <w:p>
                  <w:pPr>
                    <w:keepNext w:val="0"/>
                    <w:keepLines w:val="0"/>
                    <w:pageBreakBefore w:val="0"/>
                    <w:kinsoku/>
                    <w:wordWrap/>
                    <w:overflowPunct/>
                    <w:topLinePunct w:val="0"/>
                    <w:autoSpaceDE w:val="0"/>
                    <w:autoSpaceDN w:val="0"/>
                    <w:bidi w:val="0"/>
                    <w:adjustRightInd/>
                    <w:snapToGrid/>
                    <w:spacing w:line="240" w:lineRule="atLeast"/>
                    <w:ind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restart"/>
                  <w:vAlign w:val="center"/>
                </w:tcPr>
                <w:p>
                  <w:pPr>
                    <w:jc w:val="center"/>
                    <w:rPr>
                      <w:rFonts w:hint="default" w:ascii="Times New Roman" w:hAnsi="Times New Roman" w:eastAsia="宋体" w:cs="Times New Roman"/>
                      <w:sz w:val="21"/>
                      <w:szCs w:val="21"/>
                      <w:lang w:val="en-US" w:eastAsia="zh-CN"/>
                    </w:rPr>
                  </w:pPr>
                  <w:r>
                    <w:rPr>
                      <w:rFonts w:hint="eastAsia"/>
                      <w:bCs/>
                      <w:szCs w:val="21"/>
                      <w:lang w:eastAsia="zh-CN"/>
                    </w:rPr>
                    <w:t>◎</w:t>
                  </w:r>
                  <w:r>
                    <w:rPr>
                      <w:rFonts w:hint="eastAsia"/>
                      <w:bCs/>
                      <w:szCs w:val="21"/>
                      <w:lang w:val="en-US" w:eastAsia="zh-CN"/>
                    </w:rPr>
                    <w:t>3</w:t>
                  </w:r>
                </w:p>
              </w:tc>
              <w:tc>
                <w:tcPr>
                  <w:tcW w:w="1094" w:type="dxa"/>
                  <w:vMerge w:val="restart"/>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color w:val="000000" w:themeColor="text1"/>
                      <w:sz w:val="21"/>
                      <w:szCs w:val="21"/>
                      <w:lang w:val="en-US" w:eastAsia="zh-CN"/>
                    </w:rPr>
                    <w:t>2022.07.18</w:t>
                  </w:r>
                </w:p>
              </w:tc>
              <w:tc>
                <w:tcPr>
                  <w:tcW w:w="932"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sz w:val="21"/>
                      <w:szCs w:val="21"/>
                      <w:lang w:val="en-US"/>
                    </w:rPr>
                    <w:t>排气参数</w:t>
                  </w:r>
                </w:p>
              </w:tc>
              <w:tc>
                <w:tcPr>
                  <w:tcW w:w="932"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sz w:val="21"/>
                      <w:szCs w:val="21"/>
                      <w:lang w:val="en-US"/>
                    </w:rPr>
                    <w:t>标干流量</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sz w:val="21"/>
                      <w:szCs w:val="21"/>
                      <w:lang w:val="en-US"/>
                    </w:rPr>
                    <w:t>m³/h</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7051</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6932</w:t>
                  </w:r>
                </w:p>
              </w:tc>
              <w:tc>
                <w:tcPr>
                  <w:tcW w:w="978"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7069</w:t>
                  </w:r>
                </w:p>
              </w:tc>
              <w:tc>
                <w:tcPr>
                  <w:tcW w:w="1023"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kern w:val="2"/>
                      <w:sz w:val="21"/>
                      <w:szCs w:val="21"/>
                      <w:lang w:val="en-US" w:eastAsia="zh-CN" w:bidi="zh-CN"/>
                    </w:rPr>
                  </w:pPr>
                  <w:r>
                    <w:rPr>
                      <w:rFonts w:hint="default" w:ascii="Times New Roman" w:hAnsi="Times New Roman" w:eastAsia="宋体"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932"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非甲烷</w:t>
                  </w:r>
                </w:p>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eastAsia="zh-CN"/>
                    </w:rPr>
                    <w:t>总烃</w:t>
                  </w: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排放浓度</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mg/m³</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2.44</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2.51</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2.61</w:t>
                  </w:r>
                </w:p>
              </w:tc>
              <w:tc>
                <w:tcPr>
                  <w:tcW w:w="1023" w:type="dxa"/>
                  <w:vAlign w:val="center"/>
                </w:tcPr>
                <w:p>
                  <w:pPr>
                    <w:pStyle w:val="2"/>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rPr>
                  </w:pPr>
                </w:p>
              </w:tc>
              <w:tc>
                <w:tcPr>
                  <w:tcW w:w="932"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排放速率</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kg/h</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0.017</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0.017</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0.018</w:t>
                  </w:r>
                </w:p>
              </w:tc>
              <w:tc>
                <w:tcPr>
                  <w:tcW w:w="1023" w:type="dxa"/>
                  <w:vAlign w:val="center"/>
                </w:tcPr>
                <w:p>
                  <w:pPr>
                    <w:keepNext w:val="0"/>
                    <w:keepLines w:val="0"/>
                    <w:pageBreakBefore w:val="0"/>
                    <w:kinsoku/>
                    <w:wordWrap/>
                    <w:overflowPunct/>
                    <w:topLinePunct w:val="0"/>
                    <w:autoSpaceDE w:val="0"/>
                    <w:autoSpaceDN w:val="0"/>
                    <w:bidi w:val="0"/>
                    <w:adjustRightInd/>
                    <w:snapToGrid/>
                    <w:spacing w:line="240" w:lineRule="atLeast"/>
                    <w:ind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2022.07.19</w:t>
                  </w:r>
                </w:p>
              </w:tc>
              <w:tc>
                <w:tcPr>
                  <w:tcW w:w="932" w:type="dxa"/>
                  <w:vAlign w:val="center"/>
                </w:tcPr>
                <w:p>
                  <w:pPr>
                    <w:keepNext w:val="0"/>
                    <w:keepLines w:val="0"/>
                    <w:pageBreakBefore w:val="0"/>
                    <w:widowControl/>
                    <w:kinsoku/>
                    <w:wordWrap/>
                    <w:overflowPunct/>
                    <w:topLinePunct w:val="0"/>
                    <w:autoSpaceDE w:val="0"/>
                    <w:autoSpaceDN w:val="0"/>
                    <w:bidi w:val="0"/>
                    <w:adjustRightInd/>
                    <w:snapToGrid/>
                    <w:spacing w:line="240" w:lineRule="atLeast"/>
                    <w:ind w:firstLine="0" w:firstLineChars="0"/>
                    <w:jc w:val="center"/>
                    <w:textAlignment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sz w:val="21"/>
                      <w:szCs w:val="21"/>
                      <w:lang w:val="en-US"/>
                    </w:rPr>
                    <w:t>排气参数</w:t>
                  </w:r>
                </w:p>
              </w:tc>
              <w:tc>
                <w:tcPr>
                  <w:tcW w:w="932"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sz w:val="21"/>
                      <w:szCs w:val="21"/>
                      <w:lang w:val="en-US"/>
                    </w:rPr>
                    <w:t>标干流量</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kern w:val="2"/>
                      <w:sz w:val="21"/>
                      <w:szCs w:val="21"/>
                      <w:lang w:val="en-US" w:eastAsia="zh-CN" w:bidi="ar-SA"/>
                    </w:rPr>
                  </w:pPr>
                  <w:r>
                    <w:rPr>
                      <w:rFonts w:hint="default" w:ascii="Times New Roman" w:hAnsi="Times New Roman" w:eastAsia="宋体" w:cs="Times New Roman"/>
                      <w:bCs/>
                      <w:color w:val="000000"/>
                      <w:sz w:val="21"/>
                      <w:szCs w:val="21"/>
                      <w:lang w:val="en-US"/>
                    </w:rPr>
                    <w:t>m³/h</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6924</w:t>
                  </w:r>
                </w:p>
              </w:tc>
              <w:tc>
                <w:tcPr>
                  <w:tcW w:w="975"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7014</w:t>
                  </w:r>
                </w:p>
              </w:tc>
              <w:tc>
                <w:tcPr>
                  <w:tcW w:w="978" w:type="dxa"/>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7041</w:t>
                  </w:r>
                </w:p>
              </w:tc>
              <w:tc>
                <w:tcPr>
                  <w:tcW w:w="1023"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kern w:val="2"/>
                      <w:sz w:val="21"/>
                      <w:szCs w:val="21"/>
                      <w:lang w:val="en-US" w:eastAsia="zh-CN" w:bidi="zh-CN"/>
                    </w:rPr>
                  </w:pPr>
                  <w:r>
                    <w:rPr>
                      <w:rFonts w:hint="default" w:ascii="Times New Roman" w:hAnsi="Times New Roman" w:eastAsia="宋体" w:cs="Times New Roman"/>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932" w:type="dxa"/>
                  <w:vMerge w:val="restart"/>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eastAsia="zh-CN"/>
                    </w:rPr>
                  </w:pPr>
                  <w:r>
                    <w:rPr>
                      <w:rFonts w:hint="default" w:ascii="Times New Roman" w:hAnsi="Times New Roman" w:eastAsia="宋体" w:cs="Times New Roman"/>
                      <w:bCs/>
                      <w:color w:val="000000"/>
                      <w:sz w:val="21"/>
                      <w:szCs w:val="21"/>
                      <w:lang w:val="en-US" w:eastAsia="zh-CN"/>
                    </w:rPr>
                    <w:t>非甲烷</w:t>
                  </w:r>
                </w:p>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eastAsia="zh-CN"/>
                    </w:rPr>
                    <w:t>总烃</w:t>
                  </w: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排放浓度</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mg/m³</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2.44</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2.75</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2.79</w:t>
                  </w:r>
                </w:p>
              </w:tc>
              <w:tc>
                <w:tcPr>
                  <w:tcW w:w="1023" w:type="dxa"/>
                  <w:vAlign w:val="center"/>
                </w:tcPr>
                <w:p>
                  <w:pPr>
                    <w:pStyle w:val="2"/>
                    <w:keepNext w:val="0"/>
                    <w:keepLines w:val="0"/>
                    <w:pageBreakBefore w:val="0"/>
                    <w:kinsoku/>
                    <w:wordWrap/>
                    <w:overflowPunct/>
                    <w:topLinePunct w:val="0"/>
                    <w:autoSpaceDE w:val="0"/>
                    <w:autoSpaceDN w:val="0"/>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60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093" w:type="dxa"/>
                  <w:vMerge w:val="continue"/>
                  <w:vAlign w:val="center"/>
                </w:tcPr>
                <w:p>
                  <w:pPr>
                    <w:keepNext w:val="0"/>
                    <w:keepLines w:val="0"/>
                    <w:pageBreakBefore w:val="0"/>
                    <w:kinsoku/>
                    <w:overflowPunct/>
                    <w:topLinePunct w:val="0"/>
                    <w:bidi w:val="0"/>
                    <w:adjustRightInd/>
                    <w:snapToGrid/>
                    <w:spacing w:line="240" w:lineRule="atLeast"/>
                    <w:ind w:firstLine="0" w:firstLineChars="0"/>
                    <w:jc w:val="center"/>
                    <w:rPr>
                      <w:rFonts w:hint="default" w:ascii="Times New Roman" w:hAnsi="Times New Roman" w:eastAsia="宋体" w:cs="Times New Roman"/>
                      <w:sz w:val="21"/>
                      <w:szCs w:val="21"/>
                      <w:lang w:val="en-US"/>
                    </w:rPr>
                  </w:pPr>
                </w:p>
              </w:tc>
              <w:tc>
                <w:tcPr>
                  <w:tcW w:w="1094"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rPr>
                  </w:pPr>
                </w:p>
              </w:tc>
              <w:tc>
                <w:tcPr>
                  <w:tcW w:w="932" w:type="dxa"/>
                  <w:vMerge w:val="continue"/>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bCs/>
                      <w:color w:val="000000"/>
                      <w:sz w:val="21"/>
                      <w:szCs w:val="21"/>
                      <w:lang w:val="en-US"/>
                    </w:rPr>
                  </w:pPr>
                </w:p>
              </w:tc>
              <w:tc>
                <w:tcPr>
                  <w:tcW w:w="932"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排放速率</w:t>
                  </w:r>
                </w:p>
              </w:tc>
              <w:tc>
                <w:tcPr>
                  <w:tcW w:w="755" w:type="dxa"/>
                  <w:vAlign w:val="center"/>
                </w:tcPr>
                <w:p>
                  <w:pPr>
                    <w:keepNext w:val="0"/>
                    <w:keepLines w:val="0"/>
                    <w:pageBreakBefore w:val="0"/>
                    <w:widowControl/>
                    <w:kinsoku/>
                    <w:overflowPunct/>
                    <w:topLinePunct w:val="0"/>
                    <w:bidi w:val="0"/>
                    <w:adjustRightInd/>
                    <w:snapToGrid/>
                    <w:spacing w:line="240" w:lineRule="atLeast"/>
                    <w:ind w:firstLine="0" w:firstLineChars="0"/>
                    <w:jc w:val="center"/>
                    <w:rPr>
                      <w:rFonts w:hint="default" w:ascii="Times New Roman" w:hAnsi="Times New Roman" w:eastAsia="宋体" w:cs="Times New Roman"/>
                      <w:bCs/>
                      <w:color w:val="000000"/>
                      <w:sz w:val="21"/>
                      <w:szCs w:val="21"/>
                      <w:lang w:val="en-US"/>
                    </w:rPr>
                  </w:pPr>
                  <w:r>
                    <w:rPr>
                      <w:rFonts w:hint="default" w:ascii="Times New Roman" w:hAnsi="Times New Roman" w:eastAsia="宋体" w:cs="Times New Roman"/>
                      <w:bCs/>
                      <w:color w:val="000000"/>
                      <w:sz w:val="21"/>
                      <w:szCs w:val="21"/>
                      <w:lang w:val="en-US"/>
                    </w:rPr>
                    <w:t>kg/h</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0.017</w:t>
                  </w:r>
                </w:p>
              </w:tc>
              <w:tc>
                <w:tcPr>
                  <w:tcW w:w="975"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0.019</w:t>
                  </w:r>
                </w:p>
              </w:tc>
              <w:tc>
                <w:tcPr>
                  <w:tcW w:w="978" w:type="dxa"/>
                  <w:vAlign w:val="center"/>
                </w:tcPr>
                <w:p>
                  <w:pPr>
                    <w:pStyle w:val="2"/>
                    <w:keepNext w:val="0"/>
                    <w:keepLines w:val="0"/>
                    <w:pageBreakBefore w:val="0"/>
                    <w:kinsoku/>
                    <w:overflowPunct/>
                    <w:topLinePunct w:val="0"/>
                    <w:bidi w:val="0"/>
                    <w:adjustRightInd/>
                    <w:snapToGrid/>
                    <w:spacing w:after="0" w:line="240" w:lineRule="atLeast"/>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0.020</w:t>
                  </w:r>
                </w:p>
              </w:tc>
              <w:tc>
                <w:tcPr>
                  <w:tcW w:w="1023" w:type="dxa"/>
                  <w:vAlign w:val="center"/>
                </w:tcPr>
                <w:p>
                  <w:pPr>
                    <w:keepNext w:val="0"/>
                    <w:keepLines w:val="0"/>
                    <w:pageBreakBefore w:val="0"/>
                    <w:kinsoku/>
                    <w:wordWrap/>
                    <w:overflowPunct/>
                    <w:topLinePunct w:val="0"/>
                    <w:autoSpaceDE w:val="0"/>
                    <w:autoSpaceDN w:val="0"/>
                    <w:bidi w:val="0"/>
                    <w:adjustRightInd/>
                    <w:snapToGrid/>
                    <w:spacing w:line="240" w:lineRule="atLeast"/>
                    <w:ind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57" w:type="dxa"/>
                  <w:gridSpan w:val="9"/>
                  <w:vAlign w:val="center"/>
                </w:tcPr>
                <w:p>
                  <w:pPr>
                    <w:pStyle w:val="67"/>
                    <w:keepNext w:val="0"/>
                    <w:keepLines w:val="0"/>
                    <w:pageBreakBefore w:val="0"/>
                    <w:widowControl w:val="0"/>
                    <w:numPr>
                      <w:ilvl w:val="0"/>
                      <w:numId w:val="0"/>
                    </w:numPr>
                    <w:kinsoku/>
                    <w:wordWrap w:val="0"/>
                    <w:overflowPunct/>
                    <w:topLinePunct w:val="0"/>
                    <w:autoSpaceDE w:val="0"/>
                    <w:autoSpaceDN w:val="0"/>
                    <w:bidi w:val="0"/>
                    <w:adjustRightInd/>
                    <w:snapToGrid/>
                    <w:spacing w:line="240" w:lineRule="atLeast"/>
                    <w:ind w:right="0" w:right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检测结果显示，在检测期间，检测结果满足</w:t>
                  </w:r>
                  <w:r>
                    <w:rPr>
                      <w:rFonts w:hint="default" w:ascii="Times New Roman" w:hAnsi="Times New Roman" w:eastAsia="宋体" w:cs="Times New Roman"/>
                      <w:sz w:val="21"/>
                      <w:szCs w:val="21"/>
                      <w:lang w:val="en-US"/>
                    </w:rPr>
                    <w:t>《四川省固定污染源大气挥发性有机物排放标准》（DB51/2377-</w:t>
                  </w:r>
                  <w:r>
                    <w:rPr>
                      <w:rFonts w:hint="default" w:ascii="Times New Roman" w:hAnsi="Times New Roman" w:eastAsia="宋体" w:cs="Times New Roman"/>
                      <w:sz w:val="21"/>
                      <w:szCs w:val="21"/>
                      <w:lang w:val="en-US" w:eastAsia="zh-CN"/>
                    </w:rPr>
                    <w:t>2017</w:t>
                  </w:r>
                  <w:r>
                    <w:rPr>
                      <w:rFonts w:hint="default" w:ascii="Times New Roman" w:hAnsi="Times New Roman" w:eastAsia="宋体" w:cs="Times New Roman"/>
                      <w:sz w:val="21"/>
                      <w:szCs w:val="21"/>
                      <w:lang w:val="en-US"/>
                    </w:rPr>
                    <w:t>）表3</w:t>
                  </w:r>
                  <w:r>
                    <w:rPr>
                      <w:rFonts w:hint="default" w:ascii="Times New Roman" w:hAnsi="Times New Roman" w:eastAsia="宋体" w:cs="Times New Roman"/>
                      <w:sz w:val="21"/>
                      <w:szCs w:val="21"/>
                      <w:lang w:val="en-US" w:eastAsia="zh-CN"/>
                    </w:rPr>
                    <w:t>中“涉及有机溶剂生 产和使用的其它 行业”最高允许排放浓度及与排气筒高度对应的最高允许排放速率标准限值。</w:t>
                  </w:r>
                </w:p>
              </w:tc>
            </w:tr>
          </w:tbl>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表5-7油烟监测结果</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86"/>
              <w:gridCol w:w="1095"/>
              <w:gridCol w:w="787"/>
              <w:gridCol w:w="604"/>
              <w:gridCol w:w="868"/>
              <w:gridCol w:w="868"/>
              <w:gridCol w:w="868"/>
              <w:gridCol w:w="819"/>
              <w:gridCol w:w="753"/>
              <w:gridCol w:w="10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086"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点位</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bidi="zh-CN"/>
                    </w:rPr>
                  </w:pPr>
                  <w:r>
                    <w:rPr>
                      <w:rFonts w:hint="default" w:ascii="Times New Roman" w:hAnsi="Times New Roman" w:eastAsia="宋体" w:cs="Times New Roman"/>
                      <w:b/>
                      <w:bCs/>
                      <w:sz w:val="21"/>
                      <w:szCs w:val="21"/>
                      <w:lang w:val="en-US" w:eastAsia="zh-CN"/>
                    </w:rPr>
                    <w:t>编号</w:t>
                  </w:r>
                </w:p>
              </w:tc>
              <w:tc>
                <w:tcPr>
                  <w:tcW w:w="10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检测日期</w:t>
                  </w:r>
                </w:p>
              </w:tc>
              <w:tc>
                <w:tcPr>
                  <w:tcW w:w="787"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bidi="zh-CN"/>
                    </w:rPr>
                  </w:pPr>
                  <w:r>
                    <w:rPr>
                      <w:rFonts w:hint="default" w:ascii="Times New Roman" w:hAnsi="Times New Roman" w:eastAsia="宋体" w:cs="Times New Roman"/>
                      <w:b/>
                      <w:bCs/>
                      <w:sz w:val="21"/>
                      <w:szCs w:val="21"/>
                      <w:lang w:val="en-US" w:eastAsia="zh-CN" w:bidi="zh-CN"/>
                    </w:rPr>
                    <w:t>折算灶头数（个）</w:t>
                  </w:r>
                </w:p>
              </w:tc>
              <w:tc>
                <w:tcPr>
                  <w:tcW w:w="604"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bidi="zh-CN"/>
                    </w:rPr>
                  </w:pPr>
                  <w:r>
                    <w:rPr>
                      <w:rFonts w:hint="default" w:ascii="Times New Roman" w:hAnsi="Times New Roman" w:eastAsia="宋体" w:cs="Times New Roman"/>
                      <w:b/>
                      <w:bCs/>
                      <w:sz w:val="21"/>
                      <w:szCs w:val="21"/>
                      <w:lang w:val="en-US" w:eastAsia="zh-CN" w:bidi="zh-CN"/>
                    </w:rPr>
                    <w:t>频次</w:t>
                  </w:r>
                </w:p>
              </w:tc>
              <w:tc>
                <w:tcPr>
                  <w:tcW w:w="86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实测</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bidi="zh-CN"/>
                    </w:rPr>
                  </w:pPr>
                  <w:r>
                    <w:rPr>
                      <w:rFonts w:hint="default" w:ascii="Times New Roman" w:hAnsi="Times New Roman" w:eastAsia="宋体" w:cs="Times New Roman"/>
                      <w:b/>
                      <w:bCs/>
                      <w:sz w:val="21"/>
                      <w:szCs w:val="21"/>
                      <w:lang w:val="en-US" w:eastAsia="zh-CN"/>
                    </w:rPr>
                    <w:t>排风量</w:t>
                  </w:r>
                  <w:r>
                    <w:rPr>
                      <w:rFonts w:hint="default" w:ascii="Times New Roman" w:hAnsi="Times New Roman" w:eastAsia="宋体" w:cs="Times New Roman"/>
                      <w:b/>
                      <w:bCs/>
                      <w:sz w:val="21"/>
                      <w:szCs w:val="21"/>
                    </w:rPr>
                    <w:t>m</w:t>
                  </w:r>
                  <w:r>
                    <w:rPr>
                      <w:rFonts w:hint="default" w:ascii="Times New Roman" w:hAnsi="Times New Roman" w:eastAsia="宋体" w:cs="Times New Roman"/>
                      <w:b/>
                      <w:bCs/>
                      <w:sz w:val="21"/>
                      <w:szCs w:val="21"/>
                      <w:vertAlign w:val="superscript"/>
                    </w:rPr>
                    <w:t>3</w:t>
                  </w:r>
                  <w:r>
                    <w:rPr>
                      <w:rFonts w:hint="default" w:ascii="Times New Roman" w:hAnsi="Times New Roman" w:eastAsia="宋体" w:cs="Times New Roman"/>
                      <w:b/>
                      <w:bCs/>
                      <w:sz w:val="21"/>
                      <w:szCs w:val="21"/>
                    </w:rPr>
                    <w:t>/h</w:t>
                  </w:r>
                </w:p>
              </w:tc>
              <w:tc>
                <w:tcPr>
                  <w:tcW w:w="86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实测</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rPr>
                    <w:t>浓度</w:t>
                  </w:r>
                  <w:r>
                    <w:rPr>
                      <w:rFonts w:hint="default" w:ascii="Times New Roman" w:hAnsi="Times New Roman" w:eastAsia="宋体" w:cs="Times New Roman"/>
                      <w:b/>
                      <w:bCs/>
                      <w:sz w:val="21"/>
                      <w:szCs w:val="21"/>
                      <w:lang w:val="en-US" w:eastAsia="zh-CN"/>
                    </w:rPr>
                    <w:t>mg/m</w:t>
                  </w:r>
                  <w:r>
                    <w:rPr>
                      <w:rFonts w:hint="default" w:ascii="Times New Roman" w:hAnsi="Times New Roman" w:eastAsia="宋体" w:cs="Times New Roman"/>
                      <w:b/>
                      <w:bCs/>
                      <w:sz w:val="21"/>
                      <w:szCs w:val="21"/>
                      <w:vertAlign w:val="superscript"/>
                      <w:lang w:val="en-US" w:eastAsia="zh-CN"/>
                    </w:rPr>
                    <w:t>3</w:t>
                  </w:r>
                </w:p>
              </w:tc>
              <w:tc>
                <w:tcPr>
                  <w:tcW w:w="868"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折算</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浓度mg/m</w:t>
                  </w:r>
                  <w:r>
                    <w:rPr>
                      <w:rFonts w:hint="default" w:ascii="Times New Roman" w:hAnsi="Times New Roman" w:eastAsia="宋体" w:cs="Times New Roman"/>
                      <w:b/>
                      <w:bCs/>
                      <w:sz w:val="21"/>
                      <w:szCs w:val="21"/>
                      <w:vertAlign w:val="superscript"/>
                      <w:lang w:val="en-US" w:eastAsia="zh-CN"/>
                    </w:rPr>
                    <w:t>3</w:t>
                  </w:r>
                </w:p>
              </w:tc>
              <w:tc>
                <w:tcPr>
                  <w:tcW w:w="81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是否</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有效</w:t>
                  </w:r>
                </w:p>
              </w:tc>
              <w:tc>
                <w:tcPr>
                  <w:tcW w:w="75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有效值</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均值mg/m</w:t>
                  </w:r>
                  <w:r>
                    <w:rPr>
                      <w:rFonts w:hint="default" w:ascii="Times New Roman" w:hAnsi="Times New Roman" w:eastAsia="宋体" w:cs="Times New Roman"/>
                      <w:b/>
                      <w:bCs/>
                      <w:sz w:val="21"/>
                      <w:szCs w:val="21"/>
                      <w:vertAlign w:val="superscript"/>
                      <w:lang w:val="en-US" w:eastAsia="zh-CN"/>
                    </w:rPr>
                    <w:t>3</w:t>
                  </w:r>
                </w:p>
              </w:tc>
              <w:tc>
                <w:tcPr>
                  <w:tcW w:w="1009"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标准</w:t>
                  </w:r>
                </w:p>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限值mg/m</w:t>
                  </w:r>
                  <w:r>
                    <w:rPr>
                      <w:rFonts w:hint="default" w:ascii="Times New Roman" w:hAnsi="Times New Roman" w:eastAsia="宋体" w:cs="Times New Roman"/>
                      <w:b/>
                      <w:bCs/>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color w:val="000000" w:themeColor="text1"/>
                      <w:sz w:val="21"/>
                      <w:szCs w:val="21"/>
                      <w:lang w:val="en-US"/>
                    </w:rPr>
                    <w:t>◎</w:t>
                  </w:r>
                  <w:r>
                    <w:rPr>
                      <w:rFonts w:hint="default" w:ascii="Times New Roman" w:hAnsi="Times New Roman" w:eastAsia="宋体" w:cs="Times New Roman"/>
                      <w:color w:val="000000" w:themeColor="text1"/>
                      <w:sz w:val="21"/>
                      <w:szCs w:val="21"/>
                      <w:lang w:val="en-US" w:eastAsia="zh-CN"/>
                    </w:rPr>
                    <w:t>4</w:t>
                  </w:r>
                </w:p>
              </w:tc>
              <w:tc>
                <w:tcPr>
                  <w:tcW w:w="109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themeColor="text1"/>
                      <w:sz w:val="21"/>
                      <w:szCs w:val="21"/>
                      <w:lang w:val="en-US" w:eastAsia="zh-CN"/>
                    </w:rPr>
                    <w:t>2022.07.18</w:t>
                  </w:r>
                </w:p>
              </w:tc>
              <w:tc>
                <w:tcPr>
                  <w:tcW w:w="78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3.30</w:t>
                  </w: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1</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3163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0.3104</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0.149</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有效</w:t>
                  </w:r>
                </w:p>
              </w:tc>
              <w:tc>
                <w:tcPr>
                  <w:tcW w:w="753"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0.141</w:t>
                  </w:r>
                </w:p>
              </w:tc>
              <w:tc>
                <w:tcPr>
                  <w:tcW w:w="100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3177</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0.2833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0.136</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3129</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0.2843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0.135</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3273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0.2820</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0.140</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3188</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0.3019</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0.146</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2022.07.19</w:t>
                  </w:r>
                </w:p>
              </w:tc>
              <w:tc>
                <w:tcPr>
                  <w:tcW w:w="787"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3.30</w:t>
                  </w: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1</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3138</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0.3021</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0.144</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rPr>
                    <w:t>有效</w:t>
                  </w:r>
                </w:p>
              </w:tc>
              <w:tc>
                <w:tcPr>
                  <w:tcW w:w="753"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0.120</w:t>
                  </w: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2</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3157</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0.2614</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0.125</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3075</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0.2630</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0.122</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4</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3113</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0.2282</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0.108</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086"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109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787"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rPr>
                  </w:pPr>
                </w:p>
              </w:tc>
              <w:tc>
                <w:tcPr>
                  <w:tcW w:w="604"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rPr>
                    <w:t>5</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eastAsia="zh-CN" w:bidi="zh-CN"/>
                    </w:rPr>
                  </w:pPr>
                  <w:r>
                    <w:rPr>
                      <w:rFonts w:hint="default" w:ascii="Times New Roman" w:hAnsi="Times New Roman" w:eastAsia="宋体" w:cs="Times New Roman"/>
                      <w:sz w:val="21"/>
                      <w:szCs w:val="21"/>
                      <w:lang w:val="en-US" w:eastAsia="zh-CN" w:bidi="zh-CN"/>
                    </w:rPr>
                    <w:t>3192</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0.2057</w:t>
                  </w:r>
                </w:p>
              </w:tc>
              <w:tc>
                <w:tcPr>
                  <w:tcW w:w="868" w:type="dxa"/>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bidi="zh-CN"/>
                    </w:rPr>
                    <w:t>0.099</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1"/>
                      <w:szCs w:val="21"/>
                      <w:lang w:val="en-US" w:eastAsia="zh-CN" w:bidi="zh-CN"/>
                    </w:rPr>
                  </w:pPr>
                  <w:r>
                    <w:rPr>
                      <w:rFonts w:hint="default" w:ascii="Times New Roman" w:hAnsi="Times New Roman" w:eastAsia="宋体" w:cs="Times New Roman"/>
                      <w:color w:val="000000" w:themeColor="text1"/>
                      <w:sz w:val="21"/>
                      <w:szCs w:val="21"/>
                      <w:lang w:val="en-US" w:eastAsia="zh-CN"/>
                    </w:rPr>
                    <w:t>有效</w:t>
                  </w:r>
                </w:p>
              </w:tc>
              <w:tc>
                <w:tcPr>
                  <w:tcW w:w="753"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240" w:lineRule="atLeast"/>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00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default" w:ascii="Times New Roman" w:hAnsi="Times New Roman" w:eastAsia="宋体" w:cs="Times New Roman"/>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757"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检测结果显示，在检测期间，油烟检测结果满足《饮食业油烟排放标准》（试行）（GB 18483-2001）表2中标准限值。</w:t>
                  </w:r>
                </w:p>
              </w:tc>
            </w:tr>
          </w:tbl>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表5-8无组织废气监测结果</w:t>
            </w:r>
          </w:p>
          <w:bookmarkEnd w:id="14"/>
          <w:bookmarkEnd w:id="15"/>
          <w:bookmarkEnd w:id="16"/>
          <w:bookmarkEnd w:id="17"/>
          <w:bookmarkEnd w:id="18"/>
          <w:tbl>
            <w:tblPr>
              <w:tblStyle w:val="4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104"/>
              <w:gridCol w:w="1079"/>
              <w:gridCol w:w="1459"/>
              <w:gridCol w:w="983"/>
              <w:gridCol w:w="1028"/>
              <w:gridCol w:w="1028"/>
              <w:gridCol w:w="1028"/>
              <w:gridCol w:w="10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restart"/>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bookmarkStart w:id="20" w:name="_Toc8998"/>
                  <w:bookmarkStart w:id="21" w:name="_Toc216508037"/>
                  <w:bookmarkStart w:id="22" w:name="_Toc455913676"/>
                  <w:bookmarkStart w:id="23" w:name="_Toc185867432"/>
                  <w:bookmarkStart w:id="24" w:name="_Toc455913678"/>
                  <w:r>
                    <w:rPr>
                      <w:rFonts w:ascii="Times New Roman" w:hAnsi="Times New Roman" w:cs="Times New Roman"/>
                      <w:b/>
                      <w:bCs/>
                      <w:sz w:val="21"/>
                      <w:szCs w:val="21"/>
                      <w:lang w:val="en-US"/>
                    </w:rPr>
                    <w:t>检测项目</w:t>
                  </w:r>
                </w:p>
              </w:tc>
              <w:tc>
                <w:tcPr>
                  <w:tcW w:w="1152" w:type="dxa"/>
                  <w:vMerge w:val="restart"/>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r>
                    <w:rPr>
                      <w:rFonts w:hint="eastAsia" w:ascii="Times New Roman" w:hAnsi="Times New Roman" w:cs="Times New Roman"/>
                      <w:b/>
                      <w:bCs/>
                      <w:sz w:val="21"/>
                      <w:szCs w:val="21"/>
                      <w:lang w:val="en-US" w:eastAsia="zh-CN"/>
                    </w:rPr>
                    <w:t>检测日期</w:t>
                  </w:r>
                </w:p>
              </w:tc>
              <w:tc>
                <w:tcPr>
                  <w:tcW w:w="1559" w:type="dxa"/>
                  <w:vMerge w:val="restart"/>
                  <w:tcBorders>
                    <w:tl2br w:val="nil"/>
                    <w:tr2bl w:val="nil"/>
                  </w:tcBorders>
                  <w:vAlign w:val="center"/>
                </w:tcPr>
                <w:p>
                  <w:pPr>
                    <w:spacing w:line="240" w:lineRule="atLeast"/>
                    <w:ind w:firstLine="0" w:firstLineChars="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点位编号</w:t>
                  </w:r>
                </w:p>
              </w:tc>
              <w:tc>
                <w:tcPr>
                  <w:tcW w:w="1050" w:type="dxa"/>
                  <w:vMerge w:val="restart"/>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单位</w:t>
                  </w:r>
                </w:p>
              </w:tc>
              <w:tc>
                <w:tcPr>
                  <w:tcW w:w="3294" w:type="dxa"/>
                  <w:gridSpan w:val="3"/>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检测结果</w:t>
                  </w:r>
                </w:p>
              </w:tc>
              <w:tc>
                <w:tcPr>
                  <w:tcW w:w="1120" w:type="dxa"/>
                  <w:vMerge w:val="restart"/>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continue"/>
                  <w:tcBorders>
                    <w:tl2br w:val="nil"/>
                    <w:tr2bl w:val="nil"/>
                  </w:tcBorders>
                  <w:vAlign w:val="center"/>
                </w:tcPr>
                <w:p>
                  <w:pPr>
                    <w:spacing w:line="240" w:lineRule="atLeast"/>
                    <w:ind w:firstLine="0" w:firstLineChars="0"/>
                    <w:jc w:val="center"/>
                    <w:rPr>
                      <w:rFonts w:ascii="Times New Roman" w:hAnsi="Times New Roman" w:cs="Times New Roman"/>
                      <w:sz w:val="21"/>
                      <w:szCs w:val="21"/>
                    </w:rPr>
                  </w:pPr>
                </w:p>
              </w:tc>
              <w:tc>
                <w:tcPr>
                  <w:tcW w:w="1152" w:type="dxa"/>
                  <w:vMerge w:val="continue"/>
                  <w:tcBorders>
                    <w:tl2br w:val="nil"/>
                    <w:tr2bl w:val="nil"/>
                  </w:tcBorders>
                  <w:vAlign w:val="center"/>
                </w:tcPr>
                <w:p>
                  <w:pPr>
                    <w:spacing w:line="240" w:lineRule="atLeast"/>
                    <w:ind w:firstLine="0" w:firstLineChars="0"/>
                    <w:jc w:val="center"/>
                    <w:rPr>
                      <w:rFonts w:ascii="Times New Roman" w:hAnsi="Times New Roman" w:cs="Times New Roman"/>
                      <w:sz w:val="21"/>
                      <w:szCs w:val="21"/>
                    </w:rPr>
                  </w:pPr>
                </w:p>
              </w:tc>
              <w:tc>
                <w:tcPr>
                  <w:tcW w:w="1559" w:type="dxa"/>
                  <w:vMerge w:val="continue"/>
                  <w:tcBorders>
                    <w:tl2br w:val="nil"/>
                    <w:tr2bl w:val="nil"/>
                  </w:tcBorders>
                  <w:vAlign w:val="center"/>
                </w:tcPr>
                <w:p>
                  <w:pPr>
                    <w:spacing w:line="240" w:lineRule="atLeast"/>
                    <w:ind w:firstLine="0" w:firstLineChars="0"/>
                    <w:jc w:val="center"/>
                    <w:rPr>
                      <w:rFonts w:ascii="Times New Roman" w:hAnsi="Times New Roman" w:cs="Times New Roman"/>
                      <w:sz w:val="21"/>
                      <w:szCs w:val="21"/>
                    </w:rPr>
                  </w:pPr>
                </w:p>
              </w:tc>
              <w:tc>
                <w:tcPr>
                  <w:tcW w:w="1050" w:type="dxa"/>
                  <w:vMerge w:val="continue"/>
                  <w:tcBorders>
                    <w:tl2br w:val="nil"/>
                    <w:tr2bl w:val="nil"/>
                  </w:tcBorders>
                  <w:vAlign w:val="center"/>
                </w:tcPr>
                <w:p>
                  <w:pPr>
                    <w:spacing w:line="240" w:lineRule="atLeast"/>
                    <w:ind w:firstLine="0" w:firstLineChars="0"/>
                    <w:jc w:val="center"/>
                    <w:rPr>
                      <w:rFonts w:ascii="Times New Roman" w:hAnsi="Times New Roman" w:cs="Times New Roman"/>
                      <w:sz w:val="21"/>
                      <w:szCs w:val="21"/>
                    </w:rPr>
                  </w:pPr>
                </w:p>
              </w:tc>
              <w:tc>
                <w:tcPr>
                  <w:tcW w:w="1098" w:type="dxa"/>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第一次</w:t>
                  </w:r>
                </w:p>
              </w:tc>
              <w:tc>
                <w:tcPr>
                  <w:tcW w:w="1098" w:type="dxa"/>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r>
                    <w:rPr>
                      <w:rFonts w:ascii="Times New Roman" w:hAnsi="Times New Roman" w:cs="Times New Roman"/>
                      <w:b/>
                      <w:bCs/>
                      <w:sz w:val="21"/>
                      <w:szCs w:val="21"/>
                      <w:lang w:val="en-US"/>
                    </w:rPr>
                    <w:t>第二次</w:t>
                  </w:r>
                </w:p>
              </w:tc>
              <w:tc>
                <w:tcPr>
                  <w:tcW w:w="1098" w:type="dxa"/>
                  <w:tcBorders>
                    <w:tl2br w:val="nil"/>
                    <w:tr2bl w:val="nil"/>
                  </w:tcBorders>
                  <w:vAlign w:val="center"/>
                </w:tcPr>
                <w:p>
                  <w:pPr>
                    <w:spacing w:line="240" w:lineRule="atLeast"/>
                    <w:ind w:firstLine="0" w:firstLineChars="0"/>
                    <w:jc w:val="center"/>
                    <w:rPr>
                      <w:rFonts w:hint="eastAsia" w:ascii="Times New Roman" w:hAnsi="Times New Roman" w:eastAsia="宋体" w:cs="Times New Roman"/>
                      <w:b/>
                      <w:bCs/>
                      <w:sz w:val="21"/>
                      <w:szCs w:val="21"/>
                      <w:lang w:val="en-US" w:eastAsia="zh-CN"/>
                    </w:rPr>
                  </w:pPr>
                  <w:r>
                    <w:rPr>
                      <w:rFonts w:ascii="Times New Roman" w:hAnsi="Times New Roman" w:cs="Times New Roman"/>
                      <w:b/>
                      <w:bCs/>
                      <w:sz w:val="21"/>
                      <w:szCs w:val="21"/>
                      <w:lang w:val="en-US"/>
                    </w:rPr>
                    <w:t>第三次</w:t>
                  </w:r>
                </w:p>
              </w:tc>
              <w:tc>
                <w:tcPr>
                  <w:tcW w:w="1120" w:type="dxa"/>
                  <w:vMerge w:val="continue"/>
                  <w:tcBorders>
                    <w:tl2br w:val="nil"/>
                    <w:tr2bl w:val="nil"/>
                  </w:tcBorders>
                  <w:vAlign w:val="center"/>
                </w:tcPr>
                <w:p>
                  <w:pPr>
                    <w:spacing w:line="240" w:lineRule="atLeast"/>
                    <w:ind w:firstLine="0" w:firstLineChars="0"/>
                    <w:jc w:val="center"/>
                    <w:rPr>
                      <w:rFonts w:ascii="Times New Roman" w:hAnsi="Times New Roman" w:cs="Times New Roman"/>
                      <w:b/>
                      <w:bCs/>
                      <w:sz w:val="21"/>
                      <w:szCs w:val="21"/>
                      <w:lang w:val="en-US"/>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restart"/>
                  <w:tcBorders>
                    <w:tl2br w:val="nil"/>
                    <w:tr2bl w:val="nil"/>
                  </w:tcBorders>
                  <w:vAlign w:val="center"/>
                </w:tcPr>
                <w:p>
                  <w:pPr>
                    <w:spacing w:line="240" w:lineRule="auto"/>
                    <w:ind w:firstLine="0" w:firstLineChars="0"/>
                    <w:jc w:val="center"/>
                    <w:rPr>
                      <w:rFonts w:hint="default" w:ascii="Times New Roman" w:hAnsi="Times New Roman" w:eastAsia="宋体" w:cs="Times New Roman"/>
                      <w:bCs/>
                      <w:color w:val="000000"/>
                      <w:sz w:val="21"/>
                      <w:szCs w:val="21"/>
                      <w:lang w:val="en-US" w:eastAsia="zh-CN"/>
                    </w:rPr>
                  </w:pPr>
                  <w:r>
                    <w:rPr>
                      <w:rFonts w:hint="eastAsia" w:ascii="Times New Roman" w:hAnsi="Times New Roman" w:cs="Times New Roman"/>
                      <w:color w:val="000000" w:themeColor="text1"/>
                      <w:sz w:val="21"/>
                      <w:szCs w:val="21"/>
                      <w:lang w:val="en-US" w:eastAsia="zh-CN"/>
                    </w:rPr>
                    <w:t>非甲烷总烃</w:t>
                  </w:r>
                </w:p>
              </w:tc>
              <w:tc>
                <w:tcPr>
                  <w:tcW w:w="1152" w:type="dxa"/>
                  <w:vMerge w:val="restart"/>
                  <w:tcBorders>
                    <w:tl2br w:val="nil"/>
                    <w:tr2bl w:val="nil"/>
                  </w:tcBorders>
                  <w:vAlign w:val="center"/>
                </w:tcPr>
                <w:p>
                  <w:pPr>
                    <w:spacing w:line="240" w:lineRule="auto"/>
                    <w:ind w:firstLine="0" w:firstLineChars="0"/>
                    <w:jc w:val="center"/>
                    <w:rPr>
                      <w:rFonts w:hint="eastAsia" w:ascii="Times New Roman" w:hAnsi="Times New Roman" w:eastAsia="宋体" w:cs="Times New Roman"/>
                      <w:color w:val="000000" w:themeColor="text1"/>
                      <w:sz w:val="21"/>
                      <w:szCs w:val="21"/>
                      <w:lang w:val="en-US" w:eastAsia="zh-CN"/>
                    </w:rPr>
                  </w:pPr>
                  <w:r>
                    <w:rPr>
                      <w:rFonts w:hint="eastAsia" w:ascii="Times New Roman" w:hAnsi="Times New Roman" w:cs="Times New Roman"/>
                      <w:color w:val="000000" w:themeColor="text1"/>
                      <w:sz w:val="21"/>
                      <w:szCs w:val="21"/>
                      <w:lang w:val="en-US" w:eastAsia="zh-CN"/>
                    </w:rPr>
                    <w:t>2022.07.18</w:t>
                  </w:r>
                </w:p>
              </w:tc>
              <w:tc>
                <w:tcPr>
                  <w:tcW w:w="1559"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eastAsia="zh-CN"/>
                    </w:rPr>
                    <w:t>5</w:t>
                  </w:r>
                </w:p>
              </w:tc>
              <w:tc>
                <w:tcPr>
                  <w:tcW w:w="1050" w:type="dxa"/>
                  <w:vMerge w:val="restart"/>
                  <w:tcBorders>
                    <w:tl2br w:val="nil"/>
                    <w:tr2bl w:val="nil"/>
                  </w:tcBorders>
                  <w:vAlign w:val="center"/>
                </w:tcPr>
                <w:p>
                  <w:pPr>
                    <w:spacing w:line="240" w:lineRule="atLeast"/>
                    <w:ind w:firstLine="0" w:firstLineChars="0"/>
                    <w:jc w:val="center"/>
                    <w:rPr>
                      <w:rFonts w:hint="eastAsia" w:ascii="Times New Roman" w:hAnsi="Times New Roman" w:eastAsia="宋体" w:cs="Times New Roman"/>
                      <w:color w:val="000000"/>
                      <w:sz w:val="21"/>
                      <w:szCs w:val="21"/>
                      <w:lang w:val="en-US" w:eastAsia="zh-CN"/>
                    </w:rPr>
                  </w:pPr>
                  <w:r>
                    <w:rPr>
                      <w:rFonts w:ascii="Times New Roman" w:hAnsi="Times New Roman" w:cs="Times New Roman"/>
                      <w:color w:val="000000"/>
                      <w:sz w:val="21"/>
                      <w:szCs w:val="21"/>
                      <w:lang w:val="en-US"/>
                    </w:rPr>
                    <w:t>mg/m</w:t>
                  </w:r>
                  <w:r>
                    <w:rPr>
                      <w:rFonts w:ascii="Times New Roman" w:hAnsi="Times New Roman" w:cs="Times New Roman"/>
                      <w:color w:val="000000"/>
                      <w:sz w:val="21"/>
                      <w:szCs w:val="21"/>
                      <w:vertAlign w:val="superscript"/>
                      <w:lang w:val="en-US"/>
                    </w:rPr>
                    <w:t>3</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0.14</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0.16</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0.13</w:t>
                  </w:r>
                </w:p>
              </w:tc>
              <w:tc>
                <w:tcPr>
                  <w:tcW w:w="1120" w:type="dxa"/>
                  <w:tcBorders>
                    <w:tl2br w:val="nil"/>
                    <w:tr2bl w:val="nil"/>
                  </w:tcBorders>
                  <w:vAlign w:val="center"/>
                </w:tcPr>
                <w:p>
                  <w:pPr>
                    <w:pStyle w:val="2"/>
                    <w:spacing w:after="0" w:line="240" w:lineRule="atLeast"/>
                    <w:ind w:firstLine="0" w:firstLineChars="0"/>
                    <w:jc w:val="center"/>
                    <w:rPr>
                      <w:rFonts w:hint="default" w:ascii="Times New Roman" w:hAnsi="Times New Roman" w:cs="Times New Roman"/>
                      <w:sz w:val="21"/>
                      <w:szCs w:val="21"/>
                      <w:highlight w:val="none"/>
                      <w:lang w:val="en-US"/>
                    </w:rPr>
                  </w:pPr>
                  <w:r>
                    <w:rPr>
                      <w:rFonts w:hint="eastAsia" w:ascii="Times New Roman" w:hAnsi="Times New Roman" w:cs="Times New Roman"/>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continue"/>
                  <w:tcBorders>
                    <w:tl2br w:val="nil"/>
                    <w:tr2bl w:val="nil"/>
                  </w:tcBorders>
                  <w:vAlign w:val="center"/>
                </w:tcPr>
                <w:p>
                  <w:pPr>
                    <w:pStyle w:val="2"/>
                    <w:spacing w:after="0" w:line="240" w:lineRule="atLeast"/>
                    <w:ind w:firstLine="0" w:firstLineChars="0"/>
                    <w:jc w:val="center"/>
                    <w:rPr>
                      <w:rFonts w:hint="eastAsia" w:ascii="Times New Roman" w:hAnsi="Times New Roman" w:cs="Times New Roman"/>
                      <w:bCs/>
                      <w:color w:val="000000"/>
                      <w:sz w:val="21"/>
                      <w:szCs w:val="21"/>
                      <w:lang w:val="en-US" w:eastAsia="zh-CN"/>
                    </w:rPr>
                  </w:pPr>
                </w:p>
              </w:tc>
              <w:tc>
                <w:tcPr>
                  <w:tcW w:w="1152" w:type="dxa"/>
                  <w:vMerge w:val="continue"/>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p>
              </w:tc>
              <w:tc>
                <w:tcPr>
                  <w:tcW w:w="1559"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eastAsia="zh-CN"/>
                    </w:rPr>
                    <w:t>6</w:t>
                  </w:r>
                </w:p>
              </w:tc>
              <w:tc>
                <w:tcPr>
                  <w:tcW w:w="1050"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sz w:val="21"/>
                      <w:szCs w:val="21"/>
                      <w:lang w:val="en-US"/>
                    </w:rPr>
                  </w:pP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0.20</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0.23</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0.25</w:t>
                  </w:r>
                </w:p>
              </w:tc>
              <w:tc>
                <w:tcPr>
                  <w:tcW w:w="1120"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highlight w:val="none"/>
                      <w:lang w:val="en-US" w:eastAsia="zh-CN" w:bidi="zh-CN"/>
                    </w:rPr>
                  </w:pPr>
                  <w:r>
                    <w:rPr>
                      <w:rFonts w:hint="eastAsia" w:ascii="Times New Roman" w:hAnsi="Times New Roman" w:cs="Times New Roman"/>
                      <w:sz w:val="21"/>
                      <w:szCs w:val="21"/>
                      <w:highlight w:val="none"/>
                      <w:lang w:val="en-US" w:eastAsia="zh-CN" w:bidi="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continue"/>
                  <w:tcBorders>
                    <w:tl2br w:val="nil"/>
                    <w:tr2bl w:val="nil"/>
                  </w:tcBorders>
                  <w:vAlign w:val="center"/>
                </w:tcPr>
                <w:p>
                  <w:pPr>
                    <w:pStyle w:val="2"/>
                    <w:spacing w:after="0" w:line="240" w:lineRule="atLeast"/>
                    <w:ind w:firstLine="0" w:firstLineChars="0"/>
                    <w:jc w:val="center"/>
                    <w:rPr>
                      <w:rFonts w:hint="eastAsia" w:ascii="Times New Roman" w:hAnsi="Times New Roman" w:cs="Times New Roman"/>
                      <w:bCs/>
                      <w:color w:val="000000"/>
                      <w:sz w:val="21"/>
                      <w:szCs w:val="21"/>
                      <w:lang w:val="en-US" w:eastAsia="zh-CN"/>
                    </w:rPr>
                  </w:pPr>
                </w:p>
              </w:tc>
              <w:tc>
                <w:tcPr>
                  <w:tcW w:w="1152" w:type="dxa"/>
                  <w:vMerge w:val="continue"/>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p>
              </w:tc>
              <w:tc>
                <w:tcPr>
                  <w:tcW w:w="1559"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eastAsia="zh-CN"/>
                    </w:rPr>
                    <w:t>7</w:t>
                  </w:r>
                </w:p>
              </w:tc>
              <w:tc>
                <w:tcPr>
                  <w:tcW w:w="1050"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sz w:val="21"/>
                      <w:szCs w:val="21"/>
                      <w:lang w:val="en-US"/>
                    </w:rPr>
                  </w:pP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0.30</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0.35</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0.29</w:t>
                  </w:r>
                </w:p>
              </w:tc>
              <w:tc>
                <w:tcPr>
                  <w:tcW w:w="1120"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highlight w:val="none"/>
                      <w:lang w:val="en-US" w:eastAsia="zh-CN" w:bidi="zh-CN"/>
                    </w:rPr>
                  </w:pPr>
                  <w:r>
                    <w:rPr>
                      <w:rFonts w:hint="eastAsia" w:ascii="Times New Roman" w:hAnsi="Times New Roman" w:cs="Times New Roman"/>
                      <w:sz w:val="21"/>
                      <w:szCs w:val="21"/>
                      <w:highlight w:val="none"/>
                      <w:lang w:val="en-US" w:eastAsia="zh-CN" w:bidi="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continue"/>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bCs/>
                      <w:color w:val="000000"/>
                      <w:sz w:val="21"/>
                      <w:szCs w:val="21"/>
                      <w:lang w:val="en-US" w:eastAsia="zh-CN"/>
                    </w:rPr>
                  </w:pPr>
                </w:p>
              </w:tc>
              <w:tc>
                <w:tcPr>
                  <w:tcW w:w="1152" w:type="dxa"/>
                  <w:vMerge w:val="restart"/>
                  <w:tcBorders>
                    <w:tl2br w:val="nil"/>
                    <w:tr2bl w:val="nil"/>
                  </w:tcBorders>
                  <w:vAlign w:val="center"/>
                </w:tcPr>
                <w:p>
                  <w:pPr>
                    <w:pStyle w:val="2"/>
                    <w:spacing w:after="0" w:line="240" w:lineRule="atLeast"/>
                    <w:ind w:firstLine="0" w:firstLineChars="0"/>
                    <w:jc w:val="center"/>
                    <w:rPr>
                      <w:rFonts w:ascii="Times New Roman" w:hAnsi="Times New Roman" w:cs="Times New Roman"/>
                      <w:color w:val="000000" w:themeColor="text1"/>
                      <w:sz w:val="21"/>
                      <w:szCs w:val="21"/>
                      <w:lang w:val="en-US"/>
                    </w:rPr>
                  </w:pPr>
                  <w:r>
                    <w:rPr>
                      <w:rFonts w:hint="eastAsia" w:ascii="Times New Roman" w:hAnsi="Times New Roman" w:cs="Times New Roman"/>
                      <w:sz w:val="21"/>
                      <w:szCs w:val="21"/>
                      <w:lang w:val="en-US" w:eastAsia="zh-CN"/>
                    </w:rPr>
                    <w:t>2022.07.19</w:t>
                  </w:r>
                </w:p>
              </w:tc>
              <w:tc>
                <w:tcPr>
                  <w:tcW w:w="1559"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eastAsia="zh-CN"/>
                    </w:rPr>
                    <w:t>5</w:t>
                  </w:r>
                </w:p>
              </w:tc>
              <w:tc>
                <w:tcPr>
                  <w:tcW w:w="1050" w:type="dxa"/>
                  <w:vMerge w:val="continue"/>
                  <w:tcBorders>
                    <w:tl2br w:val="nil"/>
                    <w:tr2bl w:val="nil"/>
                  </w:tcBorders>
                  <w:vAlign w:val="center"/>
                </w:tcPr>
                <w:p>
                  <w:pPr>
                    <w:spacing w:line="240" w:lineRule="atLeast"/>
                    <w:ind w:firstLine="0" w:firstLineChars="0"/>
                    <w:jc w:val="center"/>
                    <w:rPr>
                      <w:rFonts w:hint="eastAsia" w:ascii="Times New Roman" w:hAnsi="Times New Roman" w:eastAsia="宋体" w:cs="Times New Roman"/>
                      <w:color w:val="000000"/>
                      <w:sz w:val="21"/>
                      <w:szCs w:val="21"/>
                      <w:lang w:val="en-US" w:eastAsia="zh-CN"/>
                    </w:rPr>
                  </w:pP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0.24</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0.25</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eastAsia="宋体"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0.21</w:t>
                  </w:r>
                </w:p>
              </w:tc>
              <w:tc>
                <w:tcPr>
                  <w:tcW w:w="1120"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highlight w:val="none"/>
                      <w:lang w:val="en-US" w:eastAsia="zh-CN" w:bidi="zh-CN"/>
                    </w:rPr>
                  </w:pPr>
                  <w:r>
                    <w:rPr>
                      <w:rFonts w:hint="eastAsia" w:ascii="Times New Roman" w:hAnsi="Times New Roman" w:cs="Times New Roman"/>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continue"/>
                  <w:tcBorders>
                    <w:tl2br w:val="nil"/>
                    <w:tr2bl w:val="nil"/>
                  </w:tcBorders>
                  <w:vAlign w:val="center"/>
                </w:tcPr>
                <w:p>
                  <w:pPr>
                    <w:pStyle w:val="2"/>
                    <w:spacing w:after="0" w:line="240" w:lineRule="atLeast"/>
                    <w:ind w:firstLine="0" w:firstLineChars="0"/>
                    <w:jc w:val="center"/>
                    <w:rPr>
                      <w:rFonts w:hint="eastAsia" w:ascii="Times New Roman" w:hAnsi="Times New Roman" w:cs="Times New Roman"/>
                      <w:bCs/>
                      <w:color w:val="000000"/>
                      <w:sz w:val="21"/>
                      <w:szCs w:val="21"/>
                      <w:lang w:val="en-US" w:eastAsia="zh-CN"/>
                    </w:rPr>
                  </w:pPr>
                </w:p>
              </w:tc>
              <w:tc>
                <w:tcPr>
                  <w:tcW w:w="1152" w:type="dxa"/>
                  <w:vMerge w:val="continue"/>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p>
              </w:tc>
              <w:tc>
                <w:tcPr>
                  <w:tcW w:w="1559"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eastAsia="zh-CN"/>
                    </w:rPr>
                    <w:t>6</w:t>
                  </w:r>
                </w:p>
              </w:tc>
              <w:tc>
                <w:tcPr>
                  <w:tcW w:w="1050"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sz w:val="21"/>
                      <w:szCs w:val="21"/>
                      <w:lang w:val="en-US"/>
                    </w:rPr>
                  </w:pP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0.27</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0.32</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0.35</w:t>
                  </w:r>
                </w:p>
              </w:tc>
              <w:tc>
                <w:tcPr>
                  <w:tcW w:w="1120"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highlight w:val="none"/>
                      <w:lang w:val="en-US" w:eastAsia="zh-CN" w:bidi="zh-CN"/>
                    </w:rPr>
                  </w:pPr>
                  <w:r>
                    <w:rPr>
                      <w:rFonts w:hint="eastAsia" w:ascii="Times New Roman" w:hAnsi="Times New Roman" w:cs="Times New Roman"/>
                      <w:sz w:val="21"/>
                      <w:szCs w:val="21"/>
                      <w:highlight w:val="none"/>
                      <w:lang w:val="en-US" w:eastAsia="zh-CN" w:bidi="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179" w:type="dxa"/>
                  <w:vMerge w:val="continue"/>
                  <w:tcBorders>
                    <w:tl2br w:val="nil"/>
                    <w:tr2bl w:val="nil"/>
                  </w:tcBorders>
                  <w:vAlign w:val="center"/>
                </w:tcPr>
                <w:p>
                  <w:pPr>
                    <w:pStyle w:val="2"/>
                    <w:spacing w:after="0" w:line="240" w:lineRule="atLeast"/>
                    <w:ind w:firstLine="0" w:firstLineChars="0"/>
                    <w:jc w:val="center"/>
                    <w:rPr>
                      <w:rFonts w:hint="eastAsia" w:ascii="Times New Roman" w:hAnsi="Times New Roman" w:cs="Times New Roman"/>
                      <w:bCs/>
                      <w:color w:val="000000"/>
                      <w:sz w:val="21"/>
                      <w:szCs w:val="21"/>
                      <w:lang w:val="en-US" w:eastAsia="zh-CN"/>
                    </w:rPr>
                  </w:pPr>
                </w:p>
              </w:tc>
              <w:tc>
                <w:tcPr>
                  <w:tcW w:w="1152" w:type="dxa"/>
                  <w:vMerge w:val="continue"/>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p>
              </w:tc>
              <w:tc>
                <w:tcPr>
                  <w:tcW w:w="1559"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color w:val="FF0000"/>
                      <w:sz w:val="21"/>
                      <w:szCs w:val="21"/>
                      <w:lang w:val="en-US" w:eastAsia="zh-CN" w:bidi="zh-CN"/>
                    </w:rPr>
                  </w:pPr>
                  <w:r>
                    <w:rPr>
                      <w:rFonts w:hint="eastAsia" w:ascii="Times New Roman" w:hAnsi="Times New Roman" w:cs="Times New Roman"/>
                      <w:color w:val="000000" w:themeColor="text1"/>
                      <w:sz w:val="21"/>
                      <w:szCs w:val="21"/>
                      <w:lang w:val="en-US"/>
                    </w:rPr>
                    <w:t>○</w:t>
                  </w:r>
                  <w:r>
                    <w:rPr>
                      <w:rFonts w:hint="eastAsia" w:ascii="Times New Roman" w:hAnsi="Times New Roman" w:cs="Times New Roman"/>
                      <w:color w:val="000000" w:themeColor="text1"/>
                      <w:sz w:val="21"/>
                      <w:szCs w:val="21"/>
                      <w:lang w:val="en-US" w:eastAsia="zh-CN"/>
                    </w:rPr>
                    <w:t>7</w:t>
                  </w:r>
                </w:p>
              </w:tc>
              <w:tc>
                <w:tcPr>
                  <w:tcW w:w="1050"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sz w:val="21"/>
                      <w:szCs w:val="21"/>
                      <w:lang w:val="en-US"/>
                    </w:rPr>
                  </w:pP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0.34</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0.34</w:t>
                  </w:r>
                </w:p>
              </w:tc>
              <w:tc>
                <w:tcPr>
                  <w:tcW w:w="1098" w:type="dxa"/>
                  <w:tcBorders>
                    <w:tl2br w:val="nil"/>
                    <w:tr2bl w:val="nil"/>
                  </w:tcBorders>
                  <w:vAlign w:val="center"/>
                </w:tcPr>
                <w:p>
                  <w:pPr>
                    <w:widowControl/>
                    <w:spacing w:line="240" w:lineRule="atLeast"/>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0.33</w:t>
                  </w:r>
                </w:p>
              </w:tc>
              <w:tc>
                <w:tcPr>
                  <w:tcW w:w="1120" w:type="dxa"/>
                  <w:tcBorders>
                    <w:tl2br w:val="nil"/>
                    <w:tr2bl w:val="nil"/>
                  </w:tcBorders>
                  <w:vAlign w:val="center"/>
                </w:tcPr>
                <w:p>
                  <w:pPr>
                    <w:pStyle w:val="2"/>
                    <w:spacing w:after="0" w:line="240" w:lineRule="atLeast"/>
                    <w:ind w:firstLine="0" w:firstLineChars="0"/>
                    <w:jc w:val="center"/>
                    <w:rPr>
                      <w:rFonts w:hint="default" w:ascii="Times New Roman" w:hAnsi="Times New Roman" w:eastAsia="宋体" w:cs="Times New Roman"/>
                      <w:sz w:val="21"/>
                      <w:szCs w:val="21"/>
                      <w:highlight w:val="none"/>
                      <w:lang w:val="en-US" w:eastAsia="zh-CN" w:bidi="zh-CN"/>
                    </w:rPr>
                  </w:pPr>
                  <w:r>
                    <w:rPr>
                      <w:rFonts w:hint="eastAsia" w:ascii="Times New Roman" w:hAnsi="Times New Roman" w:cs="Times New Roman"/>
                      <w:sz w:val="21"/>
                      <w:szCs w:val="21"/>
                      <w:highlight w:val="none"/>
                      <w:lang w:val="en-US" w:eastAsia="zh-CN" w:bidi="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54" w:type="dxa"/>
                  <w:gridSpan w:val="8"/>
                  <w:tcBorders>
                    <w:tl2br w:val="nil"/>
                    <w:tr2bl w:val="nil"/>
                  </w:tcBorders>
                  <w:vAlign w:val="center"/>
                </w:tcPr>
                <w:p>
                  <w:pPr>
                    <w:pStyle w:val="67"/>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105" w:rightChars="50"/>
                    <w:jc w:val="left"/>
                    <w:textAlignment w:val="auto"/>
                    <w:rPr>
                      <w:rFonts w:hint="eastAsia" w:ascii="Times New Roman" w:hAnsi="Times New Roman" w:eastAsia="宋体" w:cs="Times New Roman"/>
                      <w:sz w:val="21"/>
                      <w:szCs w:val="21"/>
                      <w:lang w:val="en-US" w:eastAsia="zh-CN"/>
                    </w:rPr>
                  </w:pPr>
                  <w:r>
                    <w:rPr>
                      <w:rFonts w:hint="eastAsia" w:eastAsia="宋体"/>
                      <w:sz w:val="21"/>
                      <w:szCs w:val="21"/>
                      <w:lang w:val="en-US" w:eastAsia="zh-CN"/>
                    </w:rPr>
                    <w:t>检测结果显示，在检测期间，</w:t>
                  </w:r>
                  <w:r>
                    <w:rPr>
                      <w:rFonts w:hint="eastAsia" w:ascii="Times New Roman" w:hAnsi="Times New Roman" w:eastAsia="宋体" w:cs="Times New Roman"/>
                      <w:sz w:val="21"/>
                      <w:szCs w:val="21"/>
                      <w:lang w:val="en-US" w:eastAsia="zh-CN"/>
                    </w:rPr>
                    <w:t>非甲烷总烃</w:t>
                  </w:r>
                  <w:r>
                    <w:rPr>
                      <w:rFonts w:hint="eastAsia" w:eastAsia="宋体" w:cs="Times New Roman"/>
                      <w:sz w:val="21"/>
                      <w:szCs w:val="21"/>
                      <w:lang w:val="en-US" w:eastAsia="zh-CN"/>
                    </w:rPr>
                    <w:t>检测结果满足</w:t>
                  </w:r>
                  <w:r>
                    <w:rPr>
                      <w:rFonts w:ascii="Times New Roman" w:hAnsi="Times New Roman" w:cs="Times New Roman"/>
                      <w:sz w:val="21"/>
                      <w:szCs w:val="21"/>
                      <w:lang w:val="en-US"/>
                    </w:rPr>
                    <w:t>《四川省固定污染源大气挥发性有机物排放标准》</w:t>
                  </w:r>
                  <w:r>
                    <w:rPr>
                      <w:rFonts w:hint="eastAsia" w:ascii="Times New Roman" w:hAnsi="Times New Roman" w:cs="Times New Roman"/>
                      <w:sz w:val="21"/>
                      <w:szCs w:val="21"/>
                      <w:lang w:val="en-US"/>
                    </w:rPr>
                    <w:t>（</w:t>
                  </w:r>
                  <w:r>
                    <w:rPr>
                      <w:rFonts w:ascii="Times New Roman" w:hAnsi="Times New Roman" w:cs="Times New Roman"/>
                      <w:sz w:val="21"/>
                      <w:szCs w:val="21"/>
                      <w:lang w:val="en-US"/>
                    </w:rPr>
                    <w:t>DB 51/2377-20</w:t>
                  </w:r>
                  <w:r>
                    <w:rPr>
                      <w:rFonts w:hint="eastAsia" w:eastAsia="宋体" w:cs="Times New Roman"/>
                      <w:sz w:val="21"/>
                      <w:szCs w:val="21"/>
                      <w:lang w:val="en-US" w:eastAsia="zh-CN"/>
                    </w:rPr>
                    <w:t>21</w:t>
                  </w:r>
                  <w:r>
                    <w:rPr>
                      <w:rFonts w:hint="eastAsia" w:ascii="Times New Roman" w:hAnsi="Times New Roman" w:cs="Times New Roman"/>
                      <w:sz w:val="21"/>
                      <w:szCs w:val="21"/>
                      <w:lang w:val="en-US"/>
                    </w:rPr>
                    <w:t>）表</w:t>
                  </w:r>
                  <w:r>
                    <w:rPr>
                      <w:rFonts w:hint="eastAsia" w:ascii="Times New Roman" w:hAnsi="Times New Roman" w:eastAsia="宋体" w:cs="Times New Roman"/>
                      <w:sz w:val="21"/>
                      <w:szCs w:val="21"/>
                      <w:lang w:val="en-US" w:eastAsia="zh-CN"/>
                    </w:rPr>
                    <w:t>5中</w:t>
                  </w:r>
                  <w:r>
                    <w:rPr>
                      <w:rFonts w:hint="eastAsia" w:ascii="Times New Roman" w:hAnsi="Times New Roman" w:cs="Times New Roman"/>
                      <w:sz w:val="21"/>
                      <w:szCs w:val="21"/>
                      <w:lang w:val="en-US" w:eastAsia="zh-CN"/>
                    </w:rPr>
                    <w:t>标准限值</w:t>
                  </w:r>
                  <w:r>
                    <w:rPr>
                      <w:rFonts w:hint="eastAsia" w:cs="Times New Roman"/>
                      <w:sz w:val="21"/>
                      <w:szCs w:val="21"/>
                      <w:lang w:val="en-US" w:eastAsia="zh-CN"/>
                    </w:rPr>
                    <w:t>。</w:t>
                  </w:r>
                </w:p>
              </w:tc>
            </w:tr>
          </w:tbl>
          <w:p>
            <w:pPr>
              <w:pStyle w:val="5"/>
              <w:spacing w:before="0" w:after="0" w:line="360" w:lineRule="auto"/>
              <w:ind w:firstLine="472" w:firstLineChars="196"/>
              <w:contextualSpacing/>
              <w:outlineLvl w:val="2"/>
              <w:rPr>
                <w:szCs w:val="24"/>
              </w:rPr>
            </w:pPr>
            <w:r>
              <w:rPr>
                <w:szCs w:val="24"/>
              </w:rPr>
              <w:t>3、噪声</w:t>
            </w:r>
            <w:bookmarkEnd w:id="20"/>
            <w:bookmarkEnd w:id="21"/>
            <w:bookmarkEnd w:id="22"/>
            <w:bookmarkEnd w:id="23"/>
            <w:bookmarkStart w:id="25" w:name="_Toc216508038"/>
            <w:bookmarkStart w:id="26" w:name="_Toc185867433"/>
            <w:r>
              <w:rPr>
                <w:szCs w:val="24"/>
              </w:rPr>
              <w:t>监测</w:t>
            </w:r>
          </w:p>
          <w:p>
            <w:pPr>
              <w:pStyle w:val="5"/>
              <w:spacing w:before="0" w:after="0" w:line="360" w:lineRule="auto"/>
              <w:ind w:firstLine="472" w:firstLineChars="196"/>
              <w:contextualSpacing/>
              <w:outlineLvl w:val="2"/>
              <w:rPr>
                <w:szCs w:val="24"/>
              </w:rPr>
            </w:pPr>
            <w:r>
              <w:rPr>
                <w:szCs w:val="24"/>
              </w:rPr>
              <w:t>（1）监测点位</w:t>
            </w:r>
            <w:bookmarkEnd w:id="25"/>
            <w:bookmarkEnd w:id="26"/>
            <w:r>
              <w:rPr>
                <w:szCs w:val="24"/>
              </w:rPr>
              <w:t>、监测时间、频率</w:t>
            </w:r>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在项目厂界布设</w:t>
            </w:r>
            <w:r>
              <w:rPr>
                <w:rFonts w:hint="eastAsia" w:ascii="Times New Roman" w:hAnsi="Times New Roman" w:cs="Times New Roman"/>
                <w:sz w:val="24"/>
                <w:lang w:val="en-US" w:eastAsia="zh-CN"/>
              </w:rPr>
              <w:t>4</w:t>
            </w:r>
            <w:r>
              <w:rPr>
                <w:rFonts w:ascii="Times New Roman" w:hAnsi="Times New Roman" w:cs="Times New Roman"/>
                <w:sz w:val="24"/>
              </w:rPr>
              <w:t>个厂界环境噪声监测点，连续监测2天，每天</w:t>
            </w:r>
            <w:r>
              <w:rPr>
                <w:rFonts w:hint="eastAsia" w:ascii="Times New Roman" w:hAnsi="Times New Roman" w:cs="Times New Roman"/>
                <w:sz w:val="24"/>
              </w:rPr>
              <w:t>昼</w:t>
            </w:r>
            <w:r>
              <w:rPr>
                <w:rFonts w:hint="eastAsia" w:ascii="Times New Roman" w:hAnsi="Times New Roman" w:cs="Times New Roman"/>
                <w:sz w:val="24"/>
                <w:lang w:eastAsia="zh-CN"/>
              </w:rPr>
              <w:t>夜各</w:t>
            </w:r>
            <w:r>
              <w:rPr>
                <w:rFonts w:ascii="Times New Roman" w:hAnsi="Times New Roman" w:cs="Times New Roman"/>
                <w:sz w:val="24"/>
              </w:rPr>
              <w:t>监测1次。噪声监测点位见附图。</w:t>
            </w:r>
          </w:p>
          <w:p>
            <w:pPr>
              <w:pStyle w:val="5"/>
              <w:spacing w:before="0" w:after="0" w:line="360" w:lineRule="auto"/>
              <w:ind w:firstLine="472" w:firstLineChars="196"/>
              <w:contextualSpacing/>
              <w:outlineLvl w:val="2"/>
              <w:rPr>
                <w:szCs w:val="24"/>
              </w:rPr>
            </w:pPr>
            <w:bookmarkStart w:id="27" w:name="_Toc130485313"/>
            <w:bookmarkStart w:id="28" w:name="_Toc145040370"/>
            <w:bookmarkStart w:id="29" w:name="_Toc113244807"/>
            <w:bookmarkStart w:id="30" w:name="_Toc216508040"/>
            <w:bookmarkStart w:id="31" w:name="_Toc185867435"/>
            <w:bookmarkStart w:id="32" w:name="_Toc129747519"/>
            <w:bookmarkStart w:id="33" w:name="_Toc113593506"/>
            <w:r>
              <w:rPr>
                <w:szCs w:val="24"/>
              </w:rPr>
              <w:t>（</w:t>
            </w:r>
            <w:r>
              <w:rPr>
                <w:rFonts w:hint="eastAsia"/>
                <w:szCs w:val="24"/>
                <w:lang w:val="en-US" w:eastAsia="zh-CN"/>
              </w:rPr>
              <w:t>2</w:t>
            </w:r>
            <w:r>
              <w:rPr>
                <w:szCs w:val="24"/>
              </w:rPr>
              <w:t>）监测方法</w:t>
            </w:r>
            <w:bookmarkEnd w:id="27"/>
            <w:bookmarkEnd w:id="28"/>
            <w:bookmarkEnd w:id="29"/>
            <w:bookmarkEnd w:id="30"/>
            <w:bookmarkEnd w:id="31"/>
            <w:bookmarkEnd w:id="32"/>
            <w:bookmarkEnd w:id="33"/>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厂界噪声监测方法：《工业企业厂界环境噪声排放标准》（GB12348-2008）。</w:t>
            </w:r>
          </w:p>
          <w:p>
            <w:pPr>
              <w:pStyle w:val="5"/>
              <w:spacing w:before="0" w:after="0" w:line="360" w:lineRule="auto"/>
              <w:ind w:firstLine="472" w:firstLineChars="196"/>
              <w:contextualSpacing/>
              <w:outlineLvl w:val="2"/>
              <w:rPr>
                <w:szCs w:val="24"/>
              </w:rPr>
            </w:pPr>
            <w:bookmarkStart w:id="34" w:name="_Toc455913677"/>
            <w:bookmarkStart w:id="35" w:name="_Toc216508045"/>
            <w:bookmarkStart w:id="36" w:name="_Toc70139233"/>
            <w:bookmarkStart w:id="37" w:name="_Toc70139544"/>
            <w:bookmarkStart w:id="38" w:name="_Toc70139346"/>
            <w:bookmarkStart w:id="39" w:name="_Toc185867442"/>
            <w:r>
              <w:rPr>
                <w:szCs w:val="24"/>
              </w:rPr>
              <w:t>（3）噪声监测结果及评价</w:t>
            </w:r>
            <w:bookmarkEnd w:id="34"/>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表5-9厂界噪声监测结果单位：dB(A)</w:t>
            </w:r>
          </w:p>
          <w:tbl>
            <w:tblPr>
              <w:tblStyle w:val="24"/>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23"/>
              <w:gridCol w:w="1062"/>
              <w:gridCol w:w="2525"/>
              <w:gridCol w:w="1456"/>
              <w:gridCol w:w="1575"/>
              <w:gridCol w:w="121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tcBorders>
                    <w:tl2br w:val="nil"/>
                    <w:tr2bl w:val="nil"/>
                  </w:tcBorders>
                  <w:vAlign w:val="center"/>
                </w:tcPr>
                <w:p>
                  <w:pPr>
                    <w:spacing w:line="240" w:lineRule="atLeast"/>
                    <w:ind w:firstLine="0" w:firstLineChars="0"/>
                    <w:jc w:val="center"/>
                    <w:rPr>
                      <w:rFonts w:hint="default" w:ascii="Times New Roman" w:hAnsi="Times New Roman" w:eastAsia="宋体" w:cs="Times New Roman"/>
                      <w:b/>
                      <w:bCs/>
                      <w:sz w:val="21"/>
                      <w:szCs w:val="21"/>
                      <w:lang w:val="en-US" w:eastAsia="zh-CN" w:bidi="zh-CN"/>
                    </w:rPr>
                  </w:pPr>
                  <w:r>
                    <w:rPr>
                      <w:rFonts w:hint="eastAsia" w:ascii="Times New Roman" w:hAnsi="Times New Roman" w:cs="Times New Roman"/>
                      <w:b/>
                      <w:bCs/>
                      <w:sz w:val="21"/>
                      <w:szCs w:val="21"/>
                      <w:lang w:val="en-US" w:eastAsia="zh-CN"/>
                    </w:rPr>
                    <w:t>检测项目</w:t>
                  </w:r>
                </w:p>
              </w:tc>
              <w:tc>
                <w:tcPr>
                  <w:tcW w:w="1062" w:type="dxa"/>
                  <w:tcBorders>
                    <w:tl2br w:val="nil"/>
                    <w:tr2bl w:val="nil"/>
                  </w:tcBorders>
                  <w:vAlign w:val="center"/>
                </w:tcPr>
                <w:p>
                  <w:pPr>
                    <w:spacing w:line="240" w:lineRule="atLeast"/>
                    <w:ind w:firstLine="0" w:firstLineChars="0"/>
                    <w:jc w:val="center"/>
                    <w:rPr>
                      <w:rFonts w:ascii="Times New Roman" w:hAnsi="Times New Roman" w:eastAsia="宋体" w:cs="Times New Roman"/>
                      <w:b/>
                      <w:bCs/>
                      <w:sz w:val="21"/>
                      <w:szCs w:val="21"/>
                      <w:lang w:val="en-US" w:eastAsia="zh-CN" w:bidi="zh-CN"/>
                    </w:rPr>
                  </w:pPr>
                  <w:r>
                    <w:rPr>
                      <w:rFonts w:hint="eastAsia" w:ascii="Times New Roman" w:hAnsi="Times New Roman" w:cs="Times New Roman"/>
                      <w:b/>
                      <w:bCs/>
                      <w:sz w:val="21"/>
                      <w:szCs w:val="21"/>
                      <w:lang w:val="en-US" w:eastAsia="zh-CN"/>
                    </w:rPr>
                    <w:t>检测日期</w:t>
                  </w:r>
                </w:p>
              </w:tc>
              <w:tc>
                <w:tcPr>
                  <w:tcW w:w="2525" w:type="dxa"/>
                  <w:tcBorders>
                    <w:tl2br w:val="nil"/>
                    <w:tr2bl w:val="nil"/>
                  </w:tcBorders>
                  <w:vAlign w:val="center"/>
                </w:tcPr>
                <w:p>
                  <w:pPr>
                    <w:pStyle w:val="2"/>
                    <w:spacing w:after="0" w:line="240" w:lineRule="atLeast"/>
                    <w:ind w:firstLine="0" w:firstLineChars="0"/>
                    <w:jc w:val="center"/>
                    <w:rPr>
                      <w:rFonts w:hint="eastAsia" w:ascii="Times New Roman" w:hAnsi="Times New Roman" w:eastAsia="宋体" w:cs="Times New Roman"/>
                      <w:color w:val="000000" w:themeColor="text1"/>
                      <w:sz w:val="21"/>
                      <w:szCs w:val="21"/>
                      <w:lang w:val="en-US" w:eastAsia="zh-CN"/>
                    </w:rPr>
                  </w:pPr>
                  <w:r>
                    <w:rPr>
                      <w:rFonts w:hint="eastAsia" w:ascii="Times New Roman" w:hAnsi="Times New Roman" w:cs="Times New Roman"/>
                      <w:b/>
                      <w:bCs/>
                      <w:color w:val="000000" w:themeColor="text1"/>
                      <w:sz w:val="21"/>
                      <w:szCs w:val="21"/>
                      <w:lang w:val="en-US" w:eastAsia="zh-CN"/>
                    </w:rPr>
                    <w:t>点位编号</w:t>
                  </w:r>
                </w:p>
              </w:tc>
              <w:tc>
                <w:tcPr>
                  <w:tcW w:w="1456" w:type="dxa"/>
                  <w:tcBorders>
                    <w:tl2br w:val="nil"/>
                    <w:tr2bl w:val="nil"/>
                  </w:tcBorders>
                  <w:vAlign w:val="center"/>
                </w:tcPr>
                <w:p>
                  <w:pPr>
                    <w:pStyle w:val="2"/>
                    <w:spacing w:after="0" w:line="240" w:lineRule="atLeast"/>
                    <w:ind w:firstLine="0" w:firstLineChars="0"/>
                    <w:jc w:val="center"/>
                    <w:rPr>
                      <w:rFonts w:ascii="Times New Roman" w:hAnsi="Times New Roman" w:cs="Times New Roman"/>
                      <w:b/>
                      <w:bCs/>
                      <w:sz w:val="21"/>
                      <w:szCs w:val="21"/>
                      <w:lang w:val="en-US"/>
                    </w:rPr>
                  </w:pPr>
                  <w:r>
                    <w:rPr>
                      <w:rFonts w:hint="eastAsia" w:ascii="Times New Roman" w:hAnsi="Times New Roman" w:cs="Times New Roman"/>
                      <w:b/>
                      <w:bCs/>
                      <w:sz w:val="21"/>
                      <w:szCs w:val="21"/>
                      <w:lang w:val="en-US"/>
                    </w:rPr>
                    <w:t>测量时段</w:t>
                  </w:r>
                </w:p>
              </w:tc>
              <w:tc>
                <w:tcPr>
                  <w:tcW w:w="1575" w:type="dxa"/>
                  <w:tcBorders>
                    <w:tl2br w:val="nil"/>
                    <w:tr2bl w:val="nil"/>
                  </w:tcBorders>
                  <w:vAlign w:val="center"/>
                </w:tcPr>
                <w:p>
                  <w:pPr>
                    <w:spacing w:line="240" w:lineRule="atLeast"/>
                    <w:ind w:firstLine="0" w:firstLineChars="0"/>
                    <w:jc w:val="center"/>
                    <w:rPr>
                      <w:rFonts w:ascii="Times New Roman" w:hAnsi="Times New Roman" w:cs="Times New Roman"/>
                      <w:sz w:val="21"/>
                      <w:szCs w:val="21"/>
                      <w:lang w:val="en-US"/>
                    </w:rPr>
                  </w:pPr>
                  <w:r>
                    <w:rPr>
                      <w:rFonts w:hint="eastAsia" w:ascii="Times New Roman" w:hAnsi="Times New Roman" w:cs="Times New Roman"/>
                      <w:b/>
                      <w:bCs/>
                      <w:sz w:val="21"/>
                      <w:szCs w:val="21"/>
                      <w:lang w:val="en-US" w:eastAsia="zh-CN"/>
                    </w:rPr>
                    <w:t>测量值</w:t>
                  </w:r>
                  <w:r>
                    <w:rPr>
                      <w:rFonts w:ascii="Times New Roman" w:hAnsi="Times New Roman" w:cs="Times New Roman"/>
                      <w:b/>
                      <w:bCs/>
                      <w:sz w:val="21"/>
                      <w:szCs w:val="21"/>
                      <w:lang w:val="en-US"/>
                    </w:rPr>
                    <w:t>L</w:t>
                  </w:r>
                  <w:r>
                    <w:rPr>
                      <w:rFonts w:ascii="Times New Roman" w:hAnsi="Times New Roman" w:cs="Times New Roman"/>
                      <w:b/>
                      <w:bCs/>
                      <w:sz w:val="21"/>
                      <w:szCs w:val="21"/>
                      <w:vertAlign w:val="subscript"/>
                      <w:lang w:val="en-US"/>
                    </w:rPr>
                    <w:t>Aeq</w:t>
                  </w:r>
                </w:p>
              </w:tc>
              <w:tc>
                <w:tcPr>
                  <w:tcW w:w="1216" w:type="dxa"/>
                  <w:tcBorders>
                    <w:tl2br w:val="nil"/>
                    <w:tr2bl w:val="nil"/>
                  </w:tcBorders>
                  <w:vAlign w:val="center"/>
                </w:tcPr>
                <w:p>
                  <w:pPr>
                    <w:spacing w:line="240" w:lineRule="atLeast"/>
                    <w:ind w:firstLine="0" w:firstLineChars="0"/>
                    <w:jc w:val="center"/>
                    <w:rPr>
                      <w:rFonts w:ascii="Times New Roman" w:hAnsi="Times New Roman" w:cs="Times New Roman"/>
                      <w:sz w:val="21"/>
                      <w:szCs w:val="21"/>
                      <w:lang w:val="en-US"/>
                    </w:rPr>
                  </w:pPr>
                  <w:r>
                    <w:rPr>
                      <w:rFonts w:hint="eastAsia" w:ascii="Times New Roman" w:hAnsi="Times New Roman" w:cs="Times New Roman"/>
                      <w:b/>
                      <w:bCs/>
                      <w:sz w:val="21"/>
                      <w:szCs w:val="21"/>
                      <w:lang w:val="en-US"/>
                    </w:rPr>
                    <w:t>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restart"/>
                  <w:tcBorders>
                    <w:tl2br w:val="nil"/>
                    <w:tr2bl w:val="nil"/>
                  </w:tcBorders>
                  <w:vAlign w:val="center"/>
                </w:tcPr>
                <w:p>
                  <w:pPr>
                    <w:spacing w:line="240" w:lineRule="atLeast"/>
                    <w:ind w:firstLine="0" w:firstLineChars="0"/>
                    <w:jc w:val="center"/>
                    <w:rPr>
                      <w:rFonts w:hint="eastAsia" w:ascii="Times New Roman" w:hAnsi="Times New Roman" w:eastAsia="宋体" w:cs="Times New Roman"/>
                      <w:sz w:val="21"/>
                      <w:szCs w:val="21"/>
                      <w:lang w:val="en-US" w:eastAsia="zh-CN" w:bidi="zh-CN"/>
                    </w:rPr>
                  </w:pPr>
                  <w:r>
                    <w:rPr>
                      <w:rFonts w:ascii="Times New Roman" w:hAnsi="Times New Roman" w:cs="Times New Roman"/>
                      <w:bCs/>
                      <w:color w:val="000000"/>
                      <w:sz w:val="21"/>
                      <w:szCs w:val="21"/>
                      <w:lang w:val="en-US"/>
                    </w:rPr>
                    <w:t>工业企业厂界环境噪声</w:t>
                  </w:r>
                </w:p>
              </w:tc>
              <w:tc>
                <w:tcPr>
                  <w:tcW w:w="1062" w:type="dxa"/>
                  <w:vMerge w:val="restart"/>
                  <w:tcBorders>
                    <w:tl2br w:val="nil"/>
                    <w:tr2bl w:val="nil"/>
                  </w:tcBorders>
                  <w:vAlign w:val="center"/>
                </w:tcPr>
                <w:p>
                  <w:pPr>
                    <w:spacing w:line="240" w:lineRule="auto"/>
                    <w:ind w:firstLine="0" w:firstLineChars="0"/>
                    <w:jc w:val="center"/>
                    <w:rPr>
                      <w:rFonts w:ascii="Times New Roman" w:hAnsi="Times New Roman" w:eastAsia="宋体" w:cs="Times New Roman"/>
                      <w:sz w:val="21"/>
                      <w:szCs w:val="21"/>
                      <w:lang w:val="en-US" w:eastAsia="zh-CN" w:bidi="zh-CN"/>
                    </w:rPr>
                  </w:pPr>
                  <w:r>
                    <w:rPr>
                      <w:rFonts w:hint="eastAsia" w:ascii="Times New Roman" w:hAnsi="Times New Roman" w:cs="Times New Roman"/>
                      <w:color w:val="000000" w:themeColor="text1"/>
                      <w:sz w:val="21"/>
                      <w:szCs w:val="21"/>
                      <w:lang w:val="en-US" w:eastAsia="zh-CN"/>
                    </w:rPr>
                    <w:t>2022.07.18</w:t>
                  </w:r>
                </w:p>
              </w:tc>
              <w:tc>
                <w:tcPr>
                  <w:tcW w:w="2525" w:type="dxa"/>
                  <w:vMerge w:val="restart"/>
                  <w:tcBorders>
                    <w:tl2br w:val="nil"/>
                    <w:tr2bl w:val="nil"/>
                  </w:tcBorders>
                  <w:vAlign w:val="center"/>
                </w:tcPr>
                <w:p>
                  <w:pPr>
                    <w:pStyle w:val="67"/>
                    <w:spacing w:line="240" w:lineRule="auto"/>
                    <w:ind w:firstLine="0" w:firstLineChars="0"/>
                    <w:jc w:val="center"/>
                    <w:rPr>
                      <w:rFonts w:hint="eastAsia" w:ascii="Times New Roman" w:hAnsi="Times New Roman" w:eastAsia="宋体" w:cs="Times New Roman"/>
                      <w:b/>
                      <w:sz w:val="21"/>
                      <w:szCs w:val="21"/>
                      <w:lang w:val="en-US" w:eastAsia="zh-CN" w:bidi="zh-CN"/>
                    </w:rPr>
                  </w:pPr>
                  <w:r>
                    <w:rPr>
                      <w:rFonts w:hint="eastAsia" w:ascii="Times New Roman" w:hAnsi="Times New Roman" w:cs="Times New Roman"/>
                      <w:color w:val="000000" w:themeColor="text1"/>
                      <w:sz w:val="21"/>
                      <w:szCs w:val="21"/>
                      <w:highlight w:val="none"/>
                      <w:lang w:val="en-US"/>
                    </w:rPr>
                    <w:t>▲</w:t>
                  </w:r>
                  <w:r>
                    <w:rPr>
                      <w:rFonts w:hint="eastAsia" w:eastAsia="宋体" w:cs="Times New Roman"/>
                      <w:color w:val="000000" w:themeColor="text1"/>
                      <w:sz w:val="21"/>
                      <w:szCs w:val="21"/>
                      <w:highlight w:val="none"/>
                      <w:lang w:val="en-US" w:eastAsia="zh-CN"/>
                    </w:rPr>
                    <w:t>8</w:t>
                  </w:r>
                  <w:r>
                    <w:rPr>
                      <w:rFonts w:hint="eastAsia" w:ascii="Times New Roman" w:hAnsi="Times New Roman" w:cs="Times New Roman"/>
                      <w:color w:val="000000" w:themeColor="text1"/>
                      <w:sz w:val="21"/>
                      <w:szCs w:val="21"/>
                      <w:highlight w:val="none"/>
                      <w:lang w:val="en-US" w:eastAsia="zh-CN"/>
                    </w:rPr>
                    <w:t>项目厂界北侧外1m，高1.3m处</w:t>
                  </w:r>
                </w:p>
              </w:tc>
              <w:tc>
                <w:tcPr>
                  <w:tcW w:w="1456" w:type="dxa"/>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52</w:t>
                  </w:r>
                </w:p>
              </w:tc>
              <w:tc>
                <w:tcPr>
                  <w:tcW w:w="1216"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bCs/>
                      <w:color w:val="000000"/>
                      <w:sz w:val="21"/>
                      <w:szCs w:val="21"/>
                      <w:lang w:val="en-US"/>
                    </w:rPr>
                  </w:pPr>
                </w:p>
              </w:tc>
              <w:tc>
                <w:tcPr>
                  <w:tcW w:w="1062" w:type="dxa"/>
                  <w:vMerge w:val="continue"/>
                  <w:tcBorders>
                    <w:tl2br w:val="nil"/>
                    <w:tr2bl w:val="nil"/>
                  </w:tcBorders>
                  <w:vAlign w:val="center"/>
                </w:tcPr>
                <w:p>
                  <w:pPr>
                    <w:widowControl/>
                    <w:spacing w:line="240" w:lineRule="atLeast"/>
                    <w:ind w:firstLine="0" w:firstLineChars="0"/>
                    <w:jc w:val="center"/>
                    <w:rPr>
                      <w:rFonts w:hint="eastAsia" w:ascii="Times New Roman" w:hAnsi="Times New Roman" w:cs="Times New Roman"/>
                      <w:sz w:val="21"/>
                      <w:szCs w:val="21"/>
                      <w:lang w:val="en-US" w:eastAsia="zh-CN"/>
                    </w:rPr>
                  </w:pPr>
                </w:p>
              </w:tc>
              <w:tc>
                <w:tcPr>
                  <w:tcW w:w="2525" w:type="dxa"/>
                  <w:vMerge w:val="continue"/>
                  <w:tcBorders>
                    <w:tl2br w:val="nil"/>
                    <w:tr2bl w:val="nil"/>
                  </w:tcBorders>
                  <w:vAlign w:val="center"/>
                </w:tcPr>
                <w:p>
                  <w:pPr>
                    <w:pStyle w:val="67"/>
                    <w:spacing w:line="240" w:lineRule="auto"/>
                    <w:ind w:firstLine="0" w:firstLineChars="0"/>
                    <w:jc w:val="center"/>
                    <w:rPr>
                      <w:rFonts w:hint="eastAsia" w:ascii="Times New Roman" w:hAnsi="Times New Roman" w:cs="Times New Roman"/>
                      <w:color w:val="000000" w:themeColor="text1"/>
                      <w:sz w:val="21"/>
                      <w:szCs w:val="21"/>
                      <w:highlight w:val="none"/>
                      <w:lang w:val="en-US"/>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eastAsia="宋体" w:cs="Times New Roman"/>
                      <w:color w:val="000000" w:themeColor="text1"/>
                      <w:sz w:val="21"/>
                      <w:szCs w:val="21"/>
                      <w:lang w:val="en-US" w:eastAsia="zh-CN"/>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41</w:t>
                  </w:r>
                </w:p>
              </w:tc>
              <w:tc>
                <w:tcPr>
                  <w:tcW w:w="1216" w:type="dxa"/>
                  <w:tcBorders>
                    <w:tl2br w:val="nil"/>
                    <w:tr2bl w:val="nil"/>
                  </w:tcBorders>
                  <w:vAlign w:val="center"/>
                </w:tcPr>
                <w:p>
                  <w:pPr>
                    <w:spacing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restart"/>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val="en-US" w:eastAsia="zh-CN" w:bidi="zh-CN"/>
                    </w:rPr>
                  </w:pPr>
                  <w:r>
                    <w:rPr>
                      <w:rFonts w:hint="eastAsia" w:ascii="Times New Roman" w:hAnsi="Times New Roman" w:cs="Times New Roman"/>
                      <w:color w:val="000000" w:themeColor="text1"/>
                      <w:sz w:val="21"/>
                      <w:szCs w:val="21"/>
                      <w:highlight w:val="none"/>
                      <w:lang w:val="en-US"/>
                    </w:rPr>
                    <w:t>▲</w:t>
                  </w:r>
                  <w:r>
                    <w:rPr>
                      <w:rFonts w:hint="eastAsia" w:ascii="Times New Roman" w:hAnsi="Times New Roman" w:cs="Times New Roman"/>
                      <w:color w:val="000000" w:themeColor="text1"/>
                      <w:sz w:val="21"/>
                      <w:szCs w:val="21"/>
                      <w:highlight w:val="none"/>
                      <w:lang w:val="en-US" w:eastAsia="zh-CN"/>
                    </w:rPr>
                    <w:t>9项目厂界东侧外1m，高1.3m处</w:t>
                  </w:r>
                </w:p>
              </w:tc>
              <w:tc>
                <w:tcPr>
                  <w:tcW w:w="1456" w:type="dxa"/>
                  <w:tcBorders>
                    <w:tl2br w:val="nil"/>
                    <w:tr2bl w:val="nil"/>
                  </w:tcBorders>
                  <w:vAlign w:val="center"/>
                </w:tcPr>
                <w:p>
                  <w:pPr>
                    <w:spacing w:line="240" w:lineRule="atLeast"/>
                    <w:ind w:firstLine="0" w:firstLineChars="0"/>
                    <w:jc w:val="center"/>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57</w:t>
                  </w:r>
                </w:p>
              </w:tc>
              <w:tc>
                <w:tcPr>
                  <w:tcW w:w="1216" w:type="dxa"/>
                  <w:tcBorders>
                    <w:tl2br w:val="nil"/>
                    <w:tr2bl w:val="nil"/>
                  </w:tcBorders>
                  <w:vAlign w:val="center"/>
                </w:tcPr>
                <w:p>
                  <w:pPr>
                    <w:spacing w:line="240" w:lineRule="auto"/>
                    <w:ind w:firstLine="0" w:firstLineChars="0"/>
                    <w:jc w:val="center"/>
                    <w:rPr>
                      <w:rFonts w:ascii="Times New Roman" w:hAnsi="Times New Roman" w:cs="Times New Roman"/>
                      <w:sz w:val="21"/>
                      <w:szCs w:val="21"/>
                      <w:lang w:val="en-US"/>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46</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r>
                    <w:rPr>
                      <w:rFonts w:hint="eastAsia" w:ascii="Times New Roman" w:hAnsi="Times New Roman" w:cs="Times New Roman"/>
                      <w:color w:val="000000" w:themeColor="text1"/>
                      <w:sz w:val="21"/>
                      <w:szCs w:val="21"/>
                      <w:highlight w:val="none"/>
                      <w:lang w:val="en-US"/>
                    </w:rPr>
                    <w:t>▲</w:t>
                  </w:r>
                  <w:r>
                    <w:rPr>
                      <w:rFonts w:hint="eastAsia" w:ascii="Times New Roman" w:hAnsi="Times New Roman" w:cs="Times New Roman"/>
                      <w:color w:val="000000" w:themeColor="text1"/>
                      <w:sz w:val="21"/>
                      <w:szCs w:val="21"/>
                      <w:highlight w:val="none"/>
                      <w:lang w:val="en-US" w:eastAsia="zh-CN"/>
                    </w:rPr>
                    <w:t>10项目厂界南侧外1m，高1.3m处</w:t>
                  </w: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61</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47</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r>
                    <w:rPr>
                      <w:rFonts w:hint="eastAsia" w:ascii="Times New Roman" w:hAnsi="Times New Roman" w:cs="Times New Roman"/>
                      <w:color w:val="000000" w:themeColor="text1"/>
                      <w:sz w:val="21"/>
                      <w:szCs w:val="21"/>
                      <w:highlight w:val="none"/>
                      <w:lang w:val="en-US"/>
                    </w:rPr>
                    <w:t>▲</w:t>
                  </w:r>
                  <w:r>
                    <w:rPr>
                      <w:rFonts w:hint="eastAsia" w:ascii="Times New Roman" w:hAnsi="Times New Roman" w:cs="Times New Roman"/>
                      <w:color w:val="000000" w:themeColor="text1"/>
                      <w:sz w:val="21"/>
                      <w:szCs w:val="21"/>
                      <w:highlight w:val="none"/>
                      <w:lang w:val="en-US" w:eastAsia="zh-CN"/>
                    </w:rPr>
                    <w:t>11项目厂界西侧外1m，高1.3m处</w:t>
                  </w: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57</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val="en-US" w:eastAsia="zh-CN" w:bidi="zh-CN"/>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cs="Times New Roman"/>
                      <w:sz w:val="21"/>
                      <w:szCs w:val="21"/>
                      <w:lang w:val="en-US" w:eastAsia="zh-CN" w:bidi="zh-CN"/>
                    </w:rPr>
                  </w:pPr>
                  <w:r>
                    <w:rPr>
                      <w:rFonts w:hint="eastAsia" w:ascii="Times New Roman" w:hAnsi="Times New Roman" w:cs="Times New Roman"/>
                      <w:sz w:val="21"/>
                      <w:szCs w:val="21"/>
                      <w:lang w:val="en-US" w:eastAsia="zh-CN" w:bidi="zh-CN"/>
                    </w:rPr>
                    <w:t>46</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b/>
                      <w:bCs/>
                      <w:sz w:val="21"/>
                      <w:szCs w:val="21"/>
                      <w:lang w:val="en-US"/>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restart"/>
                  <w:tcBorders>
                    <w:tl2br w:val="nil"/>
                    <w:tr2bl w:val="nil"/>
                  </w:tcBorders>
                  <w:vAlign w:val="center"/>
                </w:tcPr>
                <w:p>
                  <w:pPr>
                    <w:pStyle w:val="2"/>
                    <w:spacing w:after="0" w:line="240" w:lineRule="atLeast"/>
                    <w:ind w:firstLine="0" w:firstLineChars="0"/>
                    <w:jc w:val="center"/>
                    <w:rPr>
                      <w:rFonts w:ascii="Times New Roman" w:hAnsi="Times New Roman" w:cs="Times New Roman"/>
                      <w:color w:val="000000" w:themeColor="text1"/>
                      <w:sz w:val="21"/>
                      <w:szCs w:val="21"/>
                      <w:lang w:val="en-US"/>
                    </w:rPr>
                  </w:pPr>
                  <w:r>
                    <w:rPr>
                      <w:rFonts w:hint="eastAsia" w:ascii="Times New Roman" w:hAnsi="Times New Roman" w:cs="Times New Roman"/>
                      <w:sz w:val="21"/>
                      <w:szCs w:val="21"/>
                      <w:lang w:val="en-US" w:eastAsia="zh-CN"/>
                    </w:rPr>
                    <w:t>2022.07.19</w:t>
                  </w:r>
                </w:p>
              </w:tc>
              <w:tc>
                <w:tcPr>
                  <w:tcW w:w="2525" w:type="dxa"/>
                  <w:vMerge w:val="restart"/>
                  <w:tcBorders>
                    <w:tl2br w:val="nil"/>
                    <w:tr2bl w:val="nil"/>
                  </w:tcBorders>
                  <w:vAlign w:val="center"/>
                </w:tcPr>
                <w:p>
                  <w:pPr>
                    <w:pStyle w:val="67"/>
                    <w:spacing w:line="240" w:lineRule="auto"/>
                    <w:ind w:firstLine="0" w:firstLineChars="0"/>
                    <w:jc w:val="center"/>
                    <w:rPr>
                      <w:rFonts w:hint="eastAsia" w:ascii="Times New Roman" w:hAnsi="Times New Roman" w:eastAsia="宋体" w:cs="Times New Roman"/>
                      <w:b/>
                      <w:sz w:val="21"/>
                      <w:szCs w:val="21"/>
                      <w:lang w:val="en-US" w:eastAsia="zh-CN" w:bidi="zh-CN"/>
                    </w:rPr>
                  </w:pPr>
                  <w:r>
                    <w:rPr>
                      <w:rFonts w:hint="eastAsia" w:ascii="Times New Roman" w:hAnsi="Times New Roman" w:cs="Times New Roman"/>
                      <w:color w:val="000000" w:themeColor="text1"/>
                      <w:sz w:val="21"/>
                      <w:szCs w:val="21"/>
                      <w:highlight w:val="none"/>
                      <w:lang w:val="en-US"/>
                    </w:rPr>
                    <w:t>▲</w:t>
                  </w:r>
                  <w:r>
                    <w:rPr>
                      <w:rFonts w:hint="eastAsia" w:eastAsia="宋体" w:cs="Times New Roman"/>
                      <w:color w:val="000000" w:themeColor="text1"/>
                      <w:sz w:val="21"/>
                      <w:szCs w:val="21"/>
                      <w:highlight w:val="none"/>
                      <w:lang w:val="en-US" w:eastAsia="zh-CN"/>
                    </w:rPr>
                    <w:t>8</w:t>
                  </w:r>
                  <w:r>
                    <w:rPr>
                      <w:rFonts w:hint="eastAsia" w:ascii="Times New Roman" w:hAnsi="Times New Roman" w:cs="Times New Roman"/>
                      <w:color w:val="000000" w:themeColor="text1"/>
                      <w:sz w:val="21"/>
                      <w:szCs w:val="21"/>
                      <w:highlight w:val="none"/>
                      <w:lang w:val="en-US" w:eastAsia="zh-CN"/>
                    </w:rPr>
                    <w:t>项目厂界北侧外1m，高1.3m处</w:t>
                  </w: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eastAsia="宋体" w:cs="Times New Roman"/>
                      <w:color w:val="000000" w:themeColor="text1"/>
                      <w:sz w:val="21"/>
                      <w:szCs w:val="21"/>
                      <w:lang w:val="en-US" w:eastAsia="zh-CN" w:bidi="zh-CN"/>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52</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pStyle w:val="67"/>
                    <w:spacing w:line="240" w:lineRule="auto"/>
                    <w:ind w:firstLine="0" w:firstLineChars="0"/>
                    <w:jc w:val="center"/>
                    <w:rPr>
                      <w:rFonts w:hint="eastAsia" w:ascii="Times New Roman" w:hAnsi="Times New Roman" w:eastAsia="宋体" w:cs="Times New Roman"/>
                      <w:color w:val="000000" w:themeColor="text1"/>
                      <w:sz w:val="21"/>
                      <w:szCs w:val="21"/>
                      <w:highlight w:val="none"/>
                      <w:lang w:val="en-US" w:eastAsia="zh-CN" w:bidi="zh-CN"/>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eastAsia="宋体" w:cs="Times New Roman"/>
                      <w:sz w:val="21"/>
                      <w:szCs w:val="21"/>
                      <w:lang w:val="en-US" w:eastAsia="zh-CN" w:bidi="zh-CN"/>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42</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r>
                    <w:rPr>
                      <w:rFonts w:hint="eastAsia" w:ascii="Times New Roman" w:hAnsi="Times New Roman" w:cs="Times New Roman"/>
                      <w:color w:val="000000" w:themeColor="text1"/>
                      <w:sz w:val="21"/>
                      <w:szCs w:val="21"/>
                      <w:highlight w:val="none"/>
                      <w:lang w:val="en-US"/>
                    </w:rPr>
                    <w:t>▲</w:t>
                  </w:r>
                  <w:r>
                    <w:rPr>
                      <w:rFonts w:hint="eastAsia" w:ascii="Times New Roman" w:hAnsi="Times New Roman" w:cs="Times New Roman"/>
                      <w:color w:val="000000" w:themeColor="text1"/>
                      <w:sz w:val="21"/>
                      <w:szCs w:val="21"/>
                      <w:highlight w:val="none"/>
                      <w:lang w:val="en-US" w:eastAsia="zh-CN"/>
                    </w:rPr>
                    <w:t>9项目厂界东侧外1m，高1.3m处</w:t>
                  </w: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57</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45</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r>
                    <w:rPr>
                      <w:rFonts w:hint="eastAsia" w:ascii="Times New Roman" w:hAnsi="Times New Roman" w:cs="Times New Roman"/>
                      <w:color w:val="000000" w:themeColor="text1"/>
                      <w:sz w:val="21"/>
                      <w:szCs w:val="21"/>
                      <w:highlight w:val="none"/>
                      <w:lang w:val="en-US"/>
                    </w:rPr>
                    <w:t>▲</w:t>
                  </w:r>
                  <w:r>
                    <w:rPr>
                      <w:rFonts w:hint="eastAsia" w:ascii="Times New Roman" w:hAnsi="Times New Roman" w:cs="Times New Roman"/>
                      <w:color w:val="000000" w:themeColor="text1"/>
                      <w:sz w:val="21"/>
                      <w:szCs w:val="21"/>
                      <w:highlight w:val="none"/>
                      <w:lang w:val="en-US" w:eastAsia="zh-CN"/>
                    </w:rPr>
                    <w:t>10项目厂界南侧外1m，高1.3m处</w:t>
                  </w: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60</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48</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restart"/>
                  <w:tcBorders>
                    <w:tl2br w:val="nil"/>
                    <w:tr2bl w:val="nil"/>
                  </w:tcBorders>
                  <w:vAlign w:val="center"/>
                </w:tcPr>
                <w:p>
                  <w:pPr>
                    <w:spacing w:line="240" w:lineRule="auto"/>
                    <w:ind w:left="0" w:leftChars="0" w:firstLine="0" w:firstLineChars="0"/>
                    <w:jc w:val="center"/>
                    <w:rPr>
                      <w:rFonts w:hint="eastAsia" w:ascii="Times New Roman" w:hAnsi="Times New Roman" w:cs="Times New Roman"/>
                      <w:color w:val="000000" w:themeColor="text1"/>
                      <w:sz w:val="21"/>
                      <w:szCs w:val="21"/>
                      <w:highlight w:val="none"/>
                      <w:lang w:val="en-US"/>
                    </w:rPr>
                  </w:pPr>
                  <w:r>
                    <w:rPr>
                      <w:rFonts w:hint="eastAsia" w:ascii="Times New Roman" w:hAnsi="Times New Roman" w:cs="Times New Roman"/>
                      <w:color w:val="000000" w:themeColor="text1"/>
                      <w:sz w:val="21"/>
                      <w:szCs w:val="21"/>
                      <w:highlight w:val="none"/>
                      <w:lang w:val="en-US"/>
                    </w:rPr>
                    <w:t>▲</w:t>
                  </w:r>
                  <w:r>
                    <w:rPr>
                      <w:rFonts w:hint="eastAsia" w:ascii="Times New Roman" w:hAnsi="Times New Roman" w:cs="Times New Roman"/>
                      <w:color w:val="000000" w:themeColor="text1"/>
                      <w:sz w:val="21"/>
                      <w:szCs w:val="21"/>
                      <w:highlight w:val="none"/>
                      <w:lang w:val="en-US" w:eastAsia="zh-CN"/>
                    </w:rPr>
                    <w:t>11项目厂界西侧外1m，高1.3m处</w:t>
                  </w: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cs="Times New Roman"/>
                      <w:color w:val="000000" w:themeColor="text1"/>
                      <w:sz w:val="21"/>
                      <w:szCs w:val="21"/>
                      <w:lang w:val="en-US"/>
                    </w:rPr>
                  </w:pPr>
                  <w:r>
                    <w:rPr>
                      <w:rFonts w:hint="eastAsia" w:ascii="Times New Roman" w:hAnsi="Times New Roman" w:cs="Times New Roman"/>
                      <w:color w:val="000000" w:themeColor="text1"/>
                      <w:sz w:val="21"/>
                      <w:szCs w:val="21"/>
                      <w:lang w:val="en-US"/>
                    </w:rPr>
                    <w:t>昼间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57</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923"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1062" w:type="dxa"/>
                  <w:vMerge w:val="continue"/>
                  <w:tcBorders>
                    <w:tl2br w:val="nil"/>
                    <w:tr2bl w:val="nil"/>
                  </w:tcBorders>
                  <w:vAlign w:val="center"/>
                </w:tcPr>
                <w:p>
                  <w:pPr>
                    <w:spacing w:line="240" w:lineRule="atLeast"/>
                    <w:ind w:firstLine="0" w:firstLineChars="0"/>
                    <w:jc w:val="center"/>
                    <w:rPr>
                      <w:rFonts w:ascii="Times New Roman" w:hAnsi="Times New Roman" w:cs="Times New Roman"/>
                      <w:color w:val="000000" w:themeColor="text1"/>
                      <w:sz w:val="21"/>
                      <w:szCs w:val="21"/>
                      <w:lang w:val="en-US"/>
                    </w:rPr>
                  </w:pPr>
                </w:p>
              </w:tc>
              <w:tc>
                <w:tcPr>
                  <w:tcW w:w="2525" w:type="dxa"/>
                  <w:vMerge w:val="continue"/>
                  <w:tcBorders>
                    <w:tl2br w:val="nil"/>
                    <w:tr2bl w:val="nil"/>
                  </w:tcBorders>
                  <w:vAlign w:val="center"/>
                </w:tcPr>
                <w:p>
                  <w:pPr>
                    <w:spacing w:line="240" w:lineRule="auto"/>
                    <w:ind w:left="0" w:leftChars="0" w:firstLine="0" w:firstLineChars="0"/>
                    <w:jc w:val="center"/>
                    <w:rPr>
                      <w:rFonts w:hint="eastAsia" w:ascii="Times New Roman" w:hAnsi="Times New Roman" w:eastAsia="宋体" w:cs="Times New Roman"/>
                      <w:color w:val="000000" w:themeColor="text1"/>
                      <w:sz w:val="21"/>
                      <w:szCs w:val="21"/>
                      <w:highlight w:val="none"/>
                      <w:lang w:val="en-US" w:eastAsia="zh-CN" w:bidi="zh-CN"/>
                    </w:rPr>
                  </w:pPr>
                </w:p>
              </w:tc>
              <w:tc>
                <w:tcPr>
                  <w:tcW w:w="1456" w:type="dxa"/>
                  <w:tcBorders>
                    <w:tl2br w:val="nil"/>
                    <w:tr2bl w:val="nil"/>
                  </w:tcBorders>
                  <w:vAlign w:val="center"/>
                </w:tcPr>
                <w:p>
                  <w:pPr>
                    <w:spacing w:line="240" w:lineRule="atLeast"/>
                    <w:ind w:firstLine="0" w:firstLineChars="0"/>
                    <w:jc w:val="center"/>
                    <w:rPr>
                      <w:rFonts w:hint="eastAsia" w:ascii="Times New Roman" w:hAnsi="Times New Roman" w:eastAsia="宋体" w:cs="Times New Roman"/>
                      <w:color w:val="000000" w:themeColor="text1"/>
                      <w:sz w:val="21"/>
                      <w:szCs w:val="21"/>
                      <w:lang w:val="en-US" w:eastAsia="zh-CN" w:bidi="zh-CN"/>
                    </w:rPr>
                  </w:pPr>
                  <w:r>
                    <w:rPr>
                      <w:rFonts w:hint="eastAsia" w:ascii="Times New Roman" w:hAnsi="Times New Roman" w:cs="Times New Roman"/>
                      <w:color w:val="000000" w:themeColor="text1"/>
                      <w:sz w:val="21"/>
                      <w:szCs w:val="21"/>
                      <w:lang w:val="en-US" w:eastAsia="zh-CN"/>
                    </w:rPr>
                    <w:t>夜间</w:t>
                  </w:r>
                </w:p>
              </w:tc>
              <w:tc>
                <w:tcPr>
                  <w:tcW w:w="1575" w:type="dxa"/>
                  <w:tcBorders>
                    <w:tl2br w:val="nil"/>
                    <w:tr2bl w:val="nil"/>
                  </w:tcBorders>
                  <w:vAlign w:val="center"/>
                </w:tcPr>
                <w:p>
                  <w:pPr>
                    <w:spacing w:line="240" w:lineRule="auto"/>
                    <w:ind w:firstLine="0" w:firstLineChars="0"/>
                    <w:jc w:val="center"/>
                    <w:rPr>
                      <w:rFonts w:hint="default"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49</w:t>
                  </w:r>
                </w:p>
              </w:tc>
              <w:tc>
                <w:tcPr>
                  <w:tcW w:w="1216" w:type="dxa"/>
                  <w:tcBorders>
                    <w:tl2br w:val="nil"/>
                    <w:tr2bl w:val="nil"/>
                  </w:tcBorders>
                  <w:vAlign w:val="center"/>
                </w:tcPr>
                <w:p>
                  <w:pPr>
                    <w:spacing w:line="240" w:lineRule="auto"/>
                    <w:ind w:firstLine="0" w:firstLineChars="0"/>
                    <w:jc w:val="center"/>
                    <w:rPr>
                      <w:rFonts w:hint="eastAsia" w:ascii="Times New Roman" w:hAnsi="Times New Roman" w:eastAsia="宋体" w:cs="Times New Roman"/>
                      <w:b/>
                      <w:bCs/>
                      <w:sz w:val="21"/>
                      <w:szCs w:val="21"/>
                      <w:lang w:val="en-US" w:eastAsia="zh-CN" w:bidi="zh-CN"/>
                    </w:rPr>
                  </w:pPr>
                  <w:r>
                    <w:rPr>
                      <w:rFonts w:hint="eastAsia" w:ascii="Times New Roman" w:hAnsi="Times New Roman" w:cs="Times New Roman"/>
                      <w:sz w:val="21"/>
                      <w:szCs w:val="21"/>
                      <w:lang w:val="en-US" w:eastAsia="zh-CN"/>
                    </w:rPr>
                    <w:t>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8757" w:type="dxa"/>
                  <w:gridSpan w:val="6"/>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snapToGrid/>
                    <w:spacing w:line="240" w:lineRule="auto"/>
                    <w:ind w:left="0" w:firstLine="0" w:firstLineChars="0"/>
                    <w:jc w:val="left"/>
                    <w:textAlignment w:val="auto"/>
                    <w:rPr>
                      <w:rFonts w:hint="eastAsia" w:ascii="Times New Roman" w:hAnsi="Times New Roman" w:eastAsia="宋体" w:cs="Times New Roman"/>
                      <w:sz w:val="21"/>
                      <w:szCs w:val="21"/>
                      <w:lang w:val="en-US" w:eastAsia="zh-CN" w:bidi="zh-CN"/>
                    </w:rPr>
                  </w:pPr>
                  <w:r>
                    <w:rPr>
                      <w:rFonts w:hint="eastAsia" w:ascii="Times New Roman" w:hAnsi="Times New Roman" w:cs="Times New Roman"/>
                      <w:sz w:val="21"/>
                      <w:szCs w:val="21"/>
                      <w:lang w:val="en-US" w:eastAsia="zh-CN" w:bidi="zh-CN"/>
                    </w:rPr>
                    <w:t>1、</w:t>
                  </w:r>
                  <w:r>
                    <w:rPr>
                      <w:rFonts w:hint="eastAsia" w:ascii="Times New Roman" w:hAnsi="Times New Roman" w:eastAsia="宋体" w:cs="Times New Roman"/>
                      <w:sz w:val="21"/>
                      <w:szCs w:val="21"/>
                      <w:lang w:val="en-US" w:eastAsia="zh-CN" w:bidi="zh-CN"/>
                    </w:rPr>
                    <w:t>检测结果显示，在检测期间，噪声检测结果满足《工业企业厂界环境噪声排放标准》（GB 12348-2008）表1中</w:t>
                  </w:r>
                  <w:r>
                    <w:rPr>
                      <w:rFonts w:hint="eastAsia" w:ascii="Times New Roman" w:hAnsi="Times New Roman" w:cs="Times New Roman"/>
                      <w:sz w:val="21"/>
                      <w:szCs w:val="21"/>
                      <w:lang w:val="en-US" w:eastAsia="zh-CN" w:bidi="zh-CN"/>
                    </w:rPr>
                    <w:t>3</w:t>
                  </w:r>
                  <w:r>
                    <w:rPr>
                      <w:rFonts w:hint="eastAsia" w:ascii="Times New Roman" w:hAnsi="Times New Roman" w:eastAsia="宋体" w:cs="Times New Roman"/>
                      <w:sz w:val="21"/>
                      <w:szCs w:val="21"/>
                      <w:lang w:val="en-US" w:eastAsia="zh-CN" w:bidi="zh-CN"/>
                    </w:rPr>
                    <w:t>类标准限值</w:t>
                  </w:r>
                  <w:r>
                    <w:rPr>
                      <w:rFonts w:hint="eastAsia" w:ascii="Times New Roman" w:hAnsi="Times New Roman" w:cs="Times New Roman"/>
                      <w:sz w:val="21"/>
                      <w:szCs w:val="21"/>
                      <w:lang w:val="en-US" w:eastAsia="zh-CN" w:bidi="zh-CN"/>
                    </w:rPr>
                    <w:t>。</w:t>
                  </w:r>
                </w:p>
                <w:p>
                  <w:pPr>
                    <w:spacing w:line="240" w:lineRule="auto"/>
                    <w:ind w:left="420" w:hanging="420" w:hangingChars="200"/>
                    <w:jc w:val="left"/>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bidi="zh-CN"/>
                    </w:rPr>
                    <w:t>2、</w:t>
                  </w:r>
                  <w:r>
                    <w:rPr>
                      <w:rFonts w:hint="eastAsia" w:ascii="Times New Roman" w:hAnsi="Times New Roman" w:eastAsia="宋体" w:cs="Times New Roman"/>
                      <w:sz w:val="21"/>
                      <w:szCs w:val="21"/>
                      <w:lang w:val="en-US" w:eastAsia="zh-CN" w:bidi="zh-CN"/>
                    </w:rPr>
                    <w:t>当测量值结果低于噪声源排放标准限值时，可不进行背景噪声测量及修正。</w:t>
                  </w:r>
                </w:p>
              </w:tc>
            </w:tr>
            <w:bookmarkEnd w:id="24"/>
            <w:bookmarkEnd w:id="35"/>
            <w:bookmarkEnd w:id="36"/>
            <w:bookmarkEnd w:id="37"/>
            <w:bookmarkEnd w:id="38"/>
            <w:bookmarkEnd w:id="39"/>
          </w:tbl>
          <w:p>
            <w:pPr>
              <w:pStyle w:val="4"/>
              <w:spacing w:before="0" w:after="0" w:line="360" w:lineRule="auto"/>
              <w:outlineLvl w:val="1"/>
              <w:rPr>
                <w:rFonts w:ascii="Times New Roman" w:hAnsi="Times New Roman" w:cs="Times New Roman"/>
              </w:rPr>
            </w:pPr>
            <w:r>
              <w:rPr>
                <w:rFonts w:hint="eastAsia" w:ascii="Times New Roman" w:hAnsi="Times New Roman" w:cs="Times New Roman"/>
              </w:rPr>
              <w:t>四</w:t>
            </w:r>
            <w:r>
              <w:rPr>
                <w:rFonts w:ascii="Times New Roman" w:hAnsi="Times New Roman" w:cs="Times New Roman"/>
              </w:rPr>
              <w:t>、</w:t>
            </w:r>
            <w:r>
              <w:rPr>
                <w:rFonts w:hint="eastAsia" w:ascii="Times New Roman" w:hAnsi="Times New Roman" w:cs="Times New Roman"/>
              </w:rPr>
              <w:t>监测</w:t>
            </w:r>
            <w:r>
              <w:rPr>
                <w:rFonts w:ascii="Times New Roman" w:hAnsi="Times New Roman" w:cs="Times New Roman"/>
              </w:rPr>
              <w:t>结果评价</w:t>
            </w:r>
          </w:p>
          <w:p>
            <w:pPr>
              <w:spacing w:line="360" w:lineRule="auto"/>
              <w:ind w:firstLine="480" w:firstLineChars="200"/>
              <w:contextualSpacing/>
              <w:rPr>
                <w:rFonts w:hint="default" w:ascii="Times New Roman" w:hAnsi="Times New Roman" w:cs="Times New Roman"/>
                <w:bCs/>
                <w:sz w:val="24"/>
              </w:rPr>
            </w:pPr>
            <w:r>
              <w:rPr>
                <w:rFonts w:hint="eastAsia" w:ascii="Times New Roman" w:hAnsi="Times New Roman" w:cs="Times New Roman"/>
                <w:bCs/>
                <w:sz w:val="24"/>
                <w:lang w:eastAsia="zh-CN"/>
              </w:rPr>
              <w:t>2022年7月18日~19日</w:t>
            </w:r>
            <w:r>
              <w:rPr>
                <w:rFonts w:hint="default" w:ascii="Times New Roman" w:hAnsi="Times New Roman" w:cs="Times New Roman"/>
                <w:bCs/>
                <w:sz w:val="24"/>
              </w:rPr>
              <w:t>验收期间项目厂界噪声监测点的昼间噪声达到《工业企业厂界环境噪声排放标准》（GB12348-2008）3类标准限值要求。</w:t>
            </w:r>
          </w:p>
          <w:p>
            <w:pPr>
              <w:spacing w:line="360" w:lineRule="auto"/>
              <w:ind w:firstLine="480" w:firstLineChars="200"/>
              <w:contextualSpacing/>
              <w:rPr>
                <w:rFonts w:hint="eastAsia" w:ascii="Times New Roman" w:hAnsi="Times New Roman" w:cs="Times New Roman"/>
                <w:bCs/>
                <w:sz w:val="24"/>
              </w:rPr>
            </w:pPr>
            <w:r>
              <w:rPr>
                <w:rFonts w:hint="eastAsia" w:ascii="Times New Roman" w:hAnsi="Times New Roman" w:cs="Times New Roman"/>
                <w:bCs/>
                <w:sz w:val="24"/>
                <w:lang w:eastAsia="zh-CN"/>
              </w:rPr>
              <w:t>2022年7月18日~19日</w:t>
            </w:r>
            <w:r>
              <w:rPr>
                <w:rFonts w:hint="eastAsia" w:ascii="Times New Roman" w:hAnsi="Times New Roman" w:cs="Times New Roman"/>
                <w:bCs/>
                <w:sz w:val="24"/>
              </w:rPr>
              <w:t>验收监测期间：废水监测中氨氮、总磷满足《污水排入城镇下水道水质标准》（GB/T31962-2015）表1中B级标准限值要求；其余项目满足《污水综合排放标准》（GB8978-1996）表4中三级标准限值要求。</w:t>
            </w:r>
          </w:p>
          <w:p>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lang w:eastAsia="zh-CN"/>
              </w:rPr>
              <w:t>2022年7月18日~19日</w:t>
            </w:r>
            <w:r>
              <w:rPr>
                <w:rFonts w:hint="eastAsia" w:ascii="Times New Roman" w:hAnsi="Times New Roman" w:cs="Times New Roman"/>
                <w:bCs/>
                <w:sz w:val="24"/>
              </w:rPr>
              <w:t>验收监测期间：排气筒有组织废气颗粒物排放浓度、排放速率满足《大气污染物综合排放标准》（GB16297-1996）表2二级标准限值；排气筒有组织VOCs排放浓度、排放速率满足《四川省固定污染源大气挥发性有机物排放标准》（DB51/2377-2017）表3标准限值；厂界无组织排放VOCs满足《四川省固定污染源大气挥发性有机物排放标准》（DB51/2377-2017）表5中标准要求，厂界无组织颗粒物满足《大气污染物综合排放标准》（GB16297-1996）表2无组织标准限值。</w:t>
            </w:r>
          </w:p>
          <w:p>
            <w:pPr>
              <w:pStyle w:val="4"/>
              <w:keepNext/>
              <w:keepLines/>
              <w:pageBreakBefore w:val="0"/>
              <w:widowControl w:val="0"/>
              <w:kinsoku/>
              <w:wordWrap/>
              <w:overflowPunct/>
              <w:topLinePunct w:val="0"/>
              <w:autoSpaceDE/>
              <w:autoSpaceDN/>
              <w:bidi w:val="0"/>
              <w:adjustRightInd/>
              <w:snapToGrid/>
              <w:spacing w:before="0" w:after="0" w:line="240" w:lineRule="atLeast"/>
              <w:textAlignment w:val="auto"/>
              <w:outlineLvl w:val="1"/>
            </w:pPr>
            <w:r>
              <w:rPr>
                <w:rFonts w:ascii="Times New Roman" w:hAnsi="Times New Roman" w:cs="Times New Roman"/>
              </w:rPr>
              <w:t>五</w:t>
            </w:r>
            <w:r>
              <w:rPr>
                <w:rFonts w:hint="eastAsia" w:ascii="Times New Roman" w:hAnsi="Times New Roman" w:cs="Times New Roman"/>
              </w:rPr>
              <w:t>、</w:t>
            </w:r>
            <w:r>
              <w:rPr>
                <w:rFonts w:ascii="Times New Roman" w:hAnsi="Times New Roman" w:cs="Times New Roman"/>
              </w:rPr>
              <w:t>固废废物处置检查</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bookmarkStart w:id="40" w:name="_Toc29226"/>
            <w:bookmarkStart w:id="41" w:name="_Toc15096"/>
            <w:r>
              <w:rPr>
                <w:rFonts w:hint="eastAsia" w:ascii="Times New Roman" w:hAnsi="Times New Roman" w:eastAsia="宋体" w:cs="Times New Roman"/>
                <w:b/>
                <w:bCs/>
                <w:sz w:val="24"/>
                <w:szCs w:val="24"/>
                <w:lang w:val="en-US" w:eastAsia="zh-CN"/>
              </w:rPr>
              <w:t>表5-9固废产生量及处置情况（单位t/a）</w:t>
            </w:r>
          </w:p>
          <w:bookmarkEnd w:id="40"/>
          <w:bookmarkEnd w:id="41"/>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040"/>
              <w:gridCol w:w="2024"/>
              <w:gridCol w:w="1612"/>
              <w:gridCol w:w="21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noWrap w:val="0"/>
                  <w:vAlign w:val="center"/>
                </w:tcPr>
                <w:p>
                  <w:pPr>
                    <w:pStyle w:val="70"/>
                  </w:pPr>
                  <w:r>
                    <w:t>类别</w:t>
                  </w:r>
                </w:p>
              </w:tc>
              <w:tc>
                <w:tcPr>
                  <w:tcW w:w="1164" w:type="pct"/>
                  <w:noWrap w:val="0"/>
                  <w:vAlign w:val="center"/>
                </w:tcPr>
                <w:p>
                  <w:pPr>
                    <w:pStyle w:val="70"/>
                  </w:pPr>
                  <w:r>
                    <w:t>项目</w:t>
                  </w:r>
                </w:p>
              </w:tc>
              <w:tc>
                <w:tcPr>
                  <w:tcW w:w="1155" w:type="pct"/>
                  <w:noWrap w:val="0"/>
                  <w:vAlign w:val="center"/>
                </w:tcPr>
                <w:p>
                  <w:pPr>
                    <w:pStyle w:val="70"/>
                  </w:pPr>
                  <w:r>
                    <w:t>废物识别</w:t>
                  </w:r>
                </w:p>
              </w:tc>
              <w:tc>
                <w:tcPr>
                  <w:tcW w:w="920" w:type="pct"/>
                  <w:noWrap w:val="0"/>
                  <w:vAlign w:val="center"/>
                </w:tcPr>
                <w:p>
                  <w:pPr>
                    <w:pStyle w:val="70"/>
                  </w:pPr>
                  <w:r>
                    <w:t>年产污量</w:t>
                  </w:r>
                </w:p>
              </w:tc>
              <w:tc>
                <w:tcPr>
                  <w:tcW w:w="1237" w:type="pct"/>
                  <w:noWrap w:val="0"/>
                  <w:vAlign w:val="center"/>
                </w:tcPr>
                <w:p>
                  <w:pPr>
                    <w:pStyle w:val="70"/>
                  </w:pPr>
                  <w:r>
                    <w:t>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restart"/>
                  <w:noWrap w:val="0"/>
                  <w:vAlign w:val="center"/>
                </w:tcPr>
                <w:p>
                  <w:pPr>
                    <w:pStyle w:val="70"/>
                  </w:pPr>
                  <w:r>
                    <w:t>一般固体废物</w:t>
                  </w:r>
                </w:p>
              </w:tc>
              <w:tc>
                <w:tcPr>
                  <w:tcW w:w="1164" w:type="pct"/>
                  <w:noWrap w:val="0"/>
                  <w:vAlign w:val="center"/>
                </w:tcPr>
                <w:p>
                  <w:pPr>
                    <w:pStyle w:val="70"/>
                  </w:pPr>
                  <w:r>
                    <w:t>生活垃圾</w:t>
                  </w:r>
                </w:p>
              </w:tc>
              <w:tc>
                <w:tcPr>
                  <w:tcW w:w="1155" w:type="pct"/>
                  <w:noWrap w:val="0"/>
                  <w:vAlign w:val="center"/>
                </w:tcPr>
                <w:p>
                  <w:pPr>
                    <w:pStyle w:val="70"/>
                  </w:pPr>
                  <w:r>
                    <w:t>一般固废</w:t>
                  </w:r>
                </w:p>
              </w:tc>
              <w:tc>
                <w:tcPr>
                  <w:tcW w:w="920" w:type="pct"/>
                  <w:noWrap w:val="0"/>
                  <w:vAlign w:val="center"/>
                </w:tcPr>
                <w:p>
                  <w:pPr>
                    <w:pStyle w:val="70"/>
                  </w:pPr>
                  <w:r>
                    <w:rPr>
                      <w:rFonts w:hint="eastAsia"/>
                    </w:rPr>
                    <w:t>18</w:t>
                  </w:r>
                </w:p>
              </w:tc>
              <w:tc>
                <w:tcPr>
                  <w:tcW w:w="1237" w:type="pct"/>
                  <w:noWrap w:val="0"/>
                  <w:vAlign w:val="center"/>
                </w:tcPr>
                <w:p>
                  <w:pPr>
                    <w:pStyle w:val="70"/>
                  </w:pPr>
                  <w:r>
                    <w:t>由环卫部门定时清运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pPr>
                  <w:r>
                    <w:t>食堂食物残渣</w:t>
                  </w:r>
                </w:p>
              </w:tc>
              <w:tc>
                <w:tcPr>
                  <w:tcW w:w="1155" w:type="pct"/>
                  <w:noWrap w:val="0"/>
                  <w:vAlign w:val="center"/>
                </w:tcPr>
                <w:p>
                  <w:pPr>
                    <w:pStyle w:val="70"/>
                  </w:pPr>
                  <w:r>
                    <w:t>一般固废</w:t>
                  </w:r>
                </w:p>
              </w:tc>
              <w:tc>
                <w:tcPr>
                  <w:tcW w:w="920" w:type="pct"/>
                  <w:noWrap w:val="0"/>
                  <w:vAlign w:val="center"/>
                </w:tcPr>
                <w:p>
                  <w:pPr>
                    <w:pStyle w:val="70"/>
                  </w:pPr>
                  <w:r>
                    <w:rPr>
                      <w:rFonts w:hint="eastAsia"/>
                    </w:rPr>
                    <w:t>3.6</w:t>
                  </w:r>
                </w:p>
              </w:tc>
              <w:tc>
                <w:tcPr>
                  <w:tcW w:w="1237" w:type="pct"/>
                  <w:vMerge w:val="restart"/>
                  <w:noWrap w:val="0"/>
                  <w:vAlign w:val="center"/>
                </w:tcPr>
                <w:p>
                  <w:pPr>
                    <w:pStyle w:val="70"/>
                  </w:pPr>
                  <w:r>
                    <w:t>统一收集暂存后定期交由物资回收单位回收处理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pPr>
                  <w:r>
                    <w:t>食堂隔油池潲水油</w:t>
                  </w:r>
                </w:p>
              </w:tc>
              <w:tc>
                <w:tcPr>
                  <w:tcW w:w="1155" w:type="pct"/>
                  <w:noWrap w:val="0"/>
                  <w:vAlign w:val="center"/>
                </w:tcPr>
                <w:p>
                  <w:pPr>
                    <w:pStyle w:val="70"/>
                  </w:pPr>
                  <w:r>
                    <w:t>一般固废</w:t>
                  </w:r>
                </w:p>
              </w:tc>
              <w:tc>
                <w:tcPr>
                  <w:tcW w:w="920" w:type="pct"/>
                  <w:noWrap w:val="0"/>
                  <w:vAlign w:val="center"/>
                </w:tcPr>
                <w:p>
                  <w:pPr>
                    <w:pStyle w:val="70"/>
                  </w:pPr>
                  <w:r>
                    <w:rPr>
                      <w:rFonts w:hint="eastAsia"/>
                    </w:rPr>
                    <w:t>0.5</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废包装材料</w:t>
                  </w:r>
                </w:p>
              </w:tc>
              <w:tc>
                <w:tcPr>
                  <w:tcW w:w="1155"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一般固废</w:t>
                  </w:r>
                </w:p>
              </w:tc>
              <w:tc>
                <w:tcPr>
                  <w:tcW w:w="920" w:type="pct"/>
                  <w:noWrap w:val="0"/>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t>0.</w:t>
                  </w:r>
                  <w:r>
                    <w:rPr>
                      <w:rFonts w:hint="eastAsia"/>
                    </w:rPr>
                    <w:t>5</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不合格产品</w:t>
                  </w:r>
                </w:p>
              </w:tc>
              <w:tc>
                <w:tcPr>
                  <w:tcW w:w="1155" w:type="pct"/>
                  <w:noWrap w:val="0"/>
                  <w:vAlign w:val="center"/>
                </w:tcPr>
                <w:p>
                  <w:pPr>
                    <w:pStyle w:val="70"/>
                    <w:ind w:firstLine="0" w:firstLineChars="0"/>
                    <w:rPr>
                      <w:rFonts w:asciiTheme="minorHAnsi" w:hAnsiTheme="minorHAnsi" w:eastAsiaTheme="minorEastAsia" w:cstheme="minorBidi"/>
                      <w:kern w:val="0"/>
                      <w:sz w:val="21"/>
                      <w:szCs w:val="24"/>
                      <w:lang w:val="en-US" w:eastAsia="zh-CN" w:bidi="ar-SA"/>
                    </w:rPr>
                  </w:pPr>
                  <w:r>
                    <w:t>一般固废</w:t>
                  </w:r>
                </w:p>
              </w:tc>
              <w:tc>
                <w:tcPr>
                  <w:tcW w:w="920" w:type="pct"/>
                  <w:noWrap w:val="0"/>
                  <w:vAlign w:val="center"/>
                </w:tcPr>
                <w:p>
                  <w:pPr>
                    <w:pStyle w:val="70"/>
                    <w:ind w:firstLine="0" w:firstLineChars="0"/>
                    <w:rPr>
                      <w:rFonts w:hint="eastAsia" w:asciiTheme="minorHAnsi" w:hAnsiTheme="minorHAnsi" w:eastAsiaTheme="minorEastAsia" w:cstheme="minorBidi"/>
                      <w:kern w:val="0"/>
                      <w:sz w:val="21"/>
                      <w:szCs w:val="24"/>
                      <w:lang w:val="en-US" w:eastAsia="zh-CN" w:bidi="ar-SA"/>
                    </w:rPr>
                  </w:pPr>
                  <w:r>
                    <w:rPr>
                      <w:rFonts w:hint="eastAsia"/>
                    </w:rPr>
                    <w:t>3</w:t>
                  </w:r>
                </w:p>
              </w:tc>
              <w:tc>
                <w:tcPr>
                  <w:tcW w:w="1237" w:type="pct"/>
                  <w:noWrap w:val="0"/>
                  <w:vAlign w:val="center"/>
                </w:tcPr>
                <w:p>
                  <w:pPr>
                    <w:pStyle w:val="70"/>
                  </w:pPr>
                  <w:r>
                    <w:rPr>
                      <w:rFonts w:hint="eastAsia"/>
                    </w:rPr>
                    <w:t>回用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restart"/>
                  <w:noWrap w:val="0"/>
                  <w:vAlign w:val="center"/>
                </w:tcPr>
                <w:p>
                  <w:pPr>
                    <w:pStyle w:val="70"/>
                  </w:pPr>
                  <w:r>
                    <w:t>危险</w:t>
                  </w:r>
                </w:p>
                <w:p>
                  <w:pPr>
                    <w:pStyle w:val="70"/>
                  </w:pPr>
                  <w:r>
                    <w:t>废物</w:t>
                  </w:r>
                </w:p>
              </w:tc>
              <w:tc>
                <w:tcPr>
                  <w:tcW w:w="1164" w:type="pct"/>
                  <w:noWrap w:val="0"/>
                  <w:vAlign w:val="center"/>
                </w:tcPr>
                <w:p>
                  <w:pPr>
                    <w:pStyle w:val="70"/>
                    <w:rPr>
                      <w:rFonts w:hint="eastAsia"/>
                    </w:rPr>
                  </w:pPr>
                  <w:r>
                    <w:t>废</w:t>
                  </w:r>
                  <w:r>
                    <w:rPr>
                      <w:rFonts w:hint="eastAsia"/>
                    </w:rPr>
                    <w:t>润滑油</w:t>
                  </w:r>
                </w:p>
              </w:tc>
              <w:tc>
                <w:tcPr>
                  <w:tcW w:w="1155" w:type="pct"/>
                  <w:noWrap w:val="0"/>
                  <w:vAlign w:val="center"/>
                </w:tcPr>
                <w:p>
                  <w:pPr>
                    <w:pStyle w:val="70"/>
                  </w:pPr>
                  <w:r>
                    <w:t>HW08-900-249-08</w:t>
                  </w:r>
                </w:p>
              </w:tc>
              <w:tc>
                <w:tcPr>
                  <w:tcW w:w="920" w:type="pct"/>
                  <w:noWrap w:val="0"/>
                  <w:vAlign w:val="center"/>
                </w:tcPr>
                <w:p>
                  <w:pPr>
                    <w:pStyle w:val="70"/>
                  </w:pPr>
                  <w:r>
                    <w:t>0.1</w:t>
                  </w:r>
                </w:p>
              </w:tc>
              <w:tc>
                <w:tcPr>
                  <w:tcW w:w="1237" w:type="pct"/>
                  <w:vMerge w:val="restart"/>
                  <w:noWrap w:val="0"/>
                  <w:vAlign w:val="center"/>
                </w:tcPr>
                <w:p>
                  <w:pPr>
                    <w:pStyle w:val="70"/>
                  </w:pPr>
                  <w:r>
                    <w:t>收集于危废暂存间暂存后交由有资质单位处理；签订协议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pPr>
                  <w:r>
                    <w:t>含油手套、抹布</w:t>
                  </w:r>
                </w:p>
              </w:tc>
              <w:tc>
                <w:tcPr>
                  <w:tcW w:w="1155" w:type="pct"/>
                  <w:noWrap w:val="0"/>
                  <w:vAlign w:val="center"/>
                </w:tcPr>
                <w:p>
                  <w:pPr>
                    <w:pStyle w:val="70"/>
                  </w:pPr>
                  <w:r>
                    <w:t>HW49-900-041-49</w:t>
                  </w:r>
                </w:p>
              </w:tc>
              <w:tc>
                <w:tcPr>
                  <w:tcW w:w="920" w:type="pct"/>
                  <w:noWrap w:val="0"/>
                  <w:vAlign w:val="center"/>
                </w:tcPr>
                <w:p>
                  <w:pPr>
                    <w:pStyle w:val="70"/>
                  </w:pPr>
                  <w:r>
                    <w:t>0.01</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pPr>
                  <w:r>
                    <w:t>废</w:t>
                  </w:r>
                  <w:r>
                    <w:rPr>
                      <w:rFonts w:hint="eastAsia"/>
                    </w:rPr>
                    <w:t>润滑</w:t>
                  </w:r>
                  <w:r>
                    <w:t>油桶</w:t>
                  </w:r>
                </w:p>
              </w:tc>
              <w:tc>
                <w:tcPr>
                  <w:tcW w:w="1155" w:type="pct"/>
                  <w:noWrap w:val="0"/>
                  <w:vAlign w:val="center"/>
                </w:tcPr>
                <w:p>
                  <w:pPr>
                    <w:pStyle w:val="70"/>
                  </w:pPr>
                  <w:r>
                    <w:t>HW49-900-041-49</w:t>
                  </w:r>
                </w:p>
              </w:tc>
              <w:tc>
                <w:tcPr>
                  <w:tcW w:w="920" w:type="pct"/>
                  <w:noWrap w:val="0"/>
                  <w:vAlign w:val="center"/>
                </w:tcPr>
                <w:p>
                  <w:pPr>
                    <w:pStyle w:val="70"/>
                  </w:pPr>
                  <w:r>
                    <w:t>0.01</w:t>
                  </w:r>
                </w:p>
              </w:tc>
              <w:tc>
                <w:tcPr>
                  <w:tcW w:w="1237" w:type="pct"/>
                  <w:vMerge w:val="continue"/>
                  <w:noWrap w:val="0"/>
                  <w:vAlign w:val="center"/>
                </w:tcPr>
                <w:p>
                  <w:pPr>
                    <w:pStyle w:val="70"/>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2" w:type="pct"/>
                  <w:vMerge w:val="continue"/>
                  <w:noWrap w:val="0"/>
                  <w:vAlign w:val="center"/>
                </w:tcPr>
                <w:p>
                  <w:pPr>
                    <w:pStyle w:val="70"/>
                  </w:pPr>
                </w:p>
              </w:tc>
              <w:tc>
                <w:tcPr>
                  <w:tcW w:w="1164" w:type="pct"/>
                  <w:noWrap w:val="0"/>
                  <w:vAlign w:val="center"/>
                </w:tcPr>
                <w:p>
                  <w:pPr>
                    <w:pStyle w:val="70"/>
                  </w:pPr>
                  <w:r>
                    <w:t>废活性炭</w:t>
                  </w:r>
                </w:p>
              </w:tc>
              <w:tc>
                <w:tcPr>
                  <w:tcW w:w="1155" w:type="pct"/>
                  <w:noWrap w:val="0"/>
                  <w:vAlign w:val="center"/>
                </w:tcPr>
                <w:p>
                  <w:pPr>
                    <w:pStyle w:val="70"/>
                  </w:pPr>
                  <w:r>
                    <w:t>HW49-900-041-49</w:t>
                  </w:r>
                </w:p>
              </w:tc>
              <w:tc>
                <w:tcPr>
                  <w:tcW w:w="920" w:type="pct"/>
                  <w:noWrap w:val="0"/>
                  <w:vAlign w:val="center"/>
                </w:tcPr>
                <w:p>
                  <w:pPr>
                    <w:pStyle w:val="70"/>
                    <w:rPr>
                      <w:rFonts w:hint="default" w:eastAsiaTheme="minorEastAsia"/>
                      <w:lang w:val="en-US" w:eastAsia="zh-CN"/>
                    </w:rPr>
                  </w:pPr>
                  <w:r>
                    <w:rPr>
                      <w:rFonts w:hint="eastAsia"/>
                      <w:lang w:val="en-US" w:eastAsia="zh-CN"/>
                    </w:rPr>
                    <w:t>60</w:t>
                  </w:r>
                </w:p>
              </w:tc>
              <w:tc>
                <w:tcPr>
                  <w:tcW w:w="1237" w:type="pct"/>
                  <w:vMerge w:val="continue"/>
                  <w:noWrap w:val="0"/>
                  <w:vAlign w:val="center"/>
                </w:tcPr>
                <w:p>
                  <w:pPr>
                    <w:pStyle w:val="70"/>
                  </w:pPr>
                </w:p>
              </w:tc>
            </w:tr>
          </w:tbl>
          <w:p>
            <w:pPr>
              <w:spacing w:line="360" w:lineRule="auto"/>
              <w:ind w:firstLine="720" w:firstLineChars="300"/>
              <w:contextualSpacing/>
              <w:rPr>
                <w:rFonts w:ascii="宋体" w:hAnsi="宋体" w:eastAsia="宋体" w:cs="宋体"/>
                <w:sz w:val="24"/>
              </w:rPr>
            </w:pPr>
            <w:r>
              <w:rPr>
                <w:rFonts w:hint="eastAsia" w:ascii="宋体" w:hAnsi="宋体" w:eastAsia="宋体" w:cs="宋体"/>
                <w:sz w:val="24"/>
              </w:rPr>
              <w:t>所有固废均得到合理处置，不会造成二次污染。</w:t>
            </w:r>
          </w:p>
          <w:p>
            <w:pPr>
              <w:keepNext/>
              <w:keepLines/>
              <w:tabs>
                <w:tab w:val="left" w:pos="7573"/>
              </w:tabs>
              <w:spacing w:line="360" w:lineRule="auto"/>
              <w:outlineLvl w:val="1"/>
              <w:rPr>
                <w:rFonts w:ascii="Times New Roman" w:hAnsi="Times New Roman" w:cs="Times New Roman"/>
                <w:b/>
                <w:bCs/>
                <w:sz w:val="28"/>
                <w:szCs w:val="28"/>
              </w:rPr>
            </w:pPr>
            <w:r>
              <w:rPr>
                <w:rFonts w:hint="eastAsia" w:ascii="Times New Roman" w:hAnsi="Times New Roman" w:cs="Times New Roman"/>
                <w:b/>
                <w:bCs/>
                <w:sz w:val="28"/>
                <w:szCs w:val="28"/>
              </w:rPr>
              <w:t>六</w:t>
            </w:r>
            <w:r>
              <w:rPr>
                <w:rFonts w:ascii="Times New Roman" w:hAnsi="Times New Roman" w:cs="Times New Roman"/>
                <w:b/>
                <w:bCs/>
                <w:sz w:val="28"/>
                <w:szCs w:val="28"/>
              </w:rPr>
              <w:t>、</w:t>
            </w:r>
            <w:r>
              <w:rPr>
                <w:rFonts w:hint="eastAsia" w:ascii="Times New Roman" w:hAnsi="Times New Roman" w:cs="Times New Roman"/>
                <w:b/>
                <w:bCs/>
                <w:sz w:val="28"/>
                <w:szCs w:val="28"/>
              </w:rPr>
              <w:t>总量控制指标检查</w:t>
            </w:r>
          </w:p>
          <w:p>
            <w:pPr>
              <w:spacing w:line="360" w:lineRule="auto"/>
              <w:ind w:firstLine="720" w:firstLineChars="300"/>
              <w:contextualSpacing/>
              <w:rPr>
                <w:rFonts w:hint="eastAsia" w:ascii="宋体" w:hAnsi="宋体" w:eastAsia="宋体" w:cs="宋体"/>
                <w:sz w:val="24"/>
                <w:lang w:val="en-US" w:eastAsia="zh-CN"/>
              </w:rPr>
            </w:pPr>
            <w:r>
              <w:rPr>
                <w:rFonts w:hint="eastAsia" w:ascii="宋体" w:hAnsi="宋体" w:eastAsia="宋体" w:cs="宋体"/>
                <w:sz w:val="24"/>
              </w:rPr>
              <w:t>项目主</w:t>
            </w:r>
            <w:r>
              <w:rPr>
                <w:rFonts w:hint="eastAsia" w:ascii="宋体" w:hAnsi="宋体" w:eastAsia="宋体" w:cs="宋体"/>
                <w:sz w:val="24"/>
                <w:lang w:val="en-US" w:eastAsia="zh-CN"/>
              </w:rPr>
              <w:t>要污染物排放总量：</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表5-10项目污染物总量控制指标（单位t/a）</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1"/>
              <w:gridCol w:w="1618"/>
              <w:gridCol w:w="2678"/>
              <w:gridCol w:w="25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73" w:type="pct"/>
                  <w:tcBorders>
                    <w:tl2br w:val="nil"/>
                    <w:tr2bl w:val="nil"/>
                  </w:tcBorders>
                  <w:shd w:val="clear" w:color="auto" w:fill="auto"/>
                  <w:vAlign w:val="center"/>
                </w:tcPr>
                <w:p>
                  <w:pPr>
                    <w:contextualSpacing/>
                    <w:jc w:val="center"/>
                    <w:rPr>
                      <w:rFonts w:ascii="Times New Roman" w:hAnsi="Times New Roman" w:cs="Times New Roman"/>
                      <w:b/>
                      <w:bCs w:val="0"/>
                      <w:szCs w:val="21"/>
                    </w:rPr>
                  </w:pPr>
                  <w:r>
                    <w:rPr>
                      <w:rFonts w:ascii="Times New Roman" w:hAnsi="Times New Roman" w:cs="Times New Roman"/>
                      <w:b/>
                      <w:bCs w:val="0"/>
                      <w:szCs w:val="21"/>
                    </w:rPr>
                    <w:t>类别</w:t>
                  </w:r>
                </w:p>
              </w:tc>
              <w:tc>
                <w:tcPr>
                  <w:tcW w:w="923" w:type="pct"/>
                  <w:tcBorders>
                    <w:tl2br w:val="nil"/>
                    <w:tr2bl w:val="nil"/>
                  </w:tcBorders>
                  <w:shd w:val="clear" w:color="auto" w:fill="auto"/>
                  <w:vAlign w:val="center"/>
                </w:tcPr>
                <w:p>
                  <w:pPr>
                    <w:contextualSpacing/>
                    <w:jc w:val="center"/>
                    <w:rPr>
                      <w:rFonts w:ascii="Times New Roman" w:hAnsi="Times New Roman" w:cs="Times New Roman"/>
                      <w:b/>
                      <w:bCs w:val="0"/>
                      <w:szCs w:val="21"/>
                    </w:rPr>
                  </w:pPr>
                  <w:r>
                    <w:rPr>
                      <w:rFonts w:ascii="Times New Roman" w:hAnsi="Times New Roman" w:cs="Times New Roman"/>
                      <w:b/>
                      <w:bCs w:val="0"/>
                      <w:szCs w:val="21"/>
                    </w:rPr>
                    <w:t>污染物</w:t>
                  </w:r>
                </w:p>
              </w:tc>
              <w:tc>
                <w:tcPr>
                  <w:tcW w:w="1529" w:type="pct"/>
                  <w:tcBorders>
                    <w:tl2br w:val="nil"/>
                    <w:tr2bl w:val="nil"/>
                  </w:tcBorders>
                  <w:shd w:val="clear" w:color="auto" w:fill="auto"/>
                  <w:vAlign w:val="center"/>
                </w:tcPr>
                <w:p>
                  <w:pPr>
                    <w:contextualSpacing/>
                    <w:jc w:val="center"/>
                    <w:rPr>
                      <w:rFonts w:ascii="Times New Roman" w:hAnsi="Times New Roman" w:cs="Times New Roman"/>
                      <w:b/>
                      <w:bCs w:val="0"/>
                      <w:szCs w:val="21"/>
                    </w:rPr>
                  </w:pPr>
                  <w:r>
                    <w:rPr>
                      <w:rFonts w:hint="eastAsia" w:ascii="Times New Roman" w:hAnsi="Times New Roman" w:cs="Times New Roman"/>
                      <w:b/>
                      <w:bCs w:val="0"/>
                      <w:szCs w:val="21"/>
                    </w:rPr>
                    <w:t>环评/</w:t>
                  </w:r>
                  <w:r>
                    <w:rPr>
                      <w:rFonts w:ascii="Times New Roman" w:hAnsi="Times New Roman" w:cs="Times New Roman"/>
                      <w:b/>
                      <w:bCs w:val="0"/>
                      <w:szCs w:val="21"/>
                    </w:rPr>
                    <w:t>批复总量</w:t>
                  </w:r>
                </w:p>
              </w:tc>
              <w:tc>
                <w:tcPr>
                  <w:tcW w:w="1473" w:type="pct"/>
                  <w:tcBorders>
                    <w:tl2br w:val="nil"/>
                    <w:tr2bl w:val="nil"/>
                  </w:tcBorders>
                  <w:shd w:val="clear" w:color="auto" w:fill="auto"/>
                  <w:vAlign w:val="center"/>
                </w:tcPr>
                <w:p>
                  <w:pPr>
                    <w:contextualSpacing/>
                    <w:jc w:val="center"/>
                    <w:rPr>
                      <w:rFonts w:ascii="Times New Roman" w:hAnsi="Times New Roman" w:cs="Times New Roman"/>
                      <w:b/>
                      <w:bCs w:val="0"/>
                      <w:szCs w:val="21"/>
                    </w:rPr>
                  </w:pPr>
                  <w:r>
                    <w:rPr>
                      <w:rFonts w:ascii="Times New Roman" w:hAnsi="Times New Roman" w:cs="Times New Roman"/>
                      <w:b/>
                      <w:bCs w:val="0"/>
                      <w:szCs w:val="21"/>
                    </w:rPr>
                    <w:t>实际验收总量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73" w:type="pct"/>
                  <w:vMerge w:val="restart"/>
                  <w:tcBorders>
                    <w:tl2br w:val="nil"/>
                    <w:tr2bl w:val="nil"/>
                  </w:tcBorders>
                  <w:shd w:val="clear" w:color="auto" w:fill="auto"/>
                  <w:vAlign w:val="center"/>
                </w:tcPr>
                <w:p>
                  <w:pPr>
                    <w:contextualSpacing/>
                    <w:jc w:val="center"/>
                    <w:rPr>
                      <w:rFonts w:ascii="Times New Roman" w:hAnsi="Times New Roman" w:cs="Times New Roman"/>
                      <w:bCs/>
                      <w:szCs w:val="21"/>
                    </w:rPr>
                  </w:pPr>
                  <w:r>
                    <w:rPr>
                      <w:rFonts w:hint="eastAsia" w:ascii="Times New Roman" w:hAnsi="Times New Roman" w:cs="Times New Roman"/>
                      <w:bCs/>
                      <w:szCs w:val="21"/>
                    </w:rPr>
                    <w:t>废水污染物</w:t>
                  </w:r>
                </w:p>
              </w:tc>
              <w:tc>
                <w:tcPr>
                  <w:tcW w:w="923" w:type="pct"/>
                  <w:tcBorders>
                    <w:tl2br w:val="nil"/>
                    <w:tr2bl w:val="nil"/>
                  </w:tcBorders>
                  <w:shd w:val="clear" w:color="auto" w:fill="auto"/>
                  <w:vAlign w:val="center"/>
                </w:tcPr>
                <w:p>
                  <w:pPr>
                    <w:tabs>
                      <w:tab w:val="left" w:pos="5880"/>
                    </w:tabs>
                    <w:jc w:val="center"/>
                    <w:rPr>
                      <w:rFonts w:ascii="Times New Roman" w:cs="Times New Roman"/>
                      <w:szCs w:val="21"/>
                    </w:rPr>
                  </w:pPr>
                  <w:r>
                    <w:rPr>
                      <w:rFonts w:hint="eastAsia" w:ascii="Times New Roman" w:cs="Times New Roman"/>
                      <w:bCs/>
                      <w:szCs w:val="21"/>
                    </w:rPr>
                    <w:t>COD</w:t>
                  </w:r>
                </w:p>
              </w:tc>
              <w:tc>
                <w:tcPr>
                  <w:tcW w:w="1529"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de-DE"/>
                    </w:rPr>
                    <w:t>0.940</w:t>
                  </w:r>
                </w:p>
              </w:tc>
              <w:tc>
                <w:tcPr>
                  <w:tcW w:w="1473"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en-US" w:eastAsia="zh-CN"/>
                    </w:rPr>
                    <w:t>0.03294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73" w:type="pct"/>
                  <w:vMerge w:val="continue"/>
                  <w:tcBorders>
                    <w:tl2br w:val="nil"/>
                    <w:tr2bl w:val="nil"/>
                  </w:tcBorders>
                  <w:shd w:val="clear" w:color="auto" w:fill="auto"/>
                  <w:vAlign w:val="center"/>
                </w:tcPr>
                <w:p>
                  <w:pPr>
                    <w:contextualSpacing/>
                    <w:jc w:val="center"/>
                    <w:rPr>
                      <w:rFonts w:ascii="Times New Roman" w:hAnsi="Times New Roman" w:cs="Times New Roman"/>
                      <w:bCs/>
                      <w:szCs w:val="21"/>
                    </w:rPr>
                  </w:pPr>
                </w:p>
              </w:tc>
              <w:tc>
                <w:tcPr>
                  <w:tcW w:w="923" w:type="pct"/>
                  <w:tcBorders>
                    <w:tl2br w:val="nil"/>
                    <w:tr2bl w:val="nil"/>
                  </w:tcBorders>
                  <w:shd w:val="clear" w:color="auto" w:fill="auto"/>
                  <w:vAlign w:val="center"/>
                </w:tcPr>
                <w:p>
                  <w:pPr>
                    <w:tabs>
                      <w:tab w:val="left" w:pos="5880"/>
                    </w:tabs>
                    <w:jc w:val="center"/>
                    <w:rPr>
                      <w:rFonts w:ascii="Times New Roman" w:cs="Times New Roman"/>
                      <w:bCs/>
                      <w:szCs w:val="21"/>
                    </w:rPr>
                  </w:pPr>
                  <w:r>
                    <w:rPr>
                      <w:rFonts w:hint="eastAsia" w:ascii="Times New Roman" w:cs="Times New Roman"/>
                      <w:bCs/>
                      <w:szCs w:val="21"/>
                    </w:rPr>
                    <w:t>NH</w:t>
                  </w:r>
                  <w:r>
                    <w:rPr>
                      <w:rFonts w:hint="eastAsia" w:ascii="Times New Roman" w:cs="Times New Roman"/>
                      <w:bCs/>
                      <w:szCs w:val="21"/>
                      <w:vertAlign w:val="subscript"/>
                    </w:rPr>
                    <w:t>3</w:t>
                  </w:r>
                  <w:r>
                    <w:rPr>
                      <w:rFonts w:hint="eastAsia" w:ascii="Times New Roman" w:cs="Times New Roman"/>
                      <w:bCs/>
                      <w:szCs w:val="21"/>
                    </w:rPr>
                    <w:t>-N</w:t>
                  </w:r>
                </w:p>
              </w:tc>
              <w:tc>
                <w:tcPr>
                  <w:tcW w:w="1529"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de-DE"/>
                    </w:rPr>
                    <w:t>0.078</w:t>
                  </w:r>
                </w:p>
              </w:tc>
              <w:tc>
                <w:tcPr>
                  <w:tcW w:w="1473"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en-US" w:eastAsia="zh-CN"/>
                    </w:rPr>
                    <w:t>0.00061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73" w:type="pct"/>
                  <w:vMerge w:val="continue"/>
                  <w:tcBorders>
                    <w:tl2br w:val="nil"/>
                    <w:tr2bl w:val="nil"/>
                  </w:tcBorders>
                  <w:shd w:val="clear" w:color="auto" w:fill="auto"/>
                  <w:vAlign w:val="center"/>
                </w:tcPr>
                <w:p>
                  <w:pPr>
                    <w:contextualSpacing/>
                    <w:jc w:val="center"/>
                    <w:rPr>
                      <w:rFonts w:ascii="Times New Roman" w:hAnsi="Times New Roman" w:cs="Times New Roman"/>
                      <w:bCs/>
                      <w:szCs w:val="21"/>
                    </w:rPr>
                  </w:pPr>
                </w:p>
              </w:tc>
              <w:tc>
                <w:tcPr>
                  <w:tcW w:w="923" w:type="pct"/>
                  <w:tcBorders>
                    <w:tl2br w:val="nil"/>
                    <w:tr2bl w:val="nil"/>
                  </w:tcBorders>
                  <w:shd w:val="clear" w:color="auto" w:fill="auto"/>
                  <w:vAlign w:val="center"/>
                </w:tcPr>
                <w:p>
                  <w:pPr>
                    <w:tabs>
                      <w:tab w:val="left" w:pos="5880"/>
                    </w:tabs>
                    <w:jc w:val="center"/>
                    <w:rPr>
                      <w:rFonts w:ascii="Times New Roman" w:cs="Times New Roman"/>
                      <w:bCs/>
                      <w:szCs w:val="21"/>
                    </w:rPr>
                  </w:pPr>
                  <w:r>
                    <w:rPr>
                      <w:rFonts w:hint="eastAsia" w:ascii="Times New Roman" w:cs="Times New Roman"/>
                      <w:bCs/>
                      <w:szCs w:val="21"/>
                    </w:rPr>
                    <w:t>总磷</w:t>
                  </w:r>
                </w:p>
              </w:tc>
              <w:tc>
                <w:tcPr>
                  <w:tcW w:w="1529"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de-DE"/>
                    </w:rPr>
                    <w:t>0.013</w:t>
                  </w:r>
                </w:p>
              </w:tc>
              <w:tc>
                <w:tcPr>
                  <w:tcW w:w="1473"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en-US" w:eastAsia="zh-CN"/>
                    </w:rPr>
                    <w:t>0.00015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73" w:type="pct"/>
                  <w:tcBorders>
                    <w:tl2br w:val="nil"/>
                    <w:tr2bl w:val="nil"/>
                  </w:tcBorders>
                  <w:shd w:val="clear" w:color="auto" w:fill="auto"/>
                  <w:vAlign w:val="center"/>
                </w:tcPr>
                <w:p>
                  <w:pPr>
                    <w:contextualSpacing/>
                    <w:jc w:val="center"/>
                    <w:rPr>
                      <w:rFonts w:ascii="Times New Roman" w:hAnsi="Times New Roman" w:cs="Times New Roman"/>
                      <w:bCs/>
                      <w:szCs w:val="21"/>
                    </w:rPr>
                  </w:pPr>
                  <w:r>
                    <w:rPr>
                      <w:rFonts w:hint="eastAsia" w:ascii="Times New Roman" w:hAnsi="Times New Roman" w:cs="Times New Roman"/>
                      <w:bCs/>
                      <w:szCs w:val="21"/>
                    </w:rPr>
                    <w:t>废气污染物</w:t>
                  </w:r>
                </w:p>
              </w:tc>
              <w:tc>
                <w:tcPr>
                  <w:tcW w:w="923" w:type="pct"/>
                  <w:tcBorders>
                    <w:tl2br w:val="nil"/>
                    <w:tr2bl w:val="nil"/>
                  </w:tcBorders>
                  <w:shd w:val="clear" w:color="auto" w:fill="auto"/>
                  <w:vAlign w:val="center"/>
                </w:tcPr>
                <w:p>
                  <w:pPr>
                    <w:tabs>
                      <w:tab w:val="left" w:pos="5880"/>
                    </w:tabs>
                    <w:jc w:val="center"/>
                    <w:rPr>
                      <w:rFonts w:ascii="Times New Roman" w:cs="Times New Roman" w:hAnsiTheme="minorHAnsi" w:eastAsiaTheme="minorEastAsia"/>
                      <w:bCs/>
                      <w:kern w:val="2"/>
                      <w:sz w:val="21"/>
                      <w:szCs w:val="21"/>
                      <w:lang w:val="en-US" w:eastAsia="zh-CN" w:bidi="ar-SA"/>
                    </w:rPr>
                  </w:pPr>
                  <w:r>
                    <w:rPr>
                      <w:rFonts w:hint="eastAsia" w:ascii="Times New Roman" w:cs="Times New Roman"/>
                      <w:bCs/>
                      <w:szCs w:val="21"/>
                      <w:lang w:val="de-DE"/>
                    </w:rPr>
                    <w:t>VOCs</w:t>
                  </w:r>
                </w:p>
              </w:tc>
              <w:tc>
                <w:tcPr>
                  <w:tcW w:w="1529" w:type="pct"/>
                  <w:tcBorders>
                    <w:tl2br w:val="nil"/>
                    <w:tr2bl w:val="nil"/>
                  </w:tcBorders>
                  <w:shd w:val="clear" w:color="auto" w:fill="auto"/>
                  <w:vAlign w:val="center"/>
                </w:tcPr>
                <w:p>
                  <w:pPr>
                    <w:tabs>
                      <w:tab w:val="left" w:pos="5880"/>
                    </w:tabs>
                    <w:jc w:val="center"/>
                    <w:rPr>
                      <w:rFonts w:hint="eastAsia" w:ascii="Times New Roman" w:cs="Times New Roman"/>
                      <w:bCs/>
                      <w:szCs w:val="21"/>
                      <w:lang w:val="en-US" w:eastAsia="zh-CN"/>
                    </w:rPr>
                  </w:pPr>
                  <w:r>
                    <w:rPr>
                      <w:rFonts w:hint="eastAsia" w:ascii="Times New Roman" w:cs="Times New Roman"/>
                      <w:bCs/>
                      <w:szCs w:val="21"/>
                      <w:lang w:val="de-DE"/>
                    </w:rPr>
                    <w:t>0.708</w:t>
                  </w:r>
                </w:p>
              </w:tc>
              <w:tc>
                <w:tcPr>
                  <w:tcW w:w="1473" w:type="pct"/>
                  <w:tcBorders>
                    <w:tl2br w:val="nil"/>
                    <w:tr2bl w:val="nil"/>
                  </w:tcBorders>
                  <w:shd w:val="clear" w:color="auto" w:fill="auto"/>
                  <w:vAlign w:val="center"/>
                </w:tcPr>
                <w:p>
                  <w:pPr>
                    <w:tabs>
                      <w:tab w:val="left" w:pos="5880"/>
                    </w:tabs>
                    <w:jc w:val="center"/>
                    <w:rPr>
                      <w:rFonts w:hint="default" w:ascii="Times New Roman" w:cs="Times New Roman"/>
                      <w:bCs/>
                      <w:szCs w:val="21"/>
                      <w:lang w:val="en-US" w:eastAsia="zh-CN"/>
                    </w:rPr>
                  </w:pPr>
                  <w:r>
                    <w:rPr>
                      <w:rFonts w:hint="eastAsia" w:ascii="Times New Roman" w:cs="Times New Roman"/>
                      <w:bCs/>
                      <w:szCs w:val="21"/>
                      <w:lang w:val="de-DE"/>
                    </w:rPr>
                    <w:t>0.58027</w:t>
                  </w:r>
                  <w:bookmarkStart w:id="55" w:name="_GoBack"/>
                  <w:bookmarkEnd w:id="55"/>
                </w:p>
              </w:tc>
            </w:tr>
          </w:tbl>
          <w:p>
            <w:pPr>
              <w:rPr>
                <w:rFonts w:ascii="Times New Roman" w:hAnsi="Times New Roman" w:eastAsia="黑体" w:cs="Times New Roman"/>
                <w:b/>
                <w:bCs/>
                <w:sz w:val="24"/>
              </w:rPr>
            </w:pPr>
          </w:p>
        </w:tc>
      </w:tr>
    </w:tbl>
    <w:p>
      <w:pPr>
        <w:rPr>
          <w:rFonts w:ascii="Times New Roman" w:hAnsi="Times New Roman" w:cs="Times New Roman"/>
          <w:b/>
          <w:bCs/>
          <w:sz w:val="30"/>
          <w:szCs w:val="30"/>
        </w:rPr>
      </w:pPr>
      <w:r>
        <w:rPr>
          <w:rFonts w:ascii="Times New Roman" w:hAnsi="Times New Roman" w:cs="Times New Roman"/>
          <w:b/>
          <w:bCs/>
          <w:sz w:val="30"/>
          <w:szCs w:val="30"/>
        </w:rPr>
        <w:br w:type="page"/>
      </w:r>
    </w:p>
    <w:p>
      <w:pPr>
        <w:rPr>
          <w:rFonts w:ascii="Times New Roman" w:hAnsi="Times New Roman" w:cs="Times New Roman"/>
          <w:b/>
          <w:bCs/>
          <w:sz w:val="30"/>
          <w:szCs w:val="30"/>
        </w:rPr>
      </w:pPr>
      <w:r>
        <w:rPr>
          <w:rFonts w:ascii="Times New Roman" w:hAnsi="Times New Roman" w:cs="Times New Roman"/>
          <w:b/>
          <w:bCs/>
          <w:sz w:val="30"/>
          <w:szCs w:val="30"/>
        </w:rPr>
        <w:t>表六</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环境管理检查</w:t>
      </w:r>
    </w:p>
    <w:tbl>
      <w:tblPr>
        <w:tblStyle w:val="24"/>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8" w:hRule="atLeast"/>
          <w:jc w:val="center"/>
        </w:trPr>
        <w:tc>
          <w:tcPr>
            <w:tcW w:w="8973" w:type="dxa"/>
          </w:tcPr>
          <w:p>
            <w:pPr>
              <w:spacing w:line="360" w:lineRule="auto"/>
              <w:contextualSpacing/>
              <w:rPr>
                <w:rFonts w:ascii="Times New Roman" w:hAnsi="Times New Roman" w:cs="Times New Roman"/>
                <w:b/>
                <w:bCs/>
                <w:sz w:val="28"/>
                <w:szCs w:val="28"/>
              </w:rPr>
            </w:pPr>
            <w:bookmarkStart w:id="42" w:name="_Toc9945"/>
            <w:r>
              <w:rPr>
                <w:rFonts w:ascii="Times New Roman" w:hAnsi="Times New Roman" w:cs="Times New Roman"/>
                <w:b/>
                <w:bCs/>
                <w:sz w:val="28"/>
                <w:szCs w:val="28"/>
              </w:rPr>
              <w:t>一、环保审批手续情况检查</w:t>
            </w:r>
            <w:bookmarkEnd w:id="42"/>
          </w:p>
          <w:p>
            <w:pPr>
              <w:spacing w:line="360" w:lineRule="auto"/>
              <w:ind w:firstLine="480" w:firstLineChars="200"/>
              <w:contextualSpacing/>
              <w:rPr>
                <w:rFonts w:hint="default" w:ascii="Times New Roman" w:hAnsi="Times New Roman" w:eastAsia="宋体" w:cs="Times New Roman"/>
                <w:bCs/>
                <w:sz w:val="24"/>
                <w:szCs w:val="24"/>
              </w:rPr>
            </w:pPr>
            <w:r>
              <w:rPr>
                <w:rFonts w:hint="eastAsia" w:ascii="Times New Roman" w:hAnsi="Times New Roman" w:eastAsia="宋体" w:cs="Times New Roman"/>
                <w:bCs/>
                <w:sz w:val="24"/>
                <w:szCs w:val="24"/>
                <w:lang w:eastAsia="zh-CN"/>
              </w:rPr>
              <w:t>项目于</w:t>
            </w:r>
            <w:r>
              <w:rPr>
                <w:rFonts w:hint="default" w:ascii="Times New Roman" w:hAnsi="Times New Roman" w:eastAsia="宋体" w:cs="Times New Roman"/>
                <w:bCs/>
                <w:sz w:val="24"/>
                <w:szCs w:val="24"/>
              </w:rPr>
              <w:t>20</w:t>
            </w:r>
            <w:r>
              <w:rPr>
                <w:rFonts w:hint="eastAsia" w:ascii="Times New Roman" w:hAnsi="Times New Roman" w:eastAsia="宋体" w:cs="Times New Roman"/>
                <w:bCs/>
                <w:sz w:val="24"/>
                <w:szCs w:val="24"/>
                <w:lang w:val="en-US" w:eastAsia="zh-CN"/>
              </w:rPr>
              <w:t>20</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月</w:t>
            </w:r>
            <w:r>
              <w:rPr>
                <w:rFonts w:hint="eastAsia" w:ascii="Times New Roman" w:hAnsi="Times New Roman" w:eastAsia="宋体" w:cs="Times New Roman"/>
                <w:bCs/>
                <w:sz w:val="24"/>
                <w:szCs w:val="24"/>
                <w:lang w:val="en-US" w:eastAsia="zh-CN"/>
              </w:rPr>
              <w:t>19</w:t>
            </w:r>
            <w:r>
              <w:rPr>
                <w:rFonts w:hint="default" w:ascii="Times New Roman" w:hAnsi="Times New Roman" w:eastAsia="宋体" w:cs="Times New Roman"/>
                <w:bCs/>
                <w:sz w:val="24"/>
                <w:szCs w:val="24"/>
              </w:rPr>
              <w:t>日取得了</w:t>
            </w:r>
            <w:r>
              <w:rPr>
                <w:rFonts w:hint="eastAsia" w:ascii="Times New Roman" w:hAnsi="Times New Roman" w:eastAsia="宋体" w:cs="Times New Roman"/>
                <w:bCs/>
                <w:sz w:val="24"/>
                <w:szCs w:val="24"/>
                <w:lang w:eastAsia="zh-CN"/>
              </w:rPr>
              <w:t>承诺制</w:t>
            </w:r>
            <w:r>
              <w:rPr>
                <w:rFonts w:hint="default" w:ascii="Times New Roman" w:hAnsi="Times New Roman" w:eastAsia="宋体" w:cs="Times New Roman"/>
                <w:bCs/>
                <w:sz w:val="24"/>
                <w:szCs w:val="24"/>
              </w:rPr>
              <w:t>环评批复（</w:t>
            </w:r>
            <w:r>
              <w:rPr>
                <w:rFonts w:hint="eastAsia" w:ascii="Times New Roman" w:hAnsi="Times New Roman" w:eastAsia="宋体" w:cs="Times New Roman"/>
                <w:bCs/>
                <w:sz w:val="24"/>
                <w:szCs w:val="24"/>
                <w:lang w:eastAsia="zh-CN"/>
              </w:rPr>
              <w:t>资环审批乐诺[2020]4号</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w:t>
            </w:r>
            <w:r>
              <w:rPr>
                <w:rFonts w:hint="default" w:ascii="Times New Roman" w:hAnsi="Times New Roman" w:eastAsia="宋体" w:cs="Times New Roman"/>
                <w:bCs/>
                <w:sz w:val="24"/>
                <w:szCs w:val="24"/>
              </w:rPr>
              <w:t>重庆市江津区成硕环保工程有限公司于202</w:t>
            </w:r>
            <w:r>
              <w:rPr>
                <w:rFonts w:hint="eastAsia" w:ascii="Times New Roman" w:hAnsi="Times New Roman" w:eastAsia="宋体" w:cs="Times New Roman"/>
                <w:bCs/>
                <w:sz w:val="24"/>
                <w:szCs w:val="24"/>
                <w:lang w:val="en-US" w:eastAsia="zh-CN"/>
              </w:rPr>
              <w:t>0</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7</w:t>
            </w:r>
            <w:r>
              <w:rPr>
                <w:rFonts w:hint="default" w:ascii="Times New Roman" w:hAnsi="Times New Roman" w:eastAsia="宋体" w:cs="Times New Roman"/>
                <w:bCs/>
                <w:sz w:val="24"/>
                <w:szCs w:val="24"/>
              </w:rPr>
              <w:t>月完成了该项目环境影响评价工作，202</w:t>
            </w:r>
            <w:r>
              <w:rPr>
                <w:rFonts w:hint="eastAsia" w:ascii="Times New Roman" w:hAnsi="Times New Roman" w:eastAsia="宋体" w:cs="Times New Roman"/>
                <w:bCs/>
                <w:sz w:val="24"/>
                <w:szCs w:val="24"/>
                <w:lang w:val="en-US" w:eastAsia="zh-CN"/>
              </w:rPr>
              <w:t>0</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月开始建设，并于202</w:t>
            </w:r>
            <w:r>
              <w:rPr>
                <w:rFonts w:hint="eastAsia"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年</w:t>
            </w:r>
            <w:r>
              <w:rPr>
                <w:rFonts w:hint="eastAsia"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月建成并投入运行。</w:t>
            </w:r>
          </w:p>
          <w:p>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项目严格执行环保审批手续和三同时制度。在建设前期完成环评手续，取得环评批复；建设过程中环保设施与主体工程同时设计、同时施工、同时投入使用。验收监测期间，所有环保设施均正常运行，满足验收条件。</w:t>
            </w:r>
          </w:p>
          <w:p>
            <w:pPr>
              <w:pStyle w:val="4"/>
              <w:spacing w:before="0" w:after="0" w:line="360" w:lineRule="auto"/>
              <w:contextualSpacing/>
              <w:outlineLvl w:val="1"/>
              <w:rPr>
                <w:rFonts w:ascii="Times New Roman" w:hAnsi="Times New Roman" w:cs="Times New Roman"/>
                <w:szCs w:val="28"/>
              </w:rPr>
            </w:pPr>
            <w:bookmarkStart w:id="43" w:name="_Toc1096"/>
            <w:r>
              <w:rPr>
                <w:rFonts w:ascii="Times New Roman" w:hAnsi="Times New Roman" w:cs="Times New Roman"/>
                <w:szCs w:val="28"/>
              </w:rPr>
              <w:t>二、环保治理设施的完成、运行、维护情况检查</w:t>
            </w:r>
            <w:bookmarkEnd w:id="43"/>
          </w:p>
          <w:p>
            <w:pPr>
              <w:spacing w:line="360" w:lineRule="auto"/>
              <w:ind w:firstLine="480" w:firstLineChars="200"/>
              <w:contextualSpacing/>
              <w:rPr>
                <w:rFonts w:ascii="Times New Roman" w:hAnsi="Times New Roman" w:cs="Times New Roman"/>
                <w:bCs/>
                <w:sz w:val="24"/>
              </w:rPr>
            </w:pPr>
            <w:r>
              <w:rPr>
                <w:rFonts w:ascii="Times New Roman" w:hAnsi="Times New Roman" w:cs="Times New Roman"/>
                <w:sz w:val="24"/>
              </w:rPr>
              <w:t>厂内各环保设施运行正常、项目生产过程中实行环保设施专人管理制度，定期对各环保设施进行检查、维修。</w:t>
            </w:r>
          </w:p>
          <w:p>
            <w:pPr>
              <w:pStyle w:val="4"/>
              <w:spacing w:before="0" w:after="0" w:line="360" w:lineRule="auto"/>
              <w:contextualSpacing/>
              <w:outlineLvl w:val="1"/>
              <w:rPr>
                <w:rFonts w:ascii="Times New Roman" w:hAnsi="Times New Roman" w:cs="Times New Roman"/>
                <w:szCs w:val="28"/>
              </w:rPr>
            </w:pPr>
            <w:bookmarkStart w:id="44" w:name="_Toc29191"/>
            <w:r>
              <w:rPr>
                <w:rFonts w:ascii="Times New Roman" w:hAnsi="Times New Roman" w:cs="Times New Roman"/>
                <w:szCs w:val="28"/>
              </w:rPr>
              <w:t>三、环境保护档案管理情况检查</w:t>
            </w:r>
            <w:bookmarkEnd w:id="44"/>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与本项目有关的各项环保档案资料（例如：环评报告、环评批复等批复和文件）均由办公室统一管理，负责登记归档并保管。</w:t>
            </w:r>
          </w:p>
          <w:p>
            <w:pPr>
              <w:pStyle w:val="4"/>
              <w:spacing w:before="0" w:after="0" w:line="360" w:lineRule="auto"/>
              <w:contextualSpacing/>
              <w:outlineLvl w:val="1"/>
              <w:rPr>
                <w:rFonts w:ascii="Times New Roman" w:hAnsi="Times New Roman" w:cs="Times New Roman"/>
                <w:szCs w:val="28"/>
              </w:rPr>
            </w:pPr>
            <w:bookmarkStart w:id="45" w:name="_Toc6039"/>
            <w:r>
              <w:rPr>
                <w:rFonts w:ascii="Times New Roman" w:hAnsi="Times New Roman" w:cs="Times New Roman"/>
                <w:szCs w:val="28"/>
              </w:rPr>
              <w:t>四、</w:t>
            </w:r>
            <w:r>
              <w:rPr>
                <w:rFonts w:hint="eastAsia" w:ascii="Times New Roman" w:hAnsi="Times New Roman" w:cs="Times New Roman"/>
                <w:szCs w:val="28"/>
              </w:rPr>
              <w:t>环保机构、人员及职责</w:t>
            </w:r>
          </w:p>
          <w:p>
            <w:pPr>
              <w:pStyle w:val="4"/>
              <w:spacing w:before="0" w:after="0" w:line="360" w:lineRule="auto"/>
              <w:ind w:firstLine="480" w:firstLineChars="200"/>
              <w:contextualSpacing/>
              <w:outlineLvl w:val="1"/>
              <w:rPr>
                <w:rFonts w:ascii="Times New Roman" w:hAnsi="Times New Roman" w:cs="Times New Roman"/>
                <w:szCs w:val="28"/>
              </w:rPr>
            </w:pPr>
            <w:r>
              <w:rPr>
                <w:rFonts w:hint="eastAsia" w:eastAsia="宋体" w:cs="宋体"/>
                <w:b w:val="0"/>
                <w:bCs w:val="0"/>
                <w:sz w:val="24"/>
                <w:szCs w:val="22"/>
              </w:rPr>
              <w:t>公司成立了以厂长为组长，各部门负责人为成员的环境保护工作领导小组，同时规定该环保领导小组的主要职责。</w:t>
            </w:r>
            <w:r>
              <w:rPr>
                <w:rFonts w:hint="eastAsia" w:eastAsia="宋体" w:cs="宋体"/>
                <w:b w:val="0"/>
                <w:bCs w:val="0"/>
                <w:sz w:val="24"/>
                <w:szCs w:val="24"/>
              </w:rPr>
              <w:t>公司建立了较完善的环境保护管理体系，主要包括“三废”资源综合利用管理、各类环保设施运行管理制度、环保隐患排查制度等。</w:t>
            </w:r>
          </w:p>
          <w:bookmarkEnd w:id="45"/>
          <w:p>
            <w:pPr>
              <w:pStyle w:val="4"/>
              <w:spacing w:before="0" w:after="0" w:line="360" w:lineRule="auto"/>
              <w:contextualSpacing/>
              <w:outlineLvl w:val="1"/>
              <w:rPr>
                <w:rFonts w:ascii="Times New Roman" w:hAnsi="Times New Roman" w:cs="Times New Roman"/>
                <w:szCs w:val="28"/>
              </w:rPr>
            </w:pPr>
            <w:r>
              <w:rPr>
                <w:rFonts w:ascii="Times New Roman" w:hAnsi="Times New Roman" w:cs="Times New Roman"/>
                <w:szCs w:val="28"/>
              </w:rPr>
              <w:t>五、</w:t>
            </w:r>
            <w:r>
              <w:rPr>
                <w:rFonts w:hint="eastAsia" w:ascii="Times New Roman" w:hAnsi="Times New Roman" w:cs="Times New Roman"/>
                <w:szCs w:val="28"/>
              </w:rPr>
              <w:t>环境管理规章制度</w:t>
            </w:r>
          </w:p>
          <w:p>
            <w:pPr>
              <w:spacing w:line="360" w:lineRule="auto"/>
              <w:ind w:firstLine="480" w:firstLineChars="200"/>
              <w:contextualSpacing/>
              <w:rPr>
                <w:rFonts w:ascii="Times New Roman" w:hAnsi="Times New Roman" w:cs="Times New Roman"/>
                <w:bCs/>
                <w:sz w:val="24"/>
              </w:rPr>
            </w:pPr>
            <w:r>
              <w:rPr>
                <w:rFonts w:hint="eastAsia" w:ascii="宋体" w:hAnsi="宋体" w:eastAsia="宋体" w:cs="宋体"/>
                <w:sz w:val="24"/>
                <w:szCs w:val="22"/>
              </w:rPr>
              <w:t>公司颁布并实施《环境保护管理制度》、《危废管理制度》，环保管理制度中明确了管理制度的目的、适用范围及其日常环保管理规定。环保机构为常设机构，相关人员各负其责</w:t>
            </w:r>
            <w:r>
              <w:rPr>
                <w:rFonts w:hint="eastAsia" w:ascii="Times New Roman" w:hAnsi="Times New Roman" w:cs="Times New Roman"/>
                <w:sz w:val="24"/>
              </w:rPr>
              <w:t>。</w:t>
            </w:r>
          </w:p>
          <w:p>
            <w:pPr>
              <w:pStyle w:val="4"/>
              <w:spacing w:before="0" w:after="0" w:line="360" w:lineRule="auto"/>
              <w:contextualSpacing/>
              <w:outlineLvl w:val="1"/>
              <w:rPr>
                <w:rFonts w:ascii="Times New Roman" w:hAnsi="Times New Roman" w:cs="Times New Roman"/>
              </w:rPr>
            </w:pPr>
            <w:bookmarkStart w:id="46" w:name="_Toc12404"/>
            <w:r>
              <w:rPr>
                <w:rFonts w:hint="eastAsia" w:ascii="Times New Roman" w:hAnsi="Times New Roman" w:cs="Times New Roman"/>
              </w:rPr>
              <w:t>六</w:t>
            </w:r>
            <w:r>
              <w:rPr>
                <w:rFonts w:ascii="Times New Roman" w:hAnsi="Times New Roman" w:cs="Times New Roman"/>
              </w:rPr>
              <w:t>、环境风险防范应急预案和事故防范措施检查</w:t>
            </w:r>
            <w:bookmarkEnd w:id="46"/>
          </w:p>
          <w:p>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厂区设有健全的物料管理办法，专人负责辅料的签收、验库、保存、使用等工作。厂区内已设置消防栓，配备灭火器。</w:t>
            </w:r>
          </w:p>
          <w:p>
            <w:pPr>
              <w:pStyle w:val="4"/>
              <w:spacing w:before="0" w:after="0" w:line="360" w:lineRule="auto"/>
              <w:contextualSpacing/>
              <w:outlineLvl w:val="1"/>
              <w:rPr>
                <w:rFonts w:ascii="Times New Roman" w:hAnsi="Times New Roman" w:cs="Times New Roman"/>
              </w:rPr>
            </w:pPr>
            <w:r>
              <w:rPr>
                <w:rFonts w:hint="eastAsia" w:ascii="Times New Roman" w:hAnsi="Times New Roman" w:cs="Times New Roman"/>
              </w:rPr>
              <w:t>七、周边环境情况检查</w:t>
            </w:r>
          </w:p>
          <w:p>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根据现场踏勘，项目外环境与环评阶段相比未发生较大变化。</w:t>
            </w:r>
          </w:p>
          <w:p>
            <w:pPr>
              <w:pStyle w:val="4"/>
              <w:spacing w:before="0" w:after="0" w:line="360" w:lineRule="auto"/>
              <w:contextualSpacing/>
              <w:outlineLvl w:val="1"/>
              <w:rPr>
                <w:rFonts w:ascii="Times New Roman" w:hAnsi="Times New Roman" w:cs="Times New Roman"/>
              </w:rPr>
            </w:pPr>
            <w:r>
              <w:rPr>
                <w:rFonts w:hint="eastAsia" w:ascii="Times New Roman" w:hAnsi="Times New Roman" w:cs="Times New Roman"/>
              </w:rPr>
              <w:t>八、工程变更情况</w:t>
            </w:r>
          </w:p>
          <w:p>
            <w:pPr>
              <w:spacing w:line="360" w:lineRule="auto"/>
              <w:ind w:firstLine="480" w:firstLineChars="200"/>
              <w:contextualSpacing/>
              <w:rPr>
                <w:rFonts w:ascii="Times New Roman" w:hAnsi="Times New Roman" w:cs="Times New Roman"/>
                <w:sz w:val="24"/>
              </w:rPr>
            </w:pPr>
            <w:r>
              <w:rPr>
                <w:rFonts w:hint="eastAsia" w:ascii="Times New Roman" w:hAnsi="Times New Roman" w:cs="Times New Roman"/>
                <w:sz w:val="24"/>
              </w:rPr>
              <w:t>对照环评文件、环评批复和工程实际交工资料，项目实际建设未发生重大变化。</w:t>
            </w:r>
          </w:p>
          <w:p>
            <w:pPr>
              <w:pStyle w:val="4"/>
              <w:spacing w:before="0" w:after="0" w:line="360" w:lineRule="auto"/>
              <w:contextualSpacing/>
              <w:outlineLvl w:val="1"/>
              <w:rPr>
                <w:rFonts w:ascii="Times New Roman" w:hAnsi="Times New Roman" w:cs="Times New Roman"/>
              </w:rPr>
            </w:pPr>
            <w:r>
              <w:rPr>
                <w:rFonts w:hint="eastAsia" w:ascii="Times New Roman" w:hAnsi="Times New Roman" w:cs="Times New Roman"/>
              </w:rPr>
              <w:t>九、建设和试生产期间问题调查</w:t>
            </w:r>
          </w:p>
          <w:p>
            <w:pPr>
              <w:spacing w:line="360" w:lineRule="auto"/>
              <w:ind w:firstLine="480" w:firstLineChars="200"/>
              <w:contextualSpacing/>
              <w:rPr>
                <w:rFonts w:ascii="Times New Roman" w:hAnsi="Times New Roman" w:eastAsia="黑体" w:cs="Times New Roman"/>
                <w:b/>
                <w:bCs/>
                <w:sz w:val="30"/>
                <w:szCs w:val="30"/>
              </w:rPr>
            </w:pPr>
            <w:r>
              <w:rPr>
                <w:rFonts w:hint="eastAsia" w:ascii="Times New Roman" w:hAnsi="Times New Roman" w:cs="Times New Roman"/>
                <w:sz w:val="24"/>
              </w:rPr>
              <w:t>本项目在建设期间和前期生产期间不存在环保投诉及违法行政处罚问题。</w:t>
            </w:r>
          </w:p>
          <w:p>
            <w:pPr>
              <w:pStyle w:val="4"/>
              <w:spacing w:before="0" w:after="0" w:line="360" w:lineRule="auto"/>
              <w:contextualSpacing/>
              <w:outlineLvl w:val="1"/>
              <w:rPr>
                <w:rFonts w:ascii="Times New Roman" w:hAnsi="Times New Roman" w:cs="Times New Roman"/>
              </w:rPr>
            </w:pPr>
            <w:bookmarkStart w:id="47" w:name="_Toc22042"/>
            <w:r>
              <w:rPr>
                <w:rFonts w:hint="eastAsia" w:ascii="Times New Roman" w:hAnsi="Times New Roman" w:cs="Times New Roman"/>
              </w:rPr>
              <w:t>十</w:t>
            </w:r>
            <w:r>
              <w:rPr>
                <w:rFonts w:ascii="Times New Roman" w:hAnsi="Times New Roman" w:cs="Times New Roman"/>
              </w:rPr>
              <w:t>、公众意见调查</w:t>
            </w:r>
            <w:bookmarkEnd w:id="47"/>
          </w:p>
          <w:p>
            <w:pPr>
              <w:keepNext w:val="0"/>
              <w:keepLines w:val="0"/>
              <w:pageBreakBefore w:val="0"/>
              <w:widowControl/>
              <w:kinsoku/>
              <w:wordWrap w:val="0"/>
              <w:overflowPunct/>
              <w:topLinePunct/>
              <w:autoSpaceDE/>
              <w:autoSpaceDN/>
              <w:bidi w:val="0"/>
              <w:adjustRightInd/>
              <w:snapToGrid/>
              <w:spacing w:line="360" w:lineRule="auto"/>
              <w:ind w:firstLine="480" w:firstLineChars="200"/>
              <w:jc w:val="both"/>
              <w:textAlignment w:val="auto"/>
              <w:rPr>
                <w:rFonts w:hint="default" w:ascii="Times New Roman" w:hAnsi="Times New Roman" w:cs="Times New Roman" w:eastAsiaTheme="minorEastAsia"/>
                <w:sz w:val="24"/>
                <w:szCs w:val="24"/>
                <w:highlight w:val="none"/>
              </w:rPr>
            </w:pPr>
            <w:r>
              <w:rPr>
                <w:rFonts w:hint="default" w:ascii="Times New Roman" w:hAnsi="Times New Roman" w:cs="Times New Roman" w:eastAsiaTheme="minorEastAsia"/>
                <w:sz w:val="24"/>
                <w:szCs w:val="24"/>
                <w:highlight w:val="none"/>
              </w:rPr>
              <w:t>验收期间发放公众意见调查表共30份，收回</w:t>
            </w:r>
            <w:r>
              <w:rPr>
                <w:rFonts w:hint="default" w:ascii="Times New Roman" w:hAnsi="Times New Roman" w:cs="Times New Roman" w:eastAsiaTheme="minorEastAsia"/>
                <w:sz w:val="24"/>
                <w:szCs w:val="24"/>
                <w:highlight w:val="none"/>
                <w:lang w:val="en-US" w:eastAsia="zh-CN"/>
              </w:rPr>
              <w:t>30</w:t>
            </w:r>
            <w:r>
              <w:rPr>
                <w:rFonts w:hint="default" w:ascii="Times New Roman" w:hAnsi="Times New Roman" w:cs="Times New Roman" w:eastAsiaTheme="minorEastAsia"/>
                <w:sz w:val="24"/>
                <w:szCs w:val="24"/>
                <w:highlight w:val="none"/>
              </w:rPr>
              <w:t>份，有效调查表</w:t>
            </w:r>
            <w:r>
              <w:rPr>
                <w:rFonts w:hint="default" w:ascii="Times New Roman" w:hAnsi="Times New Roman" w:cs="Times New Roman" w:eastAsiaTheme="minorEastAsia"/>
                <w:sz w:val="24"/>
                <w:szCs w:val="24"/>
                <w:highlight w:val="none"/>
                <w:lang w:val="en-US" w:eastAsia="zh-CN"/>
              </w:rPr>
              <w:t>30</w:t>
            </w:r>
            <w:r>
              <w:rPr>
                <w:rFonts w:hint="default" w:ascii="Times New Roman" w:hAnsi="Times New Roman" w:cs="Times New Roman" w:eastAsiaTheme="minorEastAsia"/>
                <w:sz w:val="24"/>
                <w:szCs w:val="24"/>
                <w:highlight w:val="none"/>
              </w:rPr>
              <w:t>份。经统计对本工程环保工作表示满意和基本满意的占100%，公众意见调查情况统计见表</w:t>
            </w:r>
            <w:r>
              <w:rPr>
                <w:rFonts w:hint="eastAsia" w:cs="Times New Roman" w:eastAsiaTheme="minorEastAsia"/>
                <w:sz w:val="24"/>
                <w:szCs w:val="24"/>
                <w:highlight w:val="none"/>
                <w:lang w:val="en-US" w:eastAsia="zh-CN"/>
              </w:rPr>
              <w:t>6-12</w:t>
            </w:r>
            <w:r>
              <w:rPr>
                <w:rFonts w:hint="default" w:ascii="Times New Roman" w:hAnsi="Times New Roman" w:cs="Times New Roman" w:eastAsiaTheme="minorEastAsia"/>
                <w:sz w:val="24"/>
                <w:szCs w:val="24"/>
                <w:highlight w:val="none"/>
              </w:rPr>
              <w:t>，公众意见调查一览表</w:t>
            </w:r>
            <w:r>
              <w:rPr>
                <w:rFonts w:hint="default" w:ascii="Times New Roman" w:hAnsi="Times New Roman" w:cs="Times New Roman" w:eastAsiaTheme="minorEastAsia"/>
                <w:color w:val="auto"/>
                <w:sz w:val="24"/>
                <w:szCs w:val="24"/>
                <w:highlight w:val="none"/>
              </w:rPr>
              <w:t>见附件。</w:t>
            </w:r>
          </w:p>
          <w:p>
            <w:pPr>
              <w:keepNext w:val="0"/>
              <w:keepLines w:val="0"/>
              <w:pageBreakBefore w:val="0"/>
              <w:widowControl w:val="0"/>
              <w:kinsoku/>
              <w:wordWrap/>
              <w:overflowPunct/>
              <w:topLinePunct w:val="0"/>
              <w:autoSpaceDE/>
              <w:autoSpaceDN/>
              <w:bidi w:val="0"/>
              <w:adjustRightInd/>
              <w:snapToGrid/>
              <w:ind w:firstLine="0" w:firstLineChars="0"/>
              <w:contextualSpacing/>
              <w:jc w:val="center"/>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表</w:t>
            </w:r>
            <w:r>
              <w:rPr>
                <w:rFonts w:hint="eastAsia" w:ascii="Times New Roman" w:hAnsi="Times New Roman" w:eastAsia="宋体" w:cs="Times New Roman"/>
                <w:b/>
                <w:bCs/>
                <w:sz w:val="24"/>
                <w:szCs w:val="24"/>
                <w:lang w:val="en-US" w:eastAsia="zh-CN"/>
              </w:rPr>
              <w:t>6-1</w:t>
            </w:r>
            <w:r>
              <w:rPr>
                <w:rFonts w:hint="default" w:ascii="Times New Roman" w:hAnsi="Times New Roman" w:eastAsia="宋体" w:cs="Times New Roman"/>
                <w:b/>
                <w:bCs/>
                <w:sz w:val="24"/>
                <w:szCs w:val="24"/>
                <w:lang w:val="en-US" w:eastAsia="zh-CN"/>
              </w:rPr>
              <w:t>公众意见调查统计表</w:t>
            </w:r>
          </w:p>
          <w:tbl>
            <w:tblPr>
              <w:tblStyle w:val="2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665"/>
              <w:gridCol w:w="1665"/>
              <w:gridCol w:w="929"/>
              <w:gridCol w:w="465"/>
              <w:gridCol w:w="465"/>
              <w:gridCol w:w="929"/>
              <w:gridCol w:w="879"/>
              <w:gridCol w:w="441"/>
              <w:gridCol w:w="439"/>
              <w:gridCol w:w="88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240" w:lineRule="auto"/>
                    <w:ind w:right="0" w:rightChars="0" w:firstLine="0" w:firstLineChars="0"/>
                    <w:jc w:val="center"/>
                    <w:textAlignment w:val="auto"/>
                    <w:rPr>
                      <w:rFonts w:ascii="Times New Roman" w:hAnsi="Times New Roman"/>
                      <w:b/>
                      <w:bCs/>
                      <w:sz w:val="21"/>
                      <w:szCs w:val="21"/>
                    </w:rPr>
                  </w:pPr>
                  <w:r>
                    <w:rPr>
                      <w:rFonts w:ascii="Times New Roman" w:hAnsi="Times New Roman"/>
                      <w:b/>
                      <w:bCs/>
                      <w:sz w:val="21"/>
                      <w:szCs w:val="21"/>
                    </w:rPr>
                    <w:t>调查内容</w:t>
                  </w:r>
                </w:p>
              </w:tc>
              <w:tc>
                <w:tcPr>
                  <w:tcW w:w="6272" w:type="dxa"/>
                  <w:gridSpan w:val="8"/>
                  <w:tcBorders>
                    <w:tl2br w:val="nil"/>
                    <w:tr2bl w:val="nil"/>
                  </w:tcBorders>
                  <w:vAlign w:val="center"/>
                </w:tcPr>
                <w:p>
                  <w:pPr>
                    <w:keepNext w:val="0"/>
                    <w:keepLines w:val="0"/>
                    <w:pageBreakBefore w:val="0"/>
                    <w:widowControl w:val="0"/>
                    <w:kinsoku/>
                    <w:wordWrap w:val="0"/>
                    <w:overflowPunct/>
                    <w:topLinePunct/>
                    <w:autoSpaceDE/>
                    <w:autoSpaceDN/>
                    <w:bidi w:val="0"/>
                    <w:adjustRightInd/>
                    <w:snapToGrid/>
                    <w:spacing w:line="240" w:lineRule="auto"/>
                    <w:ind w:right="0" w:rightChars="0" w:firstLine="0" w:firstLineChars="0"/>
                    <w:jc w:val="center"/>
                    <w:textAlignment w:val="auto"/>
                    <w:rPr>
                      <w:rFonts w:ascii="Times New Roman" w:hAnsi="Times New Roman"/>
                      <w:b/>
                      <w:bCs/>
                      <w:sz w:val="21"/>
                      <w:szCs w:val="21"/>
                    </w:rPr>
                  </w:pPr>
                  <w:r>
                    <w:rPr>
                      <w:rFonts w:ascii="Times New Roman" w:hAnsi="Times New Roman"/>
                      <w:b/>
                      <w:bCs/>
                      <w:sz w:val="21"/>
                      <w:szCs w:val="21"/>
                    </w:rPr>
                    <w:t>调查结果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vMerge w:val="restart"/>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您对环保工作执行的态度</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满意</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基本满意</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不满意</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不知道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rFonts w:hint="eastAsia"/>
                      <w:bCs/>
                      <w:lang w:val="en-US" w:eastAsia="zh-CN"/>
                    </w:rPr>
                    <w:t>100</w:t>
                  </w:r>
                  <w:r>
                    <w:rPr>
                      <w:bCs/>
                    </w:rPr>
                    <w:t>%</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rFonts w:hint="eastAsia"/>
                      <w:bCs/>
                      <w:lang w:eastAsia="zh-CN"/>
                    </w:rPr>
                  </w:pPr>
                  <w:r>
                    <w:rPr>
                      <w:rFonts w:hint="eastAsia"/>
                      <w:bCs/>
                      <w:lang w:val="en-US" w:eastAsia="zh-CN"/>
                    </w:rPr>
                    <w:t>/</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vMerge w:val="restart"/>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您认为本项目</w:t>
                  </w:r>
                </w:p>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对您的主要环境影响是</w:t>
                  </w:r>
                </w:p>
              </w:tc>
              <w:tc>
                <w:tcPr>
                  <w:tcW w:w="1074"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大气污染</w:t>
                  </w:r>
                </w:p>
              </w:tc>
              <w:tc>
                <w:tcPr>
                  <w:tcW w:w="1074"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水污染</w:t>
                  </w:r>
                </w:p>
              </w:tc>
              <w:tc>
                <w:tcPr>
                  <w:tcW w:w="1074"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噪声污染</w:t>
                  </w:r>
                </w:p>
              </w:tc>
              <w:tc>
                <w:tcPr>
                  <w:tcW w:w="1016"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生态破坏</w:t>
                  </w:r>
                </w:p>
              </w:tc>
              <w:tc>
                <w:tcPr>
                  <w:tcW w:w="1016"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没有影响</w:t>
                  </w:r>
                </w:p>
              </w:tc>
              <w:tc>
                <w:tcPr>
                  <w:tcW w:w="1018"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不知道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074"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074"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074"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016"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016"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100%</w:t>
                  </w:r>
                </w:p>
              </w:tc>
              <w:tc>
                <w:tcPr>
                  <w:tcW w:w="1018" w:type="dxa"/>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23" w:type="dxa"/>
                  <w:vMerge w:val="restart"/>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本项目建设</w:t>
                  </w:r>
                </w:p>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对您的影响</w:t>
                  </w:r>
                </w:p>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主要体现在</w:t>
                  </w:r>
                </w:p>
              </w:tc>
              <w:tc>
                <w:tcPr>
                  <w:tcW w:w="1923" w:type="dxa"/>
                  <w:vMerge w:val="restart"/>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生活方面</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有正影响</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有负影响</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无影响</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不知道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23" w:type="dxa"/>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923" w:type="dxa"/>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100%</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23" w:type="dxa"/>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923" w:type="dxa"/>
                  <w:vMerge w:val="restart"/>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工作方面</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有正影响</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有负影响</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无影响</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不知道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1923" w:type="dxa"/>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923" w:type="dxa"/>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611"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100%</w:t>
                  </w:r>
                </w:p>
              </w:tc>
              <w:tc>
                <w:tcPr>
                  <w:tcW w:w="1525" w:type="dxa"/>
                  <w:gridSpan w:val="2"/>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vMerge w:val="restart"/>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如果您对本项目持反对意见，您是否向有关部门反映意见</w:t>
                  </w:r>
                </w:p>
              </w:tc>
              <w:tc>
                <w:tcPr>
                  <w:tcW w:w="3222" w:type="dxa"/>
                  <w:gridSpan w:val="4"/>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是</w:t>
                  </w:r>
                </w:p>
              </w:tc>
              <w:tc>
                <w:tcPr>
                  <w:tcW w:w="3050" w:type="dxa"/>
                  <w:gridSpan w:val="4"/>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3846" w:type="dxa"/>
                  <w:gridSpan w:val="2"/>
                  <w:vMerge w:val="continue"/>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p>
              </w:tc>
              <w:tc>
                <w:tcPr>
                  <w:tcW w:w="3222" w:type="dxa"/>
                  <w:gridSpan w:val="4"/>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c>
                <w:tcPr>
                  <w:tcW w:w="3050" w:type="dxa"/>
                  <w:gridSpan w:val="4"/>
                  <w:tcBorders>
                    <w:tl2br w:val="nil"/>
                    <w:tr2bl w:val="nil"/>
                  </w:tcBorders>
                  <w:vAlign w:val="center"/>
                </w:tcPr>
                <w:p>
                  <w:pPr>
                    <w:keepNext w:val="0"/>
                    <w:keepLines w:val="0"/>
                    <w:pageBreakBefore w:val="0"/>
                    <w:widowControl w:val="0"/>
                    <w:kinsoku/>
                    <w:overflowPunct/>
                    <w:autoSpaceDE/>
                    <w:autoSpaceDN/>
                    <w:bidi w:val="0"/>
                    <w:adjustRightInd/>
                    <w:snapToGrid/>
                    <w:ind w:right="0" w:rightChars="0"/>
                    <w:jc w:val="center"/>
                    <w:textAlignment w:val="auto"/>
                    <w:rPr>
                      <w:bCs/>
                    </w:rPr>
                  </w:pPr>
                  <w:r>
                    <w:rPr>
                      <w:bCs/>
                    </w:rPr>
                    <w:t>/</w:t>
                  </w:r>
                </w:p>
              </w:tc>
            </w:tr>
          </w:tbl>
          <w:p>
            <w:pPr>
              <w:spacing w:beforeLines="50" w:line="360" w:lineRule="auto"/>
              <w:ind w:firstLine="480" w:firstLineChars="200"/>
              <w:contextualSpacing/>
              <w:jc w:val="left"/>
              <w:rPr>
                <w:rFonts w:ascii="Times New Roman" w:hAnsi="Calibri" w:eastAsia="宋体" w:cs="Times New Roman"/>
                <w:sz w:val="24"/>
              </w:rPr>
            </w:pPr>
            <w:r>
              <w:rPr>
                <w:rFonts w:hint="default" w:ascii="Times New Roman" w:hAnsi="Times New Roman" w:cs="Times New Roman" w:eastAsiaTheme="minorEastAsia"/>
                <w:kern w:val="2"/>
                <w:sz w:val="24"/>
                <w:szCs w:val="24"/>
                <w:highlight w:val="none"/>
                <w:lang w:val="en-US" w:eastAsia="zh-CN" w:bidi="ar-SA"/>
              </w:rPr>
              <w:t>由调查结果可以看出：100%的</w:t>
            </w:r>
            <w:r>
              <w:rPr>
                <w:rFonts w:hint="eastAsia" w:ascii="Times New Roman" w:hAnsi="Times New Roman" w:cs="Times New Roman" w:eastAsiaTheme="minorEastAsia"/>
                <w:kern w:val="2"/>
                <w:sz w:val="24"/>
                <w:szCs w:val="24"/>
                <w:highlight w:val="none"/>
                <w:lang w:val="en-US" w:eastAsia="zh-CN" w:bidi="ar-SA"/>
              </w:rPr>
              <w:t>群众</w:t>
            </w:r>
            <w:r>
              <w:rPr>
                <w:rFonts w:hint="default" w:ascii="Times New Roman" w:hAnsi="Times New Roman" w:cs="Times New Roman" w:eastAsiaTheme="minorEastAsia"/>
                <w:kern w:val="2"/>
                <w:sz w:val="24"/>
                <w:szCs w:val="24"/>
                <w:highlight w:val="none"/>
                <w:lang w:val="en-US" w:eastAsia="zh-CN" w:bidi="ar-SA"/>
              </w:rPr>
              <w:t>对该项目表示满意和基本满意。该项目</w:t>
            </w:r>
            <w:r>
              <w:rPr>
                <w:rFonts w:hint="eastAsia" w:ascii="Times New Roman" w:hAnsi="Times New Roman" w:cs="Times New Roman" w:eastAsiaTheme="minorEastAsia"/>
                <w:kern w:val="2"/>
                <w:sz w:val="24"/>
                <w:szCs w:val="24"/>
                <w:highlight w:val="none"/>
                <w:lang w:val="en-US" w:eastAsia="zh-CN" w:bidi="ar-SA"/>
              </w:rPr>
              <w:t>自建成调试</w:t>
            </w:r>
            <w:r>
              <w:rPr>
                <w:rFonts w:hint="default" w:ascii="Times New Roman" w:hAnsi="Times New Roman" w:cs="Times New Roman" w:eastAsiaTheme="minorEastAsia"/>
                <w:kern w:val="2"/>
                <w:sz w:val="24"/>
                <w:szCs w:val="24"/>
                <w:highlight w:val="none"/>
                <w:lang w:val="en-US" w:eastAsia="zh-CN" w:bidi="ar-SA"/>
              </w:rPr>
              <w:t>以来，未对周围产生较大的环境污染影响，</w:t>
            </w:r>
            <w:r>
              <w:rPr>
                <w:rFonts w:hint="eastAsia" w:ascii="Times New Roman" w:hAnsi="Times New Roman" w:cs="Times New Roman" w:eastAsiaTheme="minorEastAsia"/>
                <w:kern w:val="2"/>
                <w:sz w:val="24"/>
                <w:szCs w:val="24"/>
                <w:highlight w:val="none"/>
                <w:lang w:val="en-US" w:eastAsia="zh-CN" w:bidi="ar-SA"/>
              </w:rPr>
              <w:t>无任何</w:t>
            </w:r>
            <w:r>
              <w:rPr>
                <w:rFonts w:hint="default" w:ascii="Times New Roman" w:hAnsi="Times New Roman" w:cs="Times New Roman" w:eastAsiaTheme="minorEastAsia"/>
                <w:kern w:val="2"/>
                <w:sz w:val="24"/>
                <w:szCs w:val="24"/>
                <w:highlight w:val="none"/>
                <w:lang w:val="en-US" w:eastAsia="zh-CN" w:bidi="ar-SA"/>
              </w:rPr>
              <w:t>投诉</w:t>
            </w:r>
            <w:r>
              <w:rPr>
                <w:rFonts w:hint="eastAsia" w:ascii="Times New Roman" w:hAnsi="Times New Roman" w:cs="Times New Roman"/>
                <w:kern w:val="2"/>
                <w:sz w:val="24"/>
                <w:szCs w:val="24"/>
                <w:highlight w:val="none"/>
                <w:lang w:val="en-US" w:eastAsia="zh-CN" w:bidi="ar-SA"/>
              </w:rPr>
              <w:t>。</w:t>
            </w:r>
          </w:p>
        </w:tc>
      </w:tr>
    </w:tbl>
    <w:p>
      <w:pPr>
        <w:rPr>
          <w:rFonts w:ascii="Times New Roman" w:hAnsi="Times New Roman" w:cs="Times New Roman"/>
          <w:b/>
          <w:bCs/>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Times New Roman" w:hAnsi="Times New Roman" w:cs="Times New Roman"/>
          <w:b/>
          <w:bCs/>
          <w:sz w:val="30"/>
          <w:szCs w:val="30"/>
        </w:rPr>
      </w:pPr>
      <w:r>
        <w:rPr>
          <w:rFonts w:ascii="Times New Roman" w:hAnsi="Times New Roman" w:cs="Times New Roman"/>
          <w:b/>
          <w:bCs/>
          <w:sz w:val="30"/>
          <w:szCs w:val="30"/>
        </w:rPr>
        <w:t>表七</w:t>
      </w:r>
      <w:r>
        <w:rPr>
          <w:rFonts w:hint="eastAsia" w:ascii="Times New Roman" w:hAnsi="Times New Roman" w:cs="Times New Roman"/>
          <w:b/>
          <w:bCs/>
          <w:sz w:val="30"/>
          <w:szCs w:val="30"/>
        </w:rPr>
        <w:t xml:space="preserve">                                                                  </w:t>
      </w:r>
      <w:r>
        <w:rPr>
          <w:rFonts w:ascii="Times New Roman" w:hAnsi="Times New Roman" w:cs="Times New Roman"/>
          <w:b/>
          <w:bCs/>
          <w:sz w:val="30"/>
          <w:szCs w:val="30"/>
        </w:rPr>
        <w:t>验收监测结论与建议</w:t>
      </w:r>
    </w:p>
    <w:tbl>
      <w:tblPr>
        <w:tblStyle w:val="24"/>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31" w:type="dxa"/>
          </w:tcPr>
          <w:p>
            <w:pPr>
              <w:spacing w:line="360" w:lineRule="auto"/>
              <w:contextualSpacing/>
              <w:rPr>
                <w:rFonts w:ascii="Times New Roman" w:hAnsi="Times New Roman" w:cs="Times New Roman"/>
                <w:b/>
                <w:bCs/>
                <w:sz w:val="24"/>
                <w:szCs w:val="24"/>
              </w:rPr>
            </w:pPr>
            <w:bookmarkStart w:id="48" w:name="_Toc17837"/>
            <w:r>
              <w:rPr>
                <w:rFonts w:ascii="Times New Roman" w:hAnsi="Times New Roman" w:cs="Times New Roman"/>
                <w:b/>
                <w:bCs/>
                <w:sz w:val="24"/>
                <w:szCs w:val="24"/>
              </w:rPr>
              <w:t>一、项目建设情况</w:t>
            </w:r>
            <w:bookmarkEnd w:id="48"/>
          </w:p>
          <w:p>
            <w:pPr>
              <w:spacing w:line="360" w:lineRule="auto"/>
              <w:ind w:firstLine="480" w:firstLineChars="200"/>
              <w:contextualSpacing/>
              <w:rPr>
                <w:rFonts w:ascii="Times New Roman" w:hAnsi="Times New Roman" w:cs="Times New Roman"/>
                <w:sz w:val="24"/>
              </w:rPr>
            </w:pPr>
            <w:r>
              <w:rPr>
                <w:rFonts w:hint="eastAsia" w:ascii="Times New Roman" w:hAnsi="Times New Roman" w:eastAsia="宋体" w:cs="Times New Roman"/>
                <w:b w:val="0"/>
                <w:bCs w:val="0"/>
                <w:sz w:val="24"/>
                <w:lang w:eastAsia="zh-CN"/>
              </w:rPr>
              <w:t>乐至县众诺诚注塑件项目</w:t>
            </w:r>
            <w:r>
              <w:rPr>
                <w:rFonts w:ascii="Times New Roman" w:hAnsi="Times New Roman" w:cs="Times New Roman"/>
                <w:sz w:val="24"/>
              </w:rPr>
              <w:t>执行了国家有关环境保护的法律法规，环境保护审批手续齐全，履行了环境影响评价制度，现运行正常。项目对环评报告及批复提出的环保要求和措施基本得到了落实。</w:t>
            </w:r>
          </w:p>
          <w:p>
            <w:pPr>
              <w:spacing w:line="360" w:lineRule="auto"/>
              <w:contextualSpacing/>
              <w:rPr>
                <w:rFonts w:ascii="Times New Roman" w:hAnsi="Times New Roman" w:cs="Times New Roman"/>
                <w:b/>
                <w:bCs/>
                <w:sz w:val="24"/>
                <w:szCs w:val="24"/>
              </w:rPr>
            </w:pPr>
            <w:bookmarkStart w:id="49" w:name="_Toc1179"/>
            <w:r>
              <w:rPr>
                <w:rFonts w:ascii="Times New Roman" w:hAnsi="Times New Roman" w:cs="Times New Roman"/>
                <w:b/>
                <w:bCs/>
                <w:sz w:val="24"/>
                <w:szCs w:val="24"/>
              </w:rPr>
              <w:t>二、项目验收工况</w:t>
            </w:r>
            <w:bookmarkEnd w:id="49"/>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验收监测严格按照环评及其批复文件的结论与建议进行。</w:t>
            </w:r>
          </w:p>
          <w:p>
            <w:pPr>
              <w:numPr>
                <w:ilvl w:val="0"/>
                <w:numId w:val="2"/>
              </w:num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本验收报告是针对</w:t>
            </w:r>
            <w:r>
              <w:rPr>
                <w:rFonts w:hint="eastAsia" w:ascii="Times New Roman" w:hAnsi="Times New Roman" w:cs="Times New Roman"/>
                <w:bCs/>
                <w:sz w:val="24"/>
                <w:lang w:eastAsia="zh-CN"/>
              </w:rPr>
              <w:t>2022年7月18日~19日</w:t>
            </w:r>
            <w:r>
              <w:rPr>
                <w:rFonts w:ascii="Times New Roman" w:hAnsi="Times New Roman" w:cs="Times New Roman"/>
                <w:bCs/>
                <w:sz w:val="24"/>
              </w:rPr>
              <w:t>监测期间</w:t>
            </w:r>
            <w:r>
              <w:rPr>
                <w:rFonts w:ascii="Times New Roman" w:hAnsi="Times New Roman" w:cs="Times New Roman"/>
                <w:sz w:val="24"/>
              </w:rPr>
              <w:t>的生产及环境条件下开展验收监测所得出的结论。</w:t>
            </w:r>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2、</w:t>
            </w:r>
            <w:r>
              <w:rPr>
                <w:rFonts w:hint="eastAsia" w:ascii="Times New Roman" w:hAnsi="Times New Roman" w:eastAsia="宋体" w:cs="Times New Roman"/>
                <w:bCs/>
                <w:sz w:val="24"/>
                <w:lang w:eastAsia="zh-CN"/>
              </w:rPr>
              <w:t>乐至县众诺诚注塑件项目2022年7月18日~19日</w:t>
            </w:r>
            <w:r>
              <w:rPr>
                <w:rFonts w:ascii="Times New Roman" w:hAnsi="Times New Roman" w:cs="Times New Roman"/>
                <w:sz w:val="24"/>
              </w:rPr>
              <w:t>监测期间，</w:t>
            </w:r>
            <w:r>
              <w:rPr>
                <w:rFonts w:ascii="Times New Roman" w:hAnsi="Times New Roman" w:eastAsia="宋体" w:cs="Times New Roman"/>
                <w:sz w:val="24"/>
              </w:rPr>
              <w:t>实际生产能力达到</w:t>
            </w:r>
            <w:r>
              <w:rPr>
                <w:rFonts w:ascii="Times New Roman" w:hAnsi="Times New Roman" w:cs="Times New Roman"/>
                <w:sz w:val="24"/>
              </w:rPr>
              <w:t>设计</w:t>
            </w:r>
            <w:r>
              <w:rPr>
                <w:rFonts w:ascii="Times New Roman" w:hAnsi="Times New Roman" w:cs="Times New Roman"/>
                <w:bCs/>
                <w:sz w:val="24"/>
              </w:rPr>
              <w:t>日生产规模</w:t>
            </w:r>
            <w:r>
              <w:rPr>
                <w:rFonts w:ascii="Times New Roman" w:hAnsi="Times New Roman" w:cs="Times New Roman"/>
                <w:sz w:val="24"/>
              </w:rPr>
              <w:t>的75%以上，满足验收监测条件。</w:t>
            </w:r>
          </w:p>
          <w:p>
            <w:pPr>
              <w:spacing w:line="360" w:lineRule="auto"/>
              <w:contextualSpacing/>
              <w:rPr>
                <w:rFonts w:ascii="Times New Roman" w:hAnsi="Times New Roman" w:cs="Times New Roman"/>
                <w:b/>
                <w:bCs/>
                <w:sz w:val="24"/>
                <w:szCs w:val="24"/>
              </w:rPr>
            </w:pPr>
            <w:bookmarkStart w:id="50" w:name="_Toc18859"/>
            <w:r>
              <w:rPr>
                <w:rFonts w:ascii="Times New Roman" w:hAnsi="Times New Roman" w:cs="Times New Roman"/>
                <w:b/>
                <w:bCs/>
                <w:sz w:val="24"/>
                <w:szCs w:val="24"/>
              </w:rPr>
              <w:t>三、污染物监测结论</w:t>
            </w:r>
            <w:bookmarkEnd w:id="50"/>
          </w:p>
          <w:p>
            <w:pPr>
              <w:pStyle w:val="5"/>
              <w:spacing w:before="0" w:after="0" w:line="360" w:lineRule="auto"/>
              <w:ind w:firstLine="472" w:firstLineChars="196"/>
              <w:contextualSpacing/>
              <w:outlineLvl w:val="2"/>
            </w:pPr>
            <w:r>
              <w:t>1、废气</w:t>
            </w:r>
          </w:p>
          <w:p>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lang w:eastAsia="zh-CN"/>
              </w:rPr>
              <w:t>2022年7月18日~19日</w:t>
            </w:r>
            <w:r>
              <w:rPr>
                <w:rFonts w:hint="eastAsia" w:ascii="Times New Roman" w:hAnsi="Times New Roman" w:cs="Times New Roman"/>
                <w:bCs/>
                <w:sz w:val="24"/>
              </w:rPr>
              <w:t>验收监测期间：排气筒有组织VOCs排放浓度、排放速率满足《四川省固定污染源大气挥发性有机物排放标准》（DB51/2377-2017）表3标准限值；厂界无组织排放VOCs满足《四川省固定污染源大气挥发性有机物排放标准》（DB51/2377-2017）表5中标准要求。</w:t>
            </w:r>
            <w:r>
              <w:rPr>
                <w:rFonts w:hint="eastAsia" w:ascii="Times New Roman" w:hAnsi="Times New Roman" w:cs="Times New Roman"/>
                <w:b/>
                <w:bCs/>
                <w:sz w:val="24"/>
              </w:rPr>
              <w:t>废气均能实现达标排放。</w:t>
            </w:r>
          </w:p>
          <w:p>
            <w:pPr>
              <w:pStyle w:val="5"/>
              <w:spacing w:before="0" w:after="0" w:line="360" w:lineRule="auto"/>
              <w:ind w:firstLine="472" w:firstLineChars="196"/>
              <w:contextualSpacing/>
              <w:outlineLvl w:val="2"/>
            </w:pPr>
            <w:r>
              <w:rPr>
                <w:rFonts w:hint="eastAsia"/>
              </w:rPr>
              <w:t>2、</w:t>
            </w:r>
            <w:r>
              <w:t>废水</w:t>
            </w:r>
          </w:p>
          <w:p>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lang w:eastAsia="zh-CN"/>
              </w:rPr>
              <w:t>2022年7月18日~19日</w:t>
            </w:r>
            <w:r>
              <w:rPr>
                <w:rFonts w:ascii="Times New Roman" w:hAnsi="Times New Roman" w:cs="Times New Roman"/>
                <w:bCs/>
                <w:sz w:val="24"/>
              </w:rPr>
              <w:t>验收监测期间</w:t>
            </w:r>
            <w:r>
              <w:rPr>
                <w:rFonts w:hint="eastAsia" w:ascii="Times New Roman" w:hAnsi="Times New Roman" w:cs="Times New Roman"/>
                <w:bCs/>
                <w:sz w:val="24"/>
              </w:rPr>
              <w:t>：废水监测中氨氮、总磷满足《污水排入城镇下水道水质标准》（GB/T31962-2015）表1中B级标准限值要求；其余项目满足《污水综合排放标准》（GB8978-1996）表4中三级标准限值要求。</w:t>
            </w:r>
            <w:r>
              <w:rPr>
                <w:rFonts w:hint="eastAsia" w:ascii="Times New Roman" w:hAnsi="Times New Roman" w:cs="Times New Roman"/>
                <w:b/>
                <w:bCs/>
                <w:sz w:val="24"/>
              </w:rPr>
              <w:t>废水均能实现达标排放。</w:t>
            </w:r>
          </w:p>
          <w:p>
            <w:pPr>
              <w:pStyle w:val="5"/>
              <w:spacing w:before="0" w:after="0" w:line="360" w:lineRule="auto"/>
              <w:ind w:firstLine="482" w:firstLineChars="200"/>
              <w:contextualSpacing/>
              <w:outlineLvl w:val="2"/>
            </w:pPr>
            <w:r>
              <w:rPr>
                <w:rFonts w:hint="eastAsia"/>
              </w:rPr>
              <w:t>3</w:t>
            </w:r>
            <w:r>
              <w:t>、噪声</w:t>
            </w:r>
          </w:p>
          <w:p>
            <w:pPr>
              <w:spacing w:line="360" w:lineRule="auto"/>
              <w:ind w:firstLine="480" w:firstLineChars="200"/>
              <w:contextualSpacing/>
              <w:rPr>
                <w:rFonts w:ascii="Times New Roman" w:hAnsi="Times New Roman" w:cs="Times New Roman"/>
                <w:bCs/>
                <w:sz w:val="24"/>
              </w:rPr>
            </w:pPr>
            <w:r>
              <w:rPr>
                <w:rFonts w:hint="eastAsia" w:ascii="Times New Roman" w:hAnsi="Times New Roman" w:cs="Times New Roman"/>
                <w:bCs/>
                <w:sz w:val="24"/>
                <w:lang w:eastAsia="zh-CN"/>
              </w:rPr>
              <w:t>2022年7月18日~19日</w:t>
            </w:r>
            <w:r>
              <w:rPr>
                <w:rFonts w:ascii="Times New Roman" w:hAnsi="Times New Roman" w:cs="Times New Roman"/>
                <w:bCs/>
                <w:sz w:val="24"/>
              </w:rPr>
              <w:t>验收监测期间监测点噪声</w:t>
            </w:r>
            <w:r>
              <w:rPr>
                <w:rFonts w:hint="eastAsia" w:ascii="Times New Roman" w:hAnsi="Times New Roman" w:cs="Times New Roman"/>
                <w:bCs/>
                <w:sz w:val="24"/>
                <w:lang w:eastAsia="zh-CN"/>
              </w:rPr>
              <w:t>均能满足</w:t>
            </w:r>
            <w:r>
              <w:rPr>
                <w:rFonts w:ascii="Times New Roman" w:hAnsi="Times New Roman" w:cs="Times New Roman"/>
                <w:bCs/>
                <w:sz w:val="24"/>
              </w:rPr>
              <w:t>《工业企业厂界环境噪声排放标准》（GB12348-2008）</w:t>
            </w:r>
            <w:r>
              <w:rPr>
                <w:rFonts w:hint="eastAsia" w:ascii="Times New Roman" w:hAnsi="Times New Roman" w:cs="Times New Roman"/>
                <w:bCs/>
                <w:sz w:val="24"/>
              </w:rPr>
              <w:t>3</w:t>
            </w:r>
            <w:r>
              <w:rPr>
                <w:rFonts w:ascii="Times New Roman" w:hAnsi="Times New Roman" w:cs="Times New Roman"/>
                <w:bCs/>
                <w:sz w:val="24"/>
              </w:rPr>
              <w:t>类标准限值要求</w:t>
            </w:r>
            <w:r>
              <w:rPr>
                <w:rFonts w:hint="eastAsia" w:ascii="Times New Roman" w:hAnsi="Times New Roman" w:cs="Times New Roman"/>
                <w:bCs/>
                <w:sz w:val="24"/>
              </w:rPr>
              <w:t>。</w:t>
            </w:r>
            <w:r>
              <w:rPr>
                <w:rFonts w:hint="eastAsia" w:ascii="Times New Roman" w:hAnsi="Times New Roman" w:cs="Times New Roman"/>
                <w:b/>
                <w:bCs/>
                <w:sz w:val="24"/>
                <w:lang w:eastAsia="zh-CN"/>
              </w:rPr>
              <w:t>噪声</w:t>
            </w:r>
            <w:r>
              <w:rPr>
                <w:rFonts w:hint="eastAsia" w:ascii="Times New Roman" w:hAnsi="Times New Roman" w:cs="Times New Roman"/>
                <w:b/>
                <w:bCs/>
                <w:sz w:val="24"/>
              </w:rPr>
              <w:t>均能实现达标排放。</w:t>
            </w:r>
          </w:p>
          <w:p>
            <w:pPr>
              <w:spacing w:line="360" w:lineRule="auto"/>
              <w:ind w:firstLine="482" w:firstLineChars="200"/>
              <w:contextualSpacing/>
              <w:rPr>
                <w:rFonts w:ascii="Times New Roman" w:hAnsi="Times New Roman" w:cs="Times New Roman"/>
                <w:bCs/>
                <w:sz w:val="24"/>
              </w:rPr>
            </w:pPr>
            <w:r>
              <w:rPr>
                <w:rFonts w:hint="eastAsia" w:ascii="Times New Roman" w:hAnsi="Times New Roman" w:eastAsia="宋体" w:cs="Times New Roman"/>
                <w:b/>
                <w:sz w:val="24"/>
              </w:rPr>
              <w:t>4、固体废物</w:t>
            </w:r>
          </w:p>
          <w:p>
            <w:pPr>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项目固体废物分类收集</w:t>
            </w:r>
            <w:r>
              <w:rPr>
                <w:rFonts w:hint="eastAsia" w:ascii="Times New Roman" w:hAnsi="Times New Roman" w:eastAsia="宋体" w:cs="Times New Roman"/>
                <w:sz w:val="24"/>
              </w:rPr>
              <w:t>，</w:t>
            </w:r>
            <w:r>
              <w:rPr>
                <w:rFonts w:ascii="Times New Roman" w:hAnsi="Times New Roman" w:eastAsia="宋体" w:cs="Times New Roman"/>
                <w:sz w:val="24"/>
              </w:rPr>
              <w:t>均妥善处置，去向明确</w:t>
            </w:r>
            <w:r>
              <w:rPr>
                <w:rFonts w:hint="eastAsia" w:ascii="Times New Roman" w:hAnsi="Times New Roman" w:eastAsia="宋体" w:cs="Times New Roman"/>
                <w:sz w:val="24"/>
              </w:rPr>
              <w:t>。</w:t>
            </w:r>
          </w:p>
          <w:p>
            <w:pPr>
              <w:spacing w:line="360" w:lineRule="auto"/>
              <w:contextualSpacing/>
              <w:rPr>
                <w:rFonts w:ascii="Times New Roman" w:hAnsi="Times New Roman" w:cs="Times New Roman"/>
                <w:b/>
                <w:bCs/>
                <w:sz w:val="24"/>
                <w:szCs w:val="24"/>
              </w:rPr>
            </w:pPr>
            <w:bookmarkStart w:id="51" w:name="_Toc7750"/>
            <w:r>
              <w:rPr>
                <w:rFonts w:ascii="Times New Roman" w:hAnsi="Times New Roman" w:cs="Times New Roman"/>
                <w:b/>
                <w:bCs/>
                <w:sz w:val="24"/>
                <w:szCs w:val="24"/>
              </w:rPr>
              <w:t>四、公众意见调查</w:t>
            </w:r>
            <w:bookmarkEnd w:id="51"/>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公众意见调查结果表明，被调查对象对该项目均持支持态度，对</w:t>
            </w:r>
            <w:r>
              <w:rPr>
                <w:rFonts w:hint="eastAsia" w:ascii="Times New Roman" w:hAnsi="Times New Roman" w:cs="Times New Roman"/>
                <w:sz w:val="24"/>
              </w:rPr>
              <w:t>本项目的环境保护工作持比较满意态度。</w:t>
            </w:r>
          </w:p>
          <w:p>
            <w:pPr>
              <w:spacing w:line="360" w:lineRule="auto"/>
              <w:contextualSpacing/>
              <w:rPr>
                <w:rFonts w:ascii="Times New Roman" w:hAnsi="Times New Roman" w:cs="Times New Roman"/>
                <w:b/>
                <w:bCs/>
                <w:sz w:val="24"/>
                <w:szCs w:val="24"/>
              </w:rPr>
            </w:pPr>
            <w:bookmarkStart w:id="52" w:name="_Toc15605"/>
            <w:r>
              <w:rPr>
                <w:rFonts w:ascii="Times New Roman" w:hAnsi="Times New Roman" w:cs="Times New Roman"/>
                <w:b/>
                <w:bCs/>
                <w:sz w:val="24"/>
                <w:szCs w:val="24"/>
              </w:rPr>
              <w:t>五、环境管理检查</w:t>
            </w:r>
            <w:bookmarkEnd w:id="52"/>
          </w:p>
          <w:p>
            <w:pPr>
              <w:spacing w:line="360" w:lineRule="auto"/>
              <w:ind w:firstLine="480" w:firstLineChars="200"/>
              <w:contextualSpacing/>
              <w:rPr>
                <w:rFonts w:ascii="Times New Roman" w:hAnsi="Times New Roman" w:cs="Times New Roman"/>
                <w:sz w:val="24"/>
              </w:rPr>
            </w:pPr>
            <w:r>
              <w:rPr>
                <w:rFonts w:ascii="Times New Roman" w:hAnsi="Times New Roman" w:cs="Times New Roman"/>
                <w:sz w:val="24"/>
              </w:rPr>
              <w:t>项目环保审批手续完备，配套的各项环保设施已建成并运行正常。项目排污口均达到相关环保要求。项目制定了相应的事故防范措施及企业环保管理制度。</w:t>
            </w:r>
          </w:p>
          <w:p>
            <w:pPr>
              <w:spacing w:line="360" w:lineRule="auto"/>
              <w:contextualSpacing/>
              <w:rPr>
                <w:rFonts w:ascii="Times New Roman" w:hAnsi="Times New Roman" w:cs="Times New Roman"/>
                <w:b/>
                <w:bCs/>
                <w:sz w:val="24"/>
                <w:szCs w:val="24"/>
              </w:rPr>
            </w:pPr>
            <w:bookmarkStart w:id="53" w:name="_Toc31859"/>
            <w:r>
              <w:rPr>
                <w:rFonts w:hint="eastAsia" w:ascii="Times New Roman" w:hAnsi="Times New Roman" w:cs="Times New Roman"/>
                <w:b/>
                <w:bCs/>
                <w:sz w:val="24"/>
                <w:szCs w:val="24"/>
              </w:rPr>
              <w:t>六</w:t>
            </w:r>
            <w:r>
              <w:rPr>
                <w:rFonts w:ascii="Times New Roman" w:hAnsi="Times New Roman" w:cs="Times New Roman"/>
                <w:b/>
                <w:bCs/>
                <w:sz w:val="24"/>
                <w:szCs w:val="24"/>
              </w:rPr>
              <w:t>、结论</w:t>
            </w:r>
            <w:bookmarkEnd w:id="53"/>
          </w:p>
          <w:p>
            <w:pPr>
              <w:pStyle w:val="30"/>
              <w:spacing w:after="0" w:line="360" w:lineRule="auto"/>
              <w:ind w:firstLine="480"/>
              <w:contextualSpacing/>
              <w:rPr>
                <w:rFonts w:ascii="Times New Roman" w:hAnsi="Times New Roman" w:cs="Times New Roman"/>
              </w:rPr>
            </w:pPr>
            <w:r>
              <w:rPr>
                <w:rFonts w:hint="eastAsia" w:ascii="Times New Roman" w:hAnsi="Times New Roman" w:eastAsia="宋体" w:cs="Times New Roman"/>
                <w:bCs/>
                <w:lang w:eastAsia="zh-CN"/>
              </w:rPr>
              <w:t>乐至县众诺诚注塑件项目</w:t>
            </w:r>
            <w:r>
              <w:rPr>
                <w:rFonts w:ascii="Times New Roman" w:hAnsi="Times New Roman" w:cs="Times New Roman"/>
              </w:rPr>
              <w:t>在建设过程中执行了环境影响评价法。验收监测期间，项目废水</w:t>
            </w:r>
            <w:r>
              <w:rPr>
                <w:rFonts w:hint="eastAsia" w:ascii="Times New Roman" w:hAnsi="Times New Roman" w:cs="Times New Roman"/>
              </w:rPr>
              <w:t>、</w:t>
            </w:r>
            <w:r>
              <w:rPr>
                <w:rFonts w:ascii="Times New Roman" w:hAnsi="Times New Roman" w:cs="Times New Roman"/>
              </w:rPr>
              <w:t>废气</w:t>
            </w:r>
            <w:r>
              <w:rPr>
                <w:rFonts w:hint="eastAsia" w:ascii="Times New Roman" w:hAnsi="Times New Roman" w:cs="Times New Roman"/>
              </w:rPr>
              <w:t>、</w:t>
            </w:r>
            <w:r>
              <w:rPr>
                <w:rFonts w:ascii="Times New Roman" w:hAnsi="Times New Roman" w:cs="Times New Roman"/>
              </w:rPr>
              <w:t>噪声均实现达标排放</w:t>
            </w:r>
            <w:r>
              <w:rPr>
                <w:rFonts w:hint="eastAsia" w:ascii="Times New Roman" w:hAnsi="Times New Roman" w:cs="Times New Roman"/>
              </w:rPr>
              <w:t>，</w:t>
            </w:r>
            <w:r>
              <w:rPr>
                <w:rFonts w:ascii="Times New Roman" w:hAnsi="Times New Roman" w:cs="Times New Roman"/>
              </w:rPr>
              <w:t>固废项目固体废物分类收集</w:t>
            </w:r>
            <w:r>
              <w:rPr>
                <w:rFonts w:hint="eastAsia" w:ascii="Times New Roman" w:hAnsi="Times New Roman" w:cs="Times New Roman"/>
              </w:rPr>
              <w:t>、</w:t>
            </w:r>
            <w:r>
              <w:rPr>
                <w:rFonts w:ascii="Times New Roman" w:hAnsi="Times New Roman" w:cs="Times New Roman"/>
              </w:rPr>
              <w:t>均妥善处置去向明确；项目建有环保管理规章制度和事故防范措施；周围民众对该项目持满意和较满意人数占100％</w:t>
            </w:r>
            <w:r>
              <w:rPr>
                <w:rFonts w:hint="eastAsia" w:ascii="Times New Roman" w:hAnsi="Times New Roman" w:cs="Times New Roman"/>
              </w:rPr>
              <w:t>，</w:t>
            </w:r>
            <w:r>
              <w:rPr>
                <w:rFonts w:ascii="Times New Roman" w:hAnsi="Times New Roman" w:cs="Times New Roman"/>
              </w:rPr>
              <w:t>实际建设</w:t>
            </w:r>
            <w:r>
              <w:rPr>
                <w:rFonts w:hint="eastAsia" w:ascii="Times New Roman" w:hAnsi="Times New Roman" w:cs="Times New Roman"/>
              </w:rPr>
              <w:t>无</w:t>
            </w:r>
            <w:r>
              <w:rPr>
                <w:rFonts w:ascii="Times New Roman" w:hAnsi="Times New Roman" w:cs="Times New Roman"/>
              </w:rPr>
              <w:t>重</w:t>
            </w:r>
            <w:r>
              <w:rPr>
                <w:rFonts w:hint="eastAsia" w:ascii="Times New Roman" w:hAnsi="Times New Roman" w:cs="Times New Roman"/>
              </w:rPr>
              <w:t>大</w:t>
            </w:r>
            <w:r>
              <w:rPr>
                <w:rFonts w:ascii="Times New Roman" w:hAnsi="Times New Roman" w:cs="Times New Roman"/>
              </w:rPr>
              <w:t>变化</w:t>
            </w:r>
            <w:r>
              <w:rPr>
                <w:rFonts w:hint="eastAsia" w:ascii="Times New Roman" w:hAnsi="Times New Roman" w:cs="Times New Roman"/>
              </w:rPr>
              <w:t>，</w:t>
            </w:r>
            <w:r>
              <w:rPr>
                <w:rFonts w:ascii="Times New Roman" w:hAnsi="Times New Roman" w:cs="Times New Roman"/>
              </w:rPr>
              <w:t>建议通过本项目竣工环境保护验收。</w:t>
            </w:r>
          </w:p>
          <w:p>
            <w:pPr>
              <w:spacing w:line="360" w:lineRule="auto"/>
              <w:contextualSpacing/>
              <w:rPr>
                <w:rFonts w:hint="eastAsia" w:ascii="Times New Roman" w:hAnsi="Times New Roman" w:cs="Times New Roman"/>
                <w:b/>
                <w:bCs/>
                <w:sz w:val="24"/>
                <w:szCs w:val="24"/>
              </w:rPr>
            </w:pPr>
            <w:bookmarkStart w:id="54" w:name="_Toc26376"/>
            <w:r>
              <w:rPr>
                <w:rFonts w:hint="eastAsia" w:ascii="Times New Roman" w:hAnsi="Times New Roman" w:cs="Times New Roman"/>
                <w:b/>
                <w:bCs/>
                <w:sz w:val="24"/>
                <w:szCs w:val="24"/>
              </w:rPr>
              <w:t>七、主要建议</w:t>
            </w:r>
            <w:bookmarkEnd w:id="54"/>
          </w:p>
          <w:p>
            <w:pPr>
              <w:pStyle w:val="30"/>
              <w:spacing w:after="0" w:line="360" w:lineRule="auto"/>
              <w:ind w:firstLine="480"/>
              <w:contextualSpacing/>
              <w:rPr>
                <w:rFonts w:hint="eastAsia" w:ascii="Times New Roman" w:hAnsi="Times New Roman" w:eastAsia="宋体" w:cs="Times New Roman"/>
                <w:bCs/>
                <w:lang w:eastAsia="zh-CN"/>
              </w:rPr>
            </w:pPr>
            <w:r>
              <w:rPr>
                <w:rFonts w:hint="eastAsia" w:ascii="Times New Roman" w:hAnsi="Times New Roman" w:eastAsia="宋体" w:cs="Times New Roman"/>
                <w:bCs/>
                <w:lang w:eastAsia="zh-CN"/>
              </w:rPr>
              <w:t>（1）加强各项环境管理制度的落实和环保设施的定期检查及维护，确保各项污染物长期、稳定达标排放.</w:t>
            </w:r>
          </w:p>
          <w:p>
            <w:pPr>
              <w:pStyle w:val="30"/>
              <w:spacing w:after="0" w:line="360" w:lineRule="auto"/>
              <w:ind w:firstLine="480"/>
              <w:contextualSpacing/>
              <w:rPr>
                <w:rFonts w:hint="eastAsia" w:ascii="Times New Roman" w:hAnsi="Times New Roman" w:eastAsia="宋体" w:cs="Times New Roman"/>
                <w:bCs/>
                <w:lang w:eastAsia="zh-CN"/>
              </w:rPr>
            </w:pPr>
            <w:r>
              <w:rPr>
                <w:rFonts w:hint="eastAsia" w:ascii="Times New Roman" w:hAnsi="Times New Roman" w:eastAsia="宋体" w:cs="Times New Roman"/>
                <w:bCs/>
                <w:lang w:eastAsia="zh-CN"/>
              </w:rPr>
              <w:t>（2）加强各项环境管理制度的落实并做好环保设施的定期检查和维护，确保各项污染物长期、稳定达标排放；</w:t>
            </w:r>
          </w:p>
          <w:p>
            <w:pPr>
              <w:pStyle w:val="30"/>
              <w:spacing w:after="0" w:line="360" w:lineRule="auto"/>
              <w:ind w:firstLine="480"/>
              <w:contextualSpacing/>
              <w:rPr>
                <w:rFonts w:hint="eastAsia" w:ascii="Times New Roman" w:hAnsi="Times New Roman" w:eastAsia="宋体" w:cs="Times New Roman"/>
                <w:bCs/>
                <w:lang w:eastAsia="zh-CN"/>
              </w:rPr>
            </w:pPr>
            <w:r>
              <w:rPr>
                <w:rFonts w:hint="eastAsia" w:ascii="Times New Roman" w:hAnsi="Times New Roman" w:eastAsia="宋体" w:cs="Times New Roman"/>
                <w:bCs/>
                <w:lang w:eastAsia="zh-CN"/>
              </w:rPr>
              <w:t>（3）加强教育，提高员工的环境与安全意识。</w:t>
            </w:r>
          </w:p>
          <w:p>
            <w:pPr>
              <w:pStyle w:val="30"/>
              <w:spacing w:after="0" w:line="360" w:lineRule="auto"/>
              <w:ind w:firstLine="480"/>
              <w:contextualSpacing/>
              <w:rPr>
                <w:rFonts w:ascii="Times New Roman" w:hAnsi="Times New Roman" w:cs="Times New Roman"/>
                <w:sz w:val="24"/>
              </w:rPr>
            </w:pPr>
            <w:r>
              <w:rPr>
                <w:rFonts w:hint="eastAsia" w:ascii="Times New Roman" w:hAnsi="Times New Roman" w:eastAsia="宋体" w:cs="Times New Roman"/>
                <w:bCs/>
                <w:lang w:eastAsia="zh-CN"/>
              </w:rPr>
              <w:t>（4）加强对危废的管理，做好“防雨、防渗、防流失”三防管理，填写转运五联单。</w:t>
            </w:r>
          </w:p>
        </w:tc>
      </w:tr>
    </w:tbl>
    <w:p>
      <w:pPr>
        <w:rPr>
          <w:rFonts w:ascii="Times New Roman" w:hAnsi="Times New Roman" w:cs="Times New Roman"/>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昆仑仿宋">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文本框 2" o:spid="_x0000_s1025" o:spt="202" type="#_x0000_t202" style="position:absolute;left:0pt;margin-top:0pt;height:12.8pt;width:5.35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">
          <v:path/>
          <v:fill on="f" focussize="0,0"/>
          <v:stroke on="f" weight="0.5pt" joinstyle="miter"/>
          <v:imagedata o:title=""/>
          <o:lock v:ext="edit"/>
          <v:textbox inset="0mm,0mm,0mm,0mm" style="mso-fit-shape-to-text:t;">
            <w:txbxContent>
              <w:p>
                <w:pPr>
                  <w:pStyle w:val="16"/>
                </w:pPr>
                <w:r>
                  <w:fldChar w:fldCharType="begin"/>
                </w:r>
                <w:r>
                  <w:instrText xml:space="preserve"> PAGE  \* MERGEFORMAT </w:instrText>
                </w:r>
                <w:r>
                  <w:fldChar w:fldCharType="separate"/>
                </w:r>
                <w:r>
                  <w:t>23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2"/>
      </w:pBdr>
      <w:jc w:val="center"/>
    </w:pPr>
    <w:r>
      <w:rPr>
        <w:rFonts w:hint="eastAsia" w:ascii="Calibri" w:hAnsi="Calibri" w:eastAsia="宋体" w:cs="Times New Roman"/>
        <w:bCs/>
        <w:lang w:eastAsia="zh-CN"/>
      </w:rPr>
      <w:t>资阳众诺诚塑料制品有限责任公司乐至县众诺诚注塑件项目</w:t>
    </w:r>
    <w:r>
      <w:rPr>
        <w:rFonts w:hint="eastAsia"/>
      </w:rPr>
      <w:t>竣工环境保护验收监测报告表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E3225"/>
    <w:multiLevelType w:val="singleLevel"/>
    <w:tmpl w:val="A0EE3225"/>
    <w:lvl w:ilvl="0" w:tentative="0">
      <w:start w:val="5"/>
      <w:numFmt w:val="decimal"/>
      <w:suff w:val="nothing"/>
      <w:lvlText w:val="（%1）"/>
      <w:lvlJc w:val="left"/>
    </w:lvl>
  </w:abstractNum>
  <w:abstractNum w:abstractNumId="1">
    <w:nsid w:val="5A3A27F8"/>
    <w:multiLevelType w:val="singleLevel"/>
    <w:tmpl w:val="5A3A27F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ZWIzNzdiMGYxNzc1M2VlNWQwN2I1OTMwMzk0YjA4OGQifQ=="/>
  </w:docVars>
  <w:rsids>
    <w:rsidRoot w:val="11E47814"/>
    <w:rsid w:val="00000075"/>
    <w:rsid w:val="00000145"/>
    <w:rsid w:val="00000304"/>
    <w:rsid w:val="000004FC"/>
    <w:rsid w:val="00000731"/>
    <w:rsid w:val="000008E4"/>
    <w:rsid w:val="00000A52"/>
    <w:rsid w:val="00000BFA"/>
    <w:rsid w:val="00000C7B"/>
    <w:rsid w:val="00001069"/>
    <w:rsid w:val="000010E2"/>
    <w:rsid w:val="00001C19"/>
    <w:rsid w:val="000029C2"/>
    <w:rsid w:val="00002CE1"/>
    <w:rsid w:val="0000342A"/>
    <w:rsid w:val="00003514"/>
    <w:rsid w:val="0000360A"/>
    <w:rsid w:val="00003A06"/>
    <w:rsid w:val="00003AF7"/>
    <w:rsid w:val="00003D92"/>
    <w:rsid w:val="00003F36"/>
    <w:rsid w:val="00004234"/>
    <w:rsid w:val="0000448A"/>
    <w:rsid w:val="00004BF7"/>
    <w:rsid w:val="00004CBB"/>
    <w:rsid w:val="00005266"/>
    <w:rsid w:val="00005B6D"/>
    <w:rsid w:val="00006808"/>
    <w:rsid w:val="00006B03"/>
    <w:rsid w:val="00006DF3"/>
    <w:rsid w:val="00007062"/>
    <w:rsid w:val="000073BB"/>
    <w:rsid w:val="00007A1D"/>
    <w:rsid w:val="000103A9"/>
    <w:rsid w:val="000104B7"/>
    <w:rsid w:val="00010694"/>
    <w:rsid w:val="00010B79"/>
    <w:rsid w:val="00010B9A"/>
    <w:rsid w:val="00011467"/>
    <w:rsid w:val="0001177D"/>
    <w:rsid w:val="00011915"/>
    <w:rsid w:val="00012492"/>
    <w:rsid w:val="000125B9"/>
    <w:rsid w:val="00012757"/>
    <w:rsid w:val="000129DD"/>
    <w:rsid w:val="00012DEB"/>
    <w:rsid w:val="000131BB"/>
    <w:rsid w:val="000131E1"/>
    <w:rsid w:val="000135D1"/>
    <w:rsid w:val="00013E80"/>
    <w:rsid w:val="00015388"/>
    <w:rsid w:val="00015956"/>
    <w:rsid w:val="00016222"/>
    <w:rsid w:val="000162F7"/>
    <w:rsid w:val="000164A5"/>
    <w:rsid w:val="00016C16"/>
    <w:rsid w:val="000170BB"/>
    <w:rsid w:val="00017803"/>
    <w:rsid w:val="000179FE"/>
    <w:rsid w:val="00017ED9"/>
    <w:rsid w:val="0002050B"/>
    <w:rsid w:val="00020985"/>
    <w:rsid w:val="00020A95"/>
    <w:rsid w:val="00020A98"/>
    <w:rsid w:val="00021DBE"/>
    <w:rsid w:val="00021EB3"/>
    <w:rsid w:val="00022624"/>
    <w:rsid w:val="000227AF"/>
    <w:rsid w:val="00022DF0"/>
    <w:rsid w:val="00023024"/>
    <w:rsid w:val="000232A0"/>
    <w:rsid w:val="00023520"/>
    <w:rsid w:val="000235F0"/>
    <w:rsid w:val="00023680"/>
    <w:rsid w:val="000236EA"/>
    <w:rsid w:val="00023782"/>
    <w:rsid w:val="00023BEC"/>
    <w:rsid w:val="00024FBC"/>
    <w:rsid w:val="00025D41"/>
    <w:rsid w:val="00026CF6"/>
    <w:rsid w:val="00026F8F"/>
    <w:rsid w:val="00027079"/>
    <w:rsid w:val="000300C5"/>
    <w:rsid w:val="00030E9B"/>
    <w:rsid w:val="00031137"/>
    <w:rsid w:val="00031AD5"/>
    <w:rsid w:val="00032085"/>
    <w:rsid w:val="000323FE"/>
    <w:rsid w:val="000324CF"/>
    <w:rsid w:val="00032601"/>
    <w:rsid w:val="00032954"/>
    <w:rsid w:val="00032B7F"/>
    <w:rsid w:val="000330FF"/>
    <w:rsid w:val="0003324C"/>
    <w:rsid w:val="0003333C"/>
    <w:rsid w:val="00033443"/>
    <w:rsid w:val="00033953"/>
    <w:rsid w:val="00033BBA"/>
    <w:rsid w:val="00033E0A"/>
    <w:rsid w:val="0003419A"/>
    <w:rsid w:val="000342FE"/>
    <w:rsid w:val="00034629"/>
    <w:rsid w:val="00034A68"/>
    <w:rsid w:val="00034C82"/>
    <w:rsid w:val="000350F5"/>
    <w:rsid w:val="00035347"/>
    <w:rsid w:val="00035363"/>
    <w:rsid w:val="00035A6B"/>
    <w:rsid w:val="00035C44"/>
    <w:rsid w:val="00035E9E"/>
    <w:rsid w:val="00036515"/>
    <w:rsid w:val="000368EA"/>
    <w:rsid w:val="00036A65"/>
    <w:rsid w:val="00036C18"/>
    <w:rsid w:val="00036F9D"/>
    <w:rsid w:val="00037776"/>
    <w:rsid w:val="000377ED"/>
    <w:rsid w:val="0003792C"/>
    <w:rsid w:val="000404CF"/>
    <w:rsid w:val="00040CA6"/>
    <w:rsid w:val="0004100A"/>
    <w:rsid w:val="0004111A"/>
    <w:rsid w:val="0004114E"/>
    <w:rsid w:val="000413AE"/>
    <w:rsid w:val="000414DA"/>
    <w:rsid w:val="000417EE"/>
    <w:rsid w:val="00041E28"/>
    <w:rsid w:val="00041E33"/>
    <w:rsid w:val="0004298F"/>
    <w:rsid w:val="00042A0D"/>
    <w:rsid w:val="00042B5C"/>
    <w:rsid w:val="00042BD7"/>
    <w:rsid w:val="00042D96"/>
    <w:rsid w:val="00042EF2"/>
    <w:rsid w:val="000434F2"/>
    <w:rsid w:val="00043FF7"/>
    <w:rsid w:val="000440FB"/>
    <w:rsid w:val="00044208"/>
    <w:rsid w:val="0004473C"/>
    <w:rsid w:val="000450D4"/>
    <w:rsid w:val="000450F3"/>
    <w:rsid w:val="00045192"/>
    <w:rsid w:val="0004519F"/>
    <w:rsid w:val="00045887"/>
    <w:rsid w:val="00045C07"/>
    <w:rsid w:val="00045D24"/>
    <w:rsid w:val="000466D0"/>
    <w:rsid w:val="000469B7"/>
    <w:rsid w:val="00046C8E"/>
    <w:rsid w:val="0004728D"/>
    <w:rsid w:val="00047593"/>
    <w:rsid w:val="000501A9"/>
    <w:rsid w:val="000508C4"/>
    <w:rsid w:val="00050932"/>
    <w:rsid w:val="00050B5E"/>
    <w:rsid w:val="00050C59"/>
    <w:rsid w:val="00050D9A"/>
    <w:rsid w:val="000514EF"/>
    <w:rsid w:val="0005159F"/>
    <w:rsid w:val="00051662"/>
    <w:rsid w:val="00051849"/>
    <w:rsid w:val="00051E31"/>
    <w:rsid w:val="00052067"/>
    <w:rsid w:val="00052A40"/>
    <w:rsid w:val="00052FA5"/>
    <w:rsid w:val="000534BC"/>
    <w:rsid w:val="00054206"/>
    <w:rsid w:val="00054928"/>
    <w:rsid w:val="00054B2A"/>
    <w:rsid w:val="00054C4A"/>
    <w:rsid w:val="00054E22"/>
    <w:rsid w:val="00054EB1"/>
    <w:rsid w:val="00055372"/>
    <w:rsid w:val="00055810"/>
    <w:rsid w:val="00055C76"/>
    <w:rsid w:val="0005637D"/>
    <w:rsid w:val="00056553"/>
    <w:rsid w:val="00056BF8"/>
    <w:rsid w:val="00056C76"/>
    <w:rsid w:val="00056F50"/>
    <w:rsid w:val="0005712B"/>
    <w:rsid w:val="0005736A"/>
    <w:rsid w:val="000575C1"/>
    <w:rsid w:val="000576FF"/>
    <w:rsid w:val="00057930"/>
    <w:rsid w:val="00057A47"/>
    <w:rsid w:val="00057D6E"/>
    <w:rsid w:val="00060137"/>
    <w:rsid w:val="00060656"/>
    <w:rsid w:val="00060843"/>
    <w:rsid w:val="00060B16"/>
    <w:rsid w:val="0006132A"/>
    <w:rsid w:val="00061DCE"/>
    <w:rsid w:val="000622C2"/>
    <w:rsid w:val="000625B7"/>
    <w:rsid w:val="0006280D"/>
    <w:rsid w:val="0006293D"/>
    <w:rsid w:val="00062A1D"/>
    <w:rsid w:val="00062A6A"/>
    <w:rsid w:val="00062D36"/>
    <w:rsid w:val="00063147"/>
    <w:rsid w:val="000635B5"/>
    <w:rsid w:val="00063B29"/>
    <w:rsid w:val="00063C16"/>
    <w:rsid w:val="00063D9A"/>
    <w:rsid w:val="0006415C"/>
    <w:rsid w:val="000645C7"/>
    <w:rsid w:val="00064788"/>
    <w:rsid w:val="00064CE6"/>
    <w:rsid w:val="0006503B"/>
    <w:rsid w:val="00065183"/>
    <w:rsid w:val="000651C0"/>
    <w:rsid w:val="000651E8"/>
    <w:rsid w:val="0006528D"/>
    <w:rsid w:val="00065893"/>
    <w:rsid w:val="00066369"/>
    <w:rsid w:val="00066448"/>
    <w:rsid w:val="00066956"/>
    <w:rsid w:val="000678A0"/>
    <w:rsid w:val="000679A5"/>
    <w:rsid w:val="00067F0C"/>
    <w:rsid w:val="00070391"/>
    <w:rsid w:val="000706E2"/>
    <w:rsid w:val="000708F7"/>
    <w:rsid w:val="0007183E"/>
    <w:rsid w:val="0007281B"/>
    <w:rsid w:val="00073211"/>
    <w:rsid w:val="00073358"/>
    <w:rsid w:val="000738D7"/>
    <w:rsid w:val="00073E0A"/>
    <w:rsid w:val="0007408D"/>
    <w:rsid w:val="0007413D"/>
    <w:rsid w:val="000743C9"/>
    <w:rsid w:val="000743EF"/>
    <w:rsid w:val="00074549"/>
    <w:rsid w:val="000748B8"/>
    <w:rsid w:val="00074A19"/>
    <w:rsid w:val="00074FE2"/>
    <w:rsid w:val="00075071"/>
    <w:rsid w:val="000750A5"/>
    <w:rsid w:val="000752B9"/>
    <w:rsid w:val="000753D9"/>
    <w:rsid w:val="00075460"/>
    <w:rsid w:val="000754EF"/>
    <w:rsid w:val="00075666"/>
    <w:rsid w:val="000758B7"/>
    <w:rsid w:val="000758E3"/>
    <w:rsid w:val="00075A7A"/>
    <w:rsid w:val="00075AEC"/>
    <w:rsid w:val="00075D86"/>
    <w:rsid w:val="00075F80"/>
    <w:rsid w:val="000770E3"/>
    <w:rsid w:val="00077AD2"/>
    <w:rsid w:val="00077FE8"/>
    <w:rsid w:val="00080EEE"/>
    <w:rsid w:val="000812D4"/>
    <w:rsid w:val="00081491"/>
    <w:rsid w:val="000819FD"/>
    <w:rsid w:val="00081F67"/>
    <w:rsid w:val="00082134"/>
    <w:rsid w:val="000826CF"/>
    <w:rsid w:val="0008413E"/>
    <w:rsid w:val="000843DD"/>
    <w:rsid w:val="0008496F"/>
    <w:rsid w:val="00084C67"/>
    <w:rsid w:val="00084D59"/>
    <w:rsid w:val="00084F8C"/>
    <w:rsid w:val="00086185"/>
    <w:rsid w:val="000865C0"/>
    <w:rsid w:val="00087508"/>
    <w:rsid w:val="00087A55"/>
    <w:rsid w:val="00087BF7"/>
    <w:rsid w:val="00087DA9"/>
    <w:rsid w:val="0009025E"/>
    <w:rsid w:val="000906C4"/>
    <w:rsid w:val="00090831"/>
    <w:rsid w:val="00090E96"/>
    <w:rsid w:val="0009160A"/>
    <w:rsid w:val="000916DE"/>
    <w:rsid w:val="000918F5"/>
    <w:rsid w:val="00091CFD"/>
    <w:rsid w:val="00092494"/>
    <w:rsid w:val="00092A50"/>
    <w:rsid w:val="000933A5"/>
    <w:rsid w:val="00093956"/>
    <w:rsid w:val="00093CC5"/>
    <w:rsid w:val="000941CD"/>
    <w:rsid w:val="00094373"/>
    <w:rsid w:val="0009444E"/>
    <w:rsid w:val="00094B34"/>
    <w:rsid w:val="00095439"/>
    <w:rsid w:val="00095480"/>
    <w:rsid w:val="000957D5"/>
    <w:rsid w:val="00095B5C"/>
    <w:rsid w:val="00095DEF"/>
    <w:rsid w:val="00095F1A"/>
    <w:rsid w:val="00095F26"/>
    <w:rsid w:val="0009620A"/>
    <w:rsid w:val="000964E9"/>
    <w:rsid w:val="00096E5B"/>
    <w:rsid w:val="00096F84"/>
    <w:rsid w:val="0009732E"/>
    <w:rsid w:val="0009739B"/>
    <w:rsid w:val="000976D6"/>
    <w:rsid w:val="00097840"/>
    <w:rsid w:val="00097841"/>
    <w:rsid w:val="0009793D"/>
    <w:rsid w:val="00097EDE"/>
    <w:rsid w:val="000A05BA"/>
    <w:rsid w:val="000A0E1A"/>
    <w:rsid w:val="000A11C2"/>
    <w:rsid w:val="000A16D8"/>
    <w:rsid w:val="000A1987"/>
    <w:rsid w:val="000A1A50"/>
    <w:rsid w:val="000A2401"/>
    <w:rsid w:val="000A2667"/>
    <w:rsid w:val="000A27FE"/>
    <w:rsid w:val="000A2AB2"/>
    <w:rsid w:val="000A352D"/>
    <w:rsid w:val="000A36C0"/>
    <w:rsid w:val="000A36CA"/>
    <w:rsid w:val="000A3993"/>
    <w:rsid w:val="000A3CF6"/>
    <w:rsid w:val="000A3E31"/>
    <w:rsid w:val="000A3FDB"/>
    <w:rsid w:val="000A44C1"/>
    <w:rsid w:val="000A50C7"/>
    <w:rsid w:val="000A6F9B"/>
    <w:rsid w:val="000A73F8"/>
    <w:rsid w:val="000A78AD"/>
    <w:rsid w:val="000A7F75"/>
    <w:rsid w:val="000B02B4"/>
    <w:rsid w:val="000B03E3"/>
    <w:rsid w:val="000B0A56"/>
    <w:rsid w:val="000B0E49"/>
    <w:rsid w:val="000B0EA6"/>
    <w:rsid w:val="000B0F3E"/>
    <w:rsid w:val="000B10A2"/>
    <w:rsid w:val="000B13BE"/>
    <w:rsid w:val="000B18D8"/>
    <w:rsid w:val="000B1B4F"/>
    <w:rsid w:val="000B22B6"/>
    <w:rsid w:val="000B2591"/>
    <w:rsid w:val="000B2643"/>
    <w:rsid w:val="000B2FEC"/>
    <w:rsid w:val="000B3550"/>
    <w:rsid w:val="000B3682"/>
    <w:rsid w:val="000B37E9"/>
    <w:rsid w:val="000B38DD"/>
    <w:rsid w:val="000B3A62"/>
    <w:rsid w:val="000B3C90"/>
    <w:rsid w:val="000B4841"/>
    <w:rsid w:val="000B4D9A"/>
    <w:rsid w:val="000B5C1B"/>
    <w:rsid w:val="000B63A6"/>
    <w:rsid w:val="000B68A3"/>
    <w:rsid w:val="000B6BA0"/>
    <w:rsid w:val="000B71A5"/>
    <w:rsid w:val="000B741F"/>
    <w:rsid w:val="000B769B"/>
    <w:rsid w:val="000B7D19"/>
    <w:rsid w:val="000C020B"/>
    <w:rsid w:val="000C0440"/>
    <w:rsid w:val="000C0583"/>
    <w:rsid w:val="000C07AF"/>
    <w:rsid w:val="000C07D0"/>
    <w:rsid w:val="000C09C4"/>
    <w:rsid w:val="000C0A27"/>
    <w:rsid w:val="000C0BF3"/>
    <w:rsid w:val="000C0C8A"/>
    <w:rsid w:val="000C0E5C"/>
    <w:rsid w:val="000C1112"/>
    <w:rsid w:val="000C131E"/>
    <w:rsid w:val="000C1381"/>
    <w:rsid w:val="000C1BC0"/>
    <w:rsid w:val="000C1C7C"/>
    <w:rsid w:val="000C2010"/>
    <w:rsid w:val="000C2629"/>
    <w:rsid w:val="000C2643"/>
    <w:rsid w:val="000C3B07"/>
    <w:rsid w:val="000C3C00"/>
    <w:rsid w:val="000C3C0D"/>
    <w:rsid w:val="000C47A1"/>
    <w:rsid w:val="000C482D"/>
    <w:rsid w:val="000C4A25"/>
    <w:rsid w:val="000C551B"/>
    <w:rsid w:val="000C5527"/>
    <w:rsid w:val="000C64DF"/>
    <w:rsid w:val="000C69ED"/>
    <w:rsid w:val="000C79D5"/>
    <w:rsid w:val="000C7C4D"/>
    <w:rsid w:val="000C7E76"/>
    <w:rsid w:val="000C7F9A"/>
    <w:rsid w:val="000D0124"/>
    <w:rsid w:val="000D020F"/>
    <w:rsid w:val="000D17F3"/>
    <w:rsid w:val="000D260F"/>
    <w:rsid w:val="000D26BC"/>
    <w:rsid w:val="000D2719"/>
    <w:rsid w:val="000D282C"/>
    <w:rsid w:val="000D2C64"/>
    <w:rsid w:val="000D388E"/>
    <w:rsid w:val="000D38B5"/>
    <w:rsid w:val="000D3924"/>
    <w:rsid w:val="000D421F"/>
    <w:rsid w:val="000D4435"/>
    <w:rsid w:val="000D45C1"/>
    <w:rsid w:val="000D4CD7"/>
    <w:rsid w:val="000D4EFD"/>
    <w:rsid w:val="000D510C"/>
    <w:rsid w:val="000D5220"/>
    <w:rsid w:val="000D5284"/>
    <w:rsid w:val="000D5782"/>
    <w:rsid w:val="000D5822"/>
    <w:rsid w:val="000D5EDE"/>
    <w:rsid w:val="000D6098"/>
    <w:rsid w:val="000D61CD"/>
    <w:rsid w:val="000D66BD"/>
    <w:rsid w:val="000D68FE"/>
    <w:rsid w:val="000D6B58"/>
    <w:rsid w:val="000D72E9"/>
    <w:rsid w:val="000D7375"/>
    <w:rsid w:val="000D743D"/>
    <w:rsid w:val="000D7516"/>
    <w:rsid w:val="000D79C4"/>
    <w:rsid w:val="000D7B8F"/>
    <w:rsid w:val="000D7CEE"/>
    <w:rsid w:val="000E00A5"/>
    <w:rsid w:val="000E042D"/>
    <w:rsid w:val="000E08D6"/>
    <w:rsid w:val="000E0968"/>
    <w:rsid w:val="000E12DA"/>
    <w:rsid w:val="000E1459"/>
    <w:rsid w:val="000E19EA"/>
    <w:rsid w:val="000E1B06"/>
    <w:rsid w:val="000E1ECF"/>
    <w:rsid w:val="000E260D"/>
    <w:rsid w:val="000E2837"/>
    <w:rsid w:val="000E2965"/>
    <w:rsid w:val="000E29EE"/>
    <w:rsid w:val="000E2A04"/>
    <w:rsid w:val="000E2ADF"/>
    <w:rsid w:val="000E3448"/>
    <w:rsid w:val="000E399A"/>
    <w:rsid w:val="000E399F"/>
    <w:rsid w:val="000E3B7B"/>
    <w:rsid w:val="000E3BB7"/>
    <w:rsid w:val="000E3EE4"/>
    <w:rsid w:val="000E4564"/>
    <w:rsid w:val="000E4977"/>
    <w:rsid w:val="000E4CED"/>
    <w:rsid w:val="000E515A"/>
    <w:rsid w:val="000E5E5B"/>
    <w:rsid w:val="000E613B"/>
    <w:rsid w:val="000E6408"/>
    <w:rsid w:val="000E66E4"/>
    <w:rsid w:val="000E67FF"/>
    <w:rsid w:val="000E6845"/>
    <w:rsid w:val="000E6A5F"/>
    <w:rsid w:val="000E7171"/>
    <w:rsid w:val="000E7383"/>
    <w:rsid w:val="000E7CB2"/>
    <w:rsid w:val="000E7F5D"/>
    <w:rsid w:val="000F019E"/>
    <w:rsid w:val="000F06B9"/>
    <w:rsid w:val="000F0FEC"/>
    <w:rsid w:val="000F1675"/>
    <w:rsid w:val="000F1EA3"/>
    <w:rsid w:val="000F2507"/>
    <w:rsid w:val="000F31E1"/>
    <w:rsid w:val="000F3475"/>
    <w:rsid w:val="000F35BE"/>
    <w:rsid w:val="000F3BFC"/>
    <w:rsid w:val="000F3DED"/>
    <w:rsid w:val="000F429E"/>
    <w:rsid w:val="000F4EB7"/>
    <w:rsid w:val="000F5EA8"/>
    <w:rsid w:val="000F6513"/>
    <w:rsid w:val="000F6BED"/>
    <w:rsid w:val="000F75CB"/>
    <w:rsid w:val="000F76C4"/>
    <w:rsid w:val="000F7DCE"/>
    <w:rsid w:val="00100FDE"/>
    <w:rsid w:val="001017C3"/>
    <w:rsid w:val="00101DFF"/>
    <w:rsid w:val="001024D2"/>
    <w:rsid w:val="00102F0C"/>
    <w:rsid w:val="001030F7"/>
    <w:rsid w:val="001033BF"/>
    <w:rsid w:val="001035CB"/>
    <w:rsid w:val="0010365E"/>
    <w:rsid w:val="0010397A"/>
    <w:rsid w:val="001039F0"/>
    <w:rsid w:val="00103C8B"/>
    <w:rsid w:val="00103E45"/>
    <w:rsid w:val="00104373"/>
    <w:rsid w:val="001044F5"/>
    <w:rsid w:val="00104656"/>
    <w:rsid w:val="001046FD"/>
    <w:rsid w:val="00104732"/>
    <w:rsid w:val="001048A6"/>
    <w:rsid w:val="00104CF3"/>
    <w:rsid w:val="0010596D"/>
    <w:rsid w:val="0010599A"/>
    <w:rsid w:val="00105DA2"/>
    <w:rsid w:val="00105F98"/>
    <w:rsid w:val="00105FED"/>
    <w:rsid w:val="00106450"/>
    <w:rsid w:val="001064C1"/>
    <w:rsid w:val="00106A4B"/>
    <w:rsid w:val="0010776D"/>
    <w:rsid w:val="001077B1"/>
    <w:rsid w:val="00107AA6"/>
    <w:rsid w:val="00110047"/>
    <w:rsid w:val="00110094"/>
    <w:rsid w:val="001105FD"/>
    <w:rsid w:val="00110C46"/>
    <w:rsid w:val="001116AC"/>
    <w:rsid w:val="00111886"/>
    <w:rsid w:val="001118B2"/>
    <w:rsid w:val="00111F55"/>
    <w:rsid w:val="00112299"/>
    <w:rsid w:val="00112507"/>
    <w:rsid w:val="001125D2"/>
    <w:rsid w:val="001128E7"/>
    <w:rsid w:val="00112CA7"/>
    <w:rsid w:val="00112FCB"/>
    <w:rsid w:val="00113BE4"/>
    <w:rsid w:val="0011415C"/>
    <w:rsid w:val="001142A4"/>
    <w:rsid w:val="0011469F"/>
    <w:rsid w:val="00114AA9"/>
    <w:rsid w:val="00115A02"/>
    <w:rsid w:val="00115AC1"/>
    <w:rsid w:val="00115F2F"/>
    <w:rsid w:val="0011611A"/>
    <w:rsid w:val="001167DE"/>
    <w:rsid w:val="0011682A"/>
    <w:rsid w:val="00117805"/>
    <w:rsid w:val="00117BFE"/>
    <w:rsid w:val="00117C3B"/>
    <w:rsid w:val="00120597"/>
    <w:rsid w:val="00120753"/>
    <w:rsid w:val="00120793"/>
    <w:rsid w:val="00120B96"/>
    <w:rsid w:val="00120D2D"/>
    <w:rsid w:val="00120E67"/>
    <w:rsid w:val="00121BBD"/>
    <w:rsid w:val="001220B0"/>
    <w:rsid w:val="00122272"/>
    <w:rsid w:val="00122273"/>
    <w:rsid w:val="00122311"/>
    <w:rsid w:val="00122587"/>
    <w:rsid w:val="0012291D"/>
    <w:rsid w:val="00122B3B"/>
    <w:rsid w:val="00122B43"/>
    <w:rsid w:val="001232C5"/>
    <w:rsid w:val="0012369B"/>
    <w:rsid w:val="00123D33"/>
    <w:rsid w:val="00124052"/>
    <w:rsid w:val="0012437A"/>
    <w:rsid w:val="0012479B"/>
    <w:rsid w:val="00124C62"/>
    <w:rsid w:val="00124D6F"/>
    <w:rsid w:val="00124ED4"/>
    <w:rsid w:val="00125314"/>
    <w:rsid w:val="0012538D"/>
    <w:rsid w:val="00126145"/>
    <w:rsid w:val="00126683"/>
    <w:rsid w:val="00126786"/>
    <w:rsid w:val="00126856"/>
    <w:rsid w:val="00126A63"/>
    <w:rsid w:val="00126ACE"/>
    <w:rsid w:val="00126CD5"/>
    <w:rsid w:val="00127782"/>
    <w:rsid w:val="00127BA6"/>
    <w:rsid w:val="00127C05"/>
    <w:rsid w:val="001303D2"/>
    <w:rsid w:val="00131010"/>
    <w:rsid w:val="0013167E"/>
    <w:rsid w:val="00132020"/>
    <w:rsid w:val="00133327"/>
    <w:rsid w:val="00133344"/>
    <w:rsid w:val="00133451"/>
    <w:rsid w:val="0013373A"/>
    <w:rsid w:val="0013411C"/>
    <w:rsid w:val="00134660"/>
    <w:rsid w:val="00134BA7"/>
    <w:rsid w:val="0013543E"/>
    <w:rsid w:val="00135A14"/>
    <w:rsid w:val="00135F19"/>
    <w:rsid w:val="00136236"/>
    <w:rsid w:val="0013681D"/>
    <w:rsid w:val="00136923"/>
    <w:rsid w:val="00136CDB"/>
    <w:rsid w:val="001374F6"/>
    <w:rsid w:val="00137739"/>
    <w:rsid w:val="001377BD"/>
    <w:rsid w:val="001377CC"/>
    <w:rsid w:val="0013792D"/>
    <w:rsid w:val="00137BB1"/>
    <w:rsid w:val="00137ED5"/>
    <w:rsid w:val="0014012E"/>
    <w:rsid w:val="00140154"/>
    <w:rsid w:val="00140187"/>
    <w:rsid w:val="001405A6"/>
    <w:rsid w:val="001406A3"/>
    <w:rsid w:val="0014072F"/>
    <w:rsid w:val="001408A2"/>
    <w:rsid w:val="00140CDF"/>
    <w:rsid w:val="0014105A"/>
    <w:rsid w:val="00141241"/>
    <w:rsid w:val="0014131F"/>
    <w:rsid w:val="00142737"/>
    <w:rsid w:val="00142CD2"/>
    <w:rsid w:val="00142F92"/>
    <w:rsid w:val="001430EB"/>
    <w:rsid w:val="00143C92"/>
    <w:rsid w:val="00143EE1"/>
    <w:rsid w:val="00144004"/>
    <w:rsid w:val="0014434D"/>
    <w:rsid w:val="00144986"/>
    <w:rsid w:val="00144FB8"/>
    <w:rsid w:val="0014524B"/>
    <w:rsid w:val="00145443"/>
    <w:rsid w:val="0014596B"/>
    <w:rsid w:val="00145D39"/>
    <w:rsid w:val="00146AF4"/>
    <w:rsid w:val="0014701E"/>
    <w:rsid w:val="001500BB"/>
    <w:rsid w:val="00150510"/>
    <w:rsid w:val="00150C7B"/>
    <w:rsid w:val="00150CC2"/>
    <w:rsid w:val="00150CC4"/>
    <w:rsid w:val="00151528"/>
    <w:rsid w:val="001515B9"/>
    <w:rsid w:val="00151893"/>
    <w:rsid w:val="00151930"/>
    <w:rsid w:val="00151AB2"/>
    <w:rsid w:val="00151DC4"/>
    <w:rsid w:val="00151E98"/>
    <w:rsid w:val="001523A4"/>
    <w:rsid w:val="0015286C"/>
    <w:rsid w:val="00152E02"/>
    <w:rsid w:val="0015309B"/>
    <w:rsid w:val="00153908"/>
    <w:rsid w:val="0015419B"/>
    <w:rsid w:val="001541CF"/>
    <w:rsid w:val="001548F8"/>
    <w:rsid w:val="00154D58"/>
    <w:rsid w:val="00154F59"/>
    <w:rsid w:val="0015547A"/>
    <w:rsid w:val="00155B01"/>
    <w:rsid w:val="00155DD4"/>
    <w:rsid w:val="001560F4"/>
    <w:rsid w:val="00156191"/>
    <w:rsid w:val="001561ED"/>
    <w:rsid w:val="001564D9"/>
    <w:rsid w:val="00156CB8"/>
    <w:rsid w:val="00156D33"/>
    <w:rsid w:val="00157287"/>
    <w:rsid w:val="0015755D"/>
    <w:rsid w:val="00157648"/>
    <w:rsid w:val="0016090F"/>
    <w:rsid w:val="00160B35"/>
    <w:rsid w:val="00160CE8"/>
    <w:rsid w:val="00160E13"/>
    <w:rsid w:val="00160E4D"/>
    <w:rsid w:val="001614BF"/>
    <w:rsid w:val="00161CF0"/>
    <w:rsid w:val="00161DA9"/>
    <w:rsid w:val="00161E29"/>
    <w:rsid w:val="0016288A"/>
    <w:rsid w:val="00162EA3"/>
    <w:rsid w:val="00162ED6"/>
    <w:rsid w:val="00163502"/>
    <w:rsid w:val="001636DA"/>
    <w:rsid w:val="0016381B"/>
    <w:rsid w:val="001639E7"/>
    <w:rsid w:val="00163E19"/>
    <w:rsid w:val="0016431D"/>
    <w:rsid w:val="0016436D"/>
    <w:rsid w:val="00164638"/>
    <w:rsid w:val="00164765"/>
    <w:rsid w:val="0016484B"/>
    <w:rsid w:val="00164AAE"/>
    <w:rsid w:val="00164CC1"/>
    <w:rsid w:val="00164DF0"/>
    <w:rsid w:val="00164F03"/>
    <w:rsid w:val="00164F4A"/>
    <w:rsid w:val="00165D2E"/>
    <w:rsid w:val="00166070"/>
    <w:rsid w:val="0016609E"/>
    <w:rsid w:val="00166581"/>
    <w:rsid w:val="00166880"/>
    <w:rsid w:val="00166A5D"/>
    <w:rsid w:val="00166B84"/>
    <w:rsid w:val="00166C13"/>
    <w:rsid w:val="00166CEE"/>
    <w:rsid w:val="00166E16"/>
    <w:rsid w:val="001670AA"/>
    <w:rsid w:val="001671C3"/>
    <w:rsid w:val="00167455"/>
    <w:rsid w:val="0016750B"/>
    <w:rsid w:val="001677D2"/>
    <w:rsid w:val="0016787D"/>
    <w:rsid w:val="00167B60"/>
    <w:rsid w:val="00167C8E"/>
    <w:rsid w:val="00170A81"/>
    <w:rsid w:val="00171801"/>
    <w:rsid w:val="00172399"/>
    <w:rsid w:val="001726D5"/>
    <w:rsid w:val="00172C00"/>
    <w:rsid w:val="0017360B"/>
    <w:rsid w:val="0017368B"/>
    <w:rsid w:val="001739E0"/>
    <w:rsid w:val="00173B16"/>
    <w:rsid w:val="00173C38"/>
    <w:rsid w:val="00173D86"/>
    <w:rsid w:val="001747B3"/>
    <w:rsid w:val="0017490C"/>
    <w:rsid w:val="00175394"/>
    <w:rsid w:val="00175775"/>
    <w:rsid w:val="00176242"/>
    <w:rsid w:val="0017631B"/>
    <w:rsid w:val="001765C1"/>
    <w:rsid w:val="00176DAE"/>
    <w:rsid w:val="00176E95"/>
    <w:rsid w:val="00177353"/>
    <w:rsid w:val="00177401"/>
    <w:rsid w:val="0017771B"/>
    <w:rsid w:val="00177E4B"/>
    <w:rsid w:val="0018028D"/>
    <w:rsid w:val="001804F7"/>
    <w:rsid w:val="00180B4C"/>
    <w:rsid w:val="00180DC0"/>
    <w:rsid w:val="00180EC2"/>
    <w:rsid w:val="001816A1"/>
    <w:rsid w:val="0018184E"/>
    <w:rsid w:val="00182442"/>
    <w:rsid w:val="0018256B"/>
    <w:rsid w:val="0018279A"/>
    <w:rsid w:val="001827EC"/>
    <w:rsid w:val="00183321"/>
    <w:rsid w:val="00183614"/>
    <w:rsid w:val="00183CDE"/>
    <w:rsid w:val="00183F56"/>
    <w:rsid w:val="00184501"/>
    <w:rsid w:val="00184B29"/>
    <w:rsid w:val="00184FF1"/>
    <w:rsid w:val="00185081"/>
    <w:rsid w:val="0018519A"/>
    <w:rsid w:val="00185207"/>
    <w:rsid w:val="0018555D"/>
    <w:rsid w:val="00185BA2"/>
    <w:rsid w:val="00185DCB"/>
    <w:rsid w:val="00186130"/>
    <w:rsid w:val="00186240"/>
    <w:rsid w:val="00186BED"/>
    <w:rsid w:val="00186DDB"/>
    <w:rsid w:val="00187171"/>
    <w:rsid w:val="0018760D"/>
    <w:rsid w:val="001879FA"/>
    <w:rsid w:val="001903D5"/>
    <w:rsid w:val="00190A50"/>
    <w:rsid w:val="00190AA4"/>
    <w:rsid w:val="00190C65"/>
    <w:rsid w:val="00190E54"/>
    <w:rsid w:val="0019123D"/>
    <w:rsid w:val="001913CA"/>
    <w:rsid w:val="001915DD"/>
    <w:rsid w:val="001916E6"/>
    <w:rsid w:val="0019180E"/>
    <w:rsid w:val="00191FD0"/>
    <w:rsid w:val="001922A8"/>
    <w:rsid w:val="001922CC"/>
    <w:rsid w:val="00192A0D"/>
    <w:rsid w:val="00192C2C"/>
    <w:rsid w:val="00192D25"/>
    <w:rsid w:val="001935E0"/>
    <w:rsid w:val="00193C22"/>
    <w:rsid w:val="00193FFF"/>
    <w:rsid w:val="0019410D"/>
    <w:rsid w:val="00194A48"/>
    <w:rsid w:val="00194ACC"/>
    <w:rsid w:val="00194C8C"/>
    <w:rsid w:val="001952D8"/>
    <w:rsid w:val="0019557B"/>
    <w:rsid w:val="001955A4"/>
    <w:rsid w:val="0019625E"/>
    <w:rsid w:val="001967AC"/>
    <w:rsid w:val="0019693F"/>
    <w:rsid w:val="00196C25"/>
    <w:rsid w:val="00196F23"/>
    <w:rsid w:val="001971E8"/>
    <w:rsid w:val="001972C3"/>
    <w:rsid w:val="001973DE"/>
    <w:rsid w:val="0019749F"/>
    <w:rsid w:val="0019752D"/>
    <w:rsid w:val="001978BD"/>
    <w:rsid w:val="0019796B"/>
    <w:rsid w:val="00197FC6"/>
    <w:rsid w:val="001A0062"/>
    <w:rsid w:val="001A01A2"/>
    <w:rsid w:val="001A060D"/>
    <w:rsid w:val="001A0BBB"/>
    <w:rsid w:val="001A0EF3"/>
    <w:rsid w:val="001A1225"/>
    <w:rsid w:val="001A150F"/>
    <w:rsid w:val="001A151D"/>
    <w:rsid w:val="001A1544"/>
    <w:rsid w:val="001A18E2"/>
    <w:rsid w:val="001A26EC"/>
    <w:rsid w:val="001A2902"/>
    <w:rsid w:val="001A2AE6"/>
    <w:rsid w:val="001A2C8C"/>
    <w:rsid w:val="001A2EAE"/>
    <w:rsid w:val="001A3393"/>
    <w:rsid w:val="001A3D8B"/>
    <w:rsid w:val="001A3DF4"/>
    <w:rsid w:val="001A3EA5"/>
    <w:rsid w:val="001A42A1"/>
    <w:rsid w:val="001A44AC"/>
    <w:rsid w:val="001A4ABC"/>
    <w:rsid w:val="001A4AFC"/>
    <w:rsid w:val="001A4BE3"/>
    <w:rsid w:val="001A4F66"/>
    <w:rsid w:val="001A5571"/>
    <w:rsid w:val="001A55BF"/>
    <w:rsid w:val="001A570F"/>
    <w:rsid w:val="001A583A"/>
    <w:rsid w:val="001A5A8D"/>
    <w:rsid w:val="001A5F70"/>
    <w:rsid w:val="001A6081"/>
    <w:rsid w:val="001A60DB"/>
    <w:rsid w:val="001A62B3"/>
    <w:rsid w:val="001A6B62"/>
    <w:rsid w:val="001A6CA0"/>
    <w:rsid w:val="001A6E33"/>
    <w:rsid w:val="001A6E4D"/>
    <w:rsid w:val="001A6EBD"/>
    <w:rsid w:val="001A6FFF"/>
    <w:rsid w:val="001A70D0"/>
    <w:rsid w:val="001A71A7"/>
    <w:rsid w:val="001A7834"/>
    <w:rsid w:val="001B0C2B"/>
    <w:rsid w:val="001B0C7E"/>
    <w:rsid w:val="001B0D99"/>
    <w:rsid w:val="001B1ADC"/>
    <w:rsid w:val="001B1CA0"/>
    <w:rsid w:val="001B2020"/>
    <w:rsid w:val="001B230D"/>
    <w:rsid w:val="001B244A"/>
    <w:rsid w:val="001B29BD"/>
    <w:rsid w:val="001B2B1C"/>
    <w:rsid w:val="001B2DB2"/>
    <w:rsid w:val="001B3154"/>
    <w:rsid w:val="001B32CD"/>
    <w:rsid w:val="001B3769"/>
    <w:rsid w:val="001B3B36"/>
    <w:rsid w:val="001B4318"/>
    <w:rsid w:val="001B46FA"/>
    <w:rsid w:val="001B4AB8"/>
    <w:rsid w:val="001B4CE4"/>
    <w:rsid w:val="001B4EC2"/>
    <w:rsid w:val="001B50A6"/>
    <w:rsid w:val="001B58CA"/>
    <w:rsid w:val="001B5BC5"/>
    <w:rsid w:val="001B5E6E"/>
    <w:rsid w:val="001B5F9E"/>
    <w:rsid w:val="001B63CA"/>
    <w:rsid w:val="001B6415"/>
    <w:rsid w:val="001B662E"/>
    <w:rsid w:val="001B6631"/>
    <w:rsid w:val="001B69C8"/>
    <w:rsid w:val="001B6D27"/>
    <w:rsid w:val="001B70A2"/>
    <w:rsid w:val="001B79AA"/>
    <w:rsid w:val="001B7D43"/>
    <w:rsid w:val="001C032E"/>
    <w:rsid w:val="001C07E8"/>
    <w:rsid w:val="001C137A"/>
    <w:rsid w:val="001C13F9"/>
    <w:rsid w:val="001C233D"/>
    <w:rsid w:val="001C2563"/>
    <w:rsid w:val="001C26D5"/>
    <w:rsid w:val="001C2C32"/>
    <w:rsid w:val="001C2F72"/>
    <w:rsid w:val="001C32E6"/>
    <w:rsid w:val="001C36F0"/>
    <w:rsid w:val="001C3914"/>
    <w:rsid w:val="001C3BC5"/>
    <w:rsid w:val="001C3F84"/>
    <w:rsid w:val="001C3FFD"/>
    <w:rsid w:val="001C4252"/>
    <w:rsid w:val="001C45DE"/>
    <w:rsid w:val="001C465A"/>
    <w:rsid w:val="001C48C4"/>
    <w:rsid w:val="001C4CD3"/>
    <w:rsid w:val="001C4FB0"/>
    <w:rsid w:val="001C5668"/>
    <w:rsid w:val="001C56F0"/>
    <w:rsid w:val="001C5716"/>
    <w:rsid w:val="001C57B0"/>
    <w:rsid w:val="001C5915"/>
    <w:rsid w:val="001C5F51"/>
    <w:rsid w:val="001C6454"/>
    <w:rsid w:val="001C68BD"/>
    <w:rsid w:val="001C695F"/>
    <w:rsid w:val="001C6AA7"/>
    <w:rsid w:val="001C784E"/>
    <w:rsid w:val="001C7BB5"/>
    <w:rsid w:val="001C7CA6"/>
    <w:rsid w:val="001D003D"/>
    <w:rsid w:val="001D018B"/>
    <w:rsid w:val="001D0307"/>
    <w:rsid w:val="001D070D"/>
    <w:rsid w:val="001D11A6"/>
    <w:rsid w:val="001D126B"/>
    <w:rsid w:val="001D146F"/>
    <w:rsid w:val="001D1C25"/>
    <w:rsid w:val="001D1E90"/>
    <w:rsid w:val="001D1EBE"/>
    <w:rsid w:val="001D1ED9"/>
    <w:rsid w:val="001D22C2"/>
    <w:rsid w:val="001D2AEF"/>
    <w:rsid w:val="001D32B7"/>
    <w:rsid w:val="001D3714"/>
    <w:rsid w:val="001D3F68"/>
    <w:rsid w:val="001D411A"/>
    <w:rsid w:val="001D4137"/>
    <w:rsid w:val="001D4411"/>
    <w:rsid w:val="001D474C"/>
    <w:rsid w:val="001D47C5"/>
    <w:rsid w:val="001D48A9"/>
    <w:rsid w:val="001D5283"/>
    <w:rsid w:val="001D53C8"/>
    <w:rsid w:val="001D588D"/>
    <w:rsid w:val="001D5C19"/>
    <w:rsid w:val="001D5E6E"/>
    <w:rsid w:val="001D6385"/>
    <w:rsid w:val="001D63FC"/>
    <w:rsid w:val="001D6AA6"/>
    <w:rsid w:val="001D6FDF"/>
    <w:rsid w:val="001D718F"/>
    <w:rsid w:val="001E0151"/>
    <w:rsid w:val="001E03DF"/>
    <w:rsid w:val="001E04D3"/>
    <w:rsid w:val="001E0B33"/>
    <w:rsid w:val="001E0D2D"/>
    <w:rsid w:val="001E189E"/>
    <w:rsid w:val="001E2190"/>
    <w:rsid w:val="001E2676"/>
    <w:rsid w:val="001E2E09"/>
    <w:rsid w:val="001E2F4F"/>
    <w:rsid w:val="001E32D4"/>
    <w:rsid w:val="001E356D"/>
    <w:rsid w:val="001E3BF0"/>
    <w:rsid w:val="001E4021"/>
    <w:rsid w:val="001E4306"/>
    <w:rsid w:val="001E4432"/>
    <w:rsid w:val="001E480F"/>
    <w:rsid w:val="001E5482"/>
    <w:rsid w:val="001E58C6"/>
    <w:rsid w:val="001E5935"/>
    <w:rsid w:val="001E59E6"/>
    <w:rsid w:val="001E5ECA"/>
    <w:rsid w:val="001E5EF6"/>
    <w:rsid w:val="001E6797"/>
    <w:rsid w:val="001E6ABD"/>
    <w:rsid w:val="001E7C11"/>
    <w:rsid w:val="001E7C75"/>
    <w:rsid w:val="001F01A8"/>
    <w:rsid w:val="001F05A1"/>
    <w:rsid w:val="001F0CAF"/>
    <w:rsid w:val="001F1500"/>
    <w:rsid w:val="001F18E8"/>
    <w:rsid w:val="001F19E2"/>
    <w:rsid w:val="001F2139"/>
    <w:rsid w:val="001F2436"/>
    <w:rsid w:val="001F25B5"/>
    <w:rsid w:val="001F2A3B"/>
    <w:rsid w:val="001F2D51"/>
    <w:rsid w:val="001F2DC3"/>
    <w:rsid w:val="001F2EED"/>
    <w:rsid w:val="001F33CB"/>
    <w:rsid w:val="001F342E"/>
    <w:rsid w:val="001F3B6E"/>
    <w:rsid w:val="001F3FFE"/>
    <w:rsid w:val="001F4501"/>
    <w:rsid w:val="001F46C0"/>
    <w:rsid w:val="001F49EB"/>
    <w:rsid w:val="001F4C1A"/>
    <w:rsid w:val="001F4D96"/>
    <w:rsid w:val="001F4F12"/>
    <w:rsid w:val="001F520B"/>
    <w:rsid w:val="001F57BC"/>
    <w:rsid w:val="001F584A"/>
    <w:rsid w:val="001F597E"/>
    <w:rsid w:val="001F5AB9"/>
    <w:rsid w:val="001F5D16"/>
    <w:rsid w:val="001F5D97"/>
    <w:rsid w:val="001F6538"/>
    <w:rsid w:val="001F65BA"/>
    <w:rsid w:val="001F6A79"/>
    <w:rsid w:val="001F6A9B"/>
    <w:rsid w:val="001F6C73"/>
    <w:rsid w:val="001F73AD"/>
    <w:rsid w:val="001F775F"/>
    <w:rsid w:val="001F7C94"/>
    <w:rsid w:val="001F7CD5"/>
    <w:rsid w:val="001F7D4D"/>
    <w:rsid w:val="0020029F"/>
    <w:rsid w:val="00200401"/>
    <w:rsid w:val="002005F3"/>
    <w:rsid w:val="0020084E"/>
    <w:rsid w:val="002019AF"/>
    <w:rsid w:val="00201D1C"/>
    <w:rsid w:val="00201ED5"/>
    <w:rsid w:val="0020204A"/>
    <w:rsid w:val="0020233E"/>
    <w:rsid w:val="00202895"/>
    <w:rsid w:val="00202EDD"/>
    <w:rsid w:val="00203040"/>
    <w:rsid w:val="00203C21"/>
    <w:rsid w:val="00203C93"/>
    <w:rsid w:val="002053A9"/>
    <w:rsid w:val="00205E97"/>
    <w:rsid w:val="00205FA1"/>
    <w:rsid w:val="00205FCA"/>
    <w:rsid w:val="00206264"/>
    <w:rsid w:val="00206371"/>
    <w:rsid w:val="0020642B"/>
    <w:rsid w:val="00206ACD"/>
    <w:rsid w:val="00206B13"/>
    <w:rsid w:val="00206FA8"/>
    <w:rsid w:val="002070B2"/>
    <w:rsid w:val="002070BF"/>
    <w:rsid w:val="0020734E"/>
    <w:rsid w:val="00207824"/>
    <w:rsid w:val="00207901"/>
    <w:rsid w:val="00207D67"/>
    <w:rsid w:val="00207EFA"/>
    <w:rsid w:val="0021049F"/>
    <w:rsid w:val="002109AC"/>
    <w:rsid w:val="00210EF9"/>
    <w:rsid w:val="002115A5"/>
    <w:rsid w:val="00211D14"/>
    <w:rsid w:val="00212D73"/>
    <w:rsid w:val="00213157"/>
    <w:rsid w:val="002134C9"/>
    <w:rsid w:val="002135E1"/>
    <w:rsid w:val="0021372F"/>
    <w:rsid w:val="00213894"/>
    <w:rsid w:val="00214F4F"/>
    <w:rsid w:val="00215695"/>
    <w:rsid w:val="00215F34"/>
    <w:rsid w:val="00216101"/>
    <w:rsid w:val="00216615"/>
    <w:rsid w:val="002170C6"/>
    <w:rsid w:val="002171BD"/>
    <w:rsid w:val="00217A79"/>
    <w:rsid w:val="00217D7A"/>
    <w:rsid w:val="00217E82"/>
    <w:rsid w:val="00217FF6"/>
    <w:rsid w:val="0022064C"/>
    <w:rsid w:val="0022122C"/>
    <w:rsid w:val="00221621"/>
    <w:rsid w:val="00222033"/>
    <w:rsid w:val="00222395"/>
    <w:rsid w:val="0022245A"/>
    <w:rsid w:val="002228B4"/>
    <w:rsid w:val="00222C01"/>
    <w:rsid w:val="00222FE1"/>
    <w:rsid w:val="002235B3"/>
    <w:rsid w:val="002235D2"/>
    <w:rsid w:val="00223AB3"/>
    <w:rsid w:val="00224472"/>
    <w:rsid w:val="00224487"/>
    <w:rsid w:val="0022469A"/>
    <w:rsid w:val="00225336"/>
    <w:rsid w:val="0022538E"/>
    <w:rsid w:val="00225502"/>
    <w:rsid w:val="00225519"/>
    <w:rsid w:val="0022574D"/>
    <w:rsid w:val="002257ED"/>
    <w:rsid w:val="00225C0D"/>
    <w:rsid w:val="00225DF5"/>
    <w:rsid w:val="00226014"/>
    <w:rsid w:val="00226403"/>
    <w:rsid w:val="00226440"/>
    <w:rsid w:val="0022649E"/>
    <w:rsid w:val="0022698B"/>
    <w:rsid w:val="00226FFE"/>
    <w:rsid w:val="00227C7B"/>
    <w:rsid w:val="00227C82"/>
    <w:rsid w:val="0023022D"/>
    <w:rsid w:val="00230233"/>
    <w:rsid w:val="00230506"/>
    <w:rsid w:val="002305FF"/>
    <w:rsid w:val="0023089C"/>
    <w:rsid w:val="002309AE"/>
    <w:rsid w:val="002315A8"/>
    <w:rsid w:val="00231ED5"/>
    <w:rsid w:val="00232012"/>
    <w:rsid w:val="00232112"/>
    <w:rsid w:val="0023278D"/>
    <w:rsid w:val="00232ACA"/>
    <w:rsid w:val="0023386A"/>
    <w:rsid w:val="00234292"/>
    <w:rsid w:val="002346C1"/>
    <w:rsid w:val="0023494F"/>
    <w:rsid w:val="00234BFB"/>
    <w:rsid w:val="00235168"/>
    <w:rsid w:val="00235315"/>
    <w:rsid w:val="0023533D"/>
    <w:rsid w:val="00235720"/>
    <w:rsid w:val="00235940"/>
    <w:rsid w:val="00235D3B"/>
    <w:rsid w:val="00235DAA"/>
    <w:rsid w:val="00236551"/>
    <w:rsid w:val="002366A7"/>
    <w:rsid w:val="002366CB"/>
    <w:rsid w:val="0023670E"/>
    <w:rsid w:val="00236B30"/>
    <w:rsid w:val="00236C14"/>
    <w:rsid w:val="00236EB0"/>
    <w:rsid w:val="00236F6F"/>
    <w:rsid w:val="0023712C"/>
    <w:rsid w:val="00237494"/>
    <w:rsid w:val="002376C6"/>
    <w:rsid w:val="002376F5"/>
    <w:rsid w:val="00237710"/>
    <w:rsid w:val="00237F90"/>
    <w:rsid w:val="002404BE"/>
    <w:rsid w:val="00240548"/>
    <w:rsid w:val="00240812"/>
    <w:rsid w:val="0024102B"/>
    <w:rsid w:val="002413F8"/>
    <w:rsid w:val="00241B5D"/>
    <w:rsid w:val="00242270"/>
    <w:rsid w:val="002425E6"/>
    <w:rsid w:val="00242907"/>
    <w:rsid w:val="00242C2C"/>
    <w:rsid w:val="00243282"/>
    <w:rsid w:val="002445A0"/>
    <w:rsid w:val="00244732"/>
    <w:rsid w:val="00244817"/>
    <w:rsid w:val="00244B55"/>
    <w:rsid w:val="00244C79"/>
    <w:rsid w:val="00244CE3"/>
    <w:rsid w:val="00245158"/>
    <w:rsid w:val="00245DF7"/>
    <w:rsid w:val="00245EF0"/>
    <w:rsid w:val="00246343"/>
    <w:rsid w:val="00246577"/>
    <w:rsid w:val="00246AFC"/>
    <w:rsid w:val="0024731E"/>
    <w:rsid w:val="0024779E"/>
    <w:rsid w:val="002502AB"/>
    <w:rsid w:val="0025056C"/>
    <w:rsid w:val="0025059A"/>
    <w:rsid w:val="002506BB"/>
    <w:rsid w:val="002507FE"/>
    <w:rsid w:val="00250B3E"/>
    <w:rsid w:val="002512C3"/>
    <w:rsid w:val="00251332"/>
    <w:rsid w:val="002518B8"/>
    <w:rsid w:val="002518BD"/>
    <w:rsid w:val="00252122"/>
    <w:rsid w:val="0025297E"/>
    <w:rsid w:val="00252A2A"/>
    <w:rsid w:val="00252C65"/>
    <w:rsid w:val="00252D90"/>
    <w:rsid w:val="00253737"/>
    <w:rsid w:val="00253C6C"/>
    <w:rsid w:val="00253D32"/>
    <w:rsid w:val="00253D76"/>
    <w:rsid w:val="00253DF3"/>
    <w:rsid w:val="00253EA9"/>
    <w:rsid w:val="00254409"/>
    <w:rsid w:val="00254C06"/>
    <w:rsid w:val="00255009"/>
    <w:rsid w:val="002550BF"/>
    <w:rsid w:val="00255A13"/>
    <w:rsid w:val="00255A2C"/>
    <w:rsid w:val="00255BD1"/>
    <w:rsid w:val="00256BD0"/>
    <w:rsid w:val="00256BF5"/>
    <w:rsid w:val="00256D0D"/>
    <w:rsid w:val="00257124"/>
    <w:rsid w:val="00257431"/>
    <w:rsid w:val="00257525"/>
    <w:rsid w:val="002576E9"/>
    <w:rsid w:val="0025784A"/>
    <w:rsid w:val="002578F3"/>
    <w:rsid w:val="002601D1"/>
    <w:rsid w:val="002604EC"/>
    <w:rsid w:val="00260663"/>
    <w:rsid w:val="00260C02"/>
    <w:rsid w:val="002612FD"/>
    <w:rsid w:val="002616CF"/>
    <w:rsid w:val="002617F2"/>
    <w:rsid w:val="00261C1E"/>
    <w:rsid w:val="0026310A"/>
    <w:rsid w:val="0026312D"/>
    <w:rsid w:val="00263947"/>
    <w:rsid w:val="00263AB8"/>
    <w:rsid w:val="00263E3A"/>
    <w:rsid w:val="0026422F"/>
    <w:rsid w:val="002645B8"/>
    <w:rsid w:val="002645FC"/>
    <w:rsid w:val="0026476E"/>
    <w:rsid w:val="00264CC6"/>
    <w:rsid w:val="002651FE"/>
    <w:rsid w:val="002653DF"/>
    <w:rsid w:val="002656CC"/>
    <w:rsid w:val="00265835"/>
    <w:rsid w:val="00265C05"/>
    <w:rsid w:val="00265EC8"/>
    <w:rsid w:val="0026624B"/>
    <w:rsid w:val="00266306"/>
    <w:rsid w:val="00266339"/>
    <w:rsid w:val="0026645D"/>
    <w:rsid w:val="002664FE"/>
    <w:rsid w:val="00266B1D"/>
    <w:rsid w:val="00266BD2"/>
    <w:rsid w:val="00267589"/>
    <w:rsid w:val="00267765"/>
    <w:rsid w:val="002677C5"/>
    <w:rsid w:val="00267D8F"/>
    <w:rsid w:val="002702A5"/>
    <w:rsid w:val="00270357"/>
    <w:rsid w:val="0027045B"/>
    <w:rsid w:val="00270A7B"/>
    <w:rsid w:val="00270C51"/>
    <w:rsid w:val="0027117B"/>
    <w:rsid w:val="00271699"/>
    <w:rsid w:val="00271726"/>
    <w:rsid w:val="00272072"/>
    <w:rsid w:val="00272408"/>
    <w:rsid w:val="002725A7"/>
    <w:rsid w:val="0027271A"/>
    <w:rsid w:val="00272780"/>
    <w:rsid w:val="002728FD"/>
    <w:rsid w:val="00272A88"/>
    <w:rsid w:val="00272DB7"/>
    <w:rsid w:val="00273300"/>
    <w:rsid w:val="00273AEA"/>
    <w:rsid w:val="00273D10"/>
    <w:rsid w:val="00273FE4"/>
    <w:rsid w:val="0027473A"/>
    <w:rsid w:val="00274B2A"/>
    <w:rsid w:val="00274F87"/>
    <w:rsid w:val="0027531D"/>
    <w:rsid w:val="00275BDC"/>
    <w:rsid w:val="00275D2F"/>
    <w:rsid w:val="00275E6B"/>
    <w:rsid w:val="00276678"/>
    <w:rsid w:val="002767D2"/>
    <w:rsid w:val="00276B9B"/>
    <w:rsid w:val="00276D27"/>
    <w:rsid w:val="0027747E"/>
    <w:rsid w:val="00277A4B"/>
    <w:rsid w:val="00277B90"/>
    <w:rsid w:val="002802B5"/>
    <w:rsid w:val="0028048C"/>
    <w:rsid w:val="002811E3"/>
    <w:rsid w:val="002811FF"/>
    <w:rsid w:val="002812FA"/>
    <w:rsid w:val="002815B3"/>
    <w:rsid w:val="00281923"/>
    <w:rsid w:val="00281EE3"/>
    <w:rsid w:val="00282427"/>
    <w:rsid w:val="00282A31"/>
    <w:rsid w:val="002832B0"/>
    <w:rsid w:val="0028338E"/>
    <w:rsid w:val="002838B8"/>
    <w:rsid w:val="0028410F"/>
    <w:rsid w:val="0028413F"/>
    <w:rsid w:val="00284545"/>
    <w:rsid w:val="00284659"/>
    <w:rsid w:val="002848CC"/>
    <w:rsid w:val="00284944"/>
    <w:rsid w:val="002850B9"/>
    <w:rsid w:val="00285312"/>
    <w:rsid w:val="0028554E"/>
    <w:rsid w:val="00285780"/>
    <w:rsid w:val="002865B7"/>
    <w:rsid w:val="002867BF"/>
    <w:rsid w:val="00286A4A"/>
    <w:rsid w:val="00286AA3"/>
    <w:rsid w:val="00286AC2"/>
    <w:rsid w:val="00286E6C"/>
    <w:rsid w:val="00287615"/>
    <w:rsid w:val="00287B0A"/>
    <w:rsid w:val="0029034E"/>
    <w:rsid w:val="0029038A"/>
    <w:rsid w:val="00290440"/>
    <w:rsid w:val="00290494"/>
    <w:rsid w:val="00290876"/>
    <w:rsid w:val="0029122F"/>
    <w:rsid w:val="002916C3"/>
    <w:rsid w:val="00291F55"/>
    <w:rsid w:val="00292A0B"/>
    <w:rsid w:val="00292EC9"/>
    <w:rsid w:val="002930E0"/>
    <w:rsid w:val="0029341C"/>
    <w:rsid w:val="0029382D"/>
    <w:rsid w:val="00293A03"/>
    <w:rsid w:val="00293AF2"/>
    <w:rsid w:val="00293E46"/>
    <w:rsid w:val="00294BBB"/>
    <w:rsid w:val="00294E90"/>
    <w:rsid w:val="00294EA5"/>
    <w:rsid w:val="0029526A"/>
    <w:rsid w:val="0029567E"/>
    <w:rsid w:val="0029570E"/>
    <w:rsid w:val="0029574B"/>
    <w:rsid w:val="002958C4"/>
    <w:rsid w:val="00296598"/>
    <w:rsid w:val="002967E0"/>
    <w:rsid w:val="00296841"/>
    <w:rsid w:val="00296AC5"/>
    <w:rsid w:val="00297236"/>
    <w:rsid w:val="00297C46"/>
    <w:rsid w:val="00297C86"/>
    <w:rsid w:val="002A0992"/>
    <w:rsid w:val="002A09CF"/>
    <w:rsid w:val="002A0FEE"/>
    <w:rsid w:val="002A192C"/>
    <w:rsid w:val="002A2074"/>
    <w:rsid w:val="002A2D5E"/>
    <w:rsid w:val="002A2E39"/>
    <w:rsid w:val="002A2FA4"/>
    <w:rsid w:val="002A3864"/>
    <w:rsid w:val="002A398E"/>
    <w:rsid w:val="002A3F5F"/>
    <w:rsid w:val="002A4356"/>
    <w:rsid w:val="002A4B7E"/>
    <w:rsid w:val="002A56ED"/>
    <w:rsid w:val="002A57E0"/>
    <w:rsid w:val="002A5ABB"/>
    <w:rsid w:val="002A5AD9"/>
    <w:rsid w:val="002A6019"/>
    <w:rsid w:val="002A60ED"/>
    <w:rsid w:val="002A613C"/>
    <w:rsid w:val="002A716A"/>
    <w:rsid w:val="002A72D7"/>
    <w:rsid w:val="002A73F8"/>
    <w:rsid w:val="002A75B5"/>
    <w:rsid w:val="002A7C70"/>
    <w:rsid w:val="002B02C2"/>
    <w:rsid w:val="002B02CC"/>
    <w:rsid w:val="002B0F82"/>
    <w:rsid w:val="002B12BD"/>
    <w:rsid w:val="002B12FD"/>
    <w:rsid w:val="002B1658"/>
    <w:rsid w:val="002B1B5F"/>
    <w:rsid w:val="002B2213"/>
    <w:rsid w:val="002B27A2"/>
    <w:rsid w:val="002B2E44"/>
    <w:rsid w:val="002B32F7"/>
    <w:rsid w:val="002B3322"/>
    <w:rsid w:val="002B38F6"/>
    <w:rsid w:val="002B3B05"/>
    <w:rsid w:val="002B3EEB"/>
    <w:rsid w:val="002B3F9A"/>
    <w:rsid w:val="002B41CE"/>
    <w:rsid w:val="002B4291"/>
    <w:rsid w:val="002B4432"/>
    <w:rsid w:val="002B4773"/>
    <w:rsid w:val="002B4AA6"/>
    <w:rsid w:val="002B4C3F"/>
    <w:rsid w:val="002B5548"/>
    <w:rsid w:val="002B55BF"/>
    <w:rsid w:val="002B5DCE"/>
    <w:rsid w:val="002B6026"/>
    <w:rsid w:val="002B6C8C"/>
    <w:rsid w:val="002B6CCC"/>
    <w:rsid w:val="002B7931"/>
    <w:rsid w:val="002B7EA0"/>
    <w:rsid w:val="002C0A00"/>
    <w:rsid w:val="002C166B"/>
    <w:rsid w:val="002C1B57"/>
    <w:rsid w:val="002C1EF9"/>
    <w:rsid w:val="002C255F"/>
    <w:rsid w:val="002C2C07"/>
    <w:rsid w:val="002C2CAF"/>
    <w:rsid w:val="002C2F06"/>
    <w:rsid w:val="002C3871"/>
    <w:rsid w:val="002C39EC"/>
    <w:rsid w:val="002C4C9E"/>
    <w:rsid w:val="002C4DC7"/>
    <w:rsid w:val="002C50C9"/>
    <w:rsid w:val="002C5400"/>
    <w:rsid w:val="002C544D"/>
    <w:rsid w:val="002C56B3"/>
    <w:rsid w:val="002C57FA"/>
    <w:rsid w:val="002C5D63"/>
    <w:rsid w:val="002C603B"/>
    <w:rsid w:val="002C6343"/>
    <w:rsid w:val="002C6E13"/>
    <w:rsid w:val="002C7482"/>
    <w:rsid w:val="002C77A1"/>
    <w:rsid w:val="002C7990"/>
    <w:rsid w:val="002C7ACB"/>
    <w:rsid w:val="002C7BC5"/>
    <w:rsid w:val="002C7EF6"/>
    <w:rsid w:val="002C7F9F"/>
    <w:rsid w:val="002D003D"/>
    <w:rsid w:val="002D02DF"/>
    <w:rsid w:val="002D07A6"/>
    <w:rsid w:val="002D1238"/>
    <w:rsid w:val="002D12DE"/>
    <w:rsid w:val="002D193F"/>
    <w:rsid w:val="002D203E"/>
    <w:rsid w:val="002D2B3D"/>
    <w:rsid w:val="002D32B8"/>
    <w:rsid w:val="002D3511"/>
    <w:rsid w:val="002D3538"/>
    <w:rsid w:val="002D3837"/>
    <w:rsid w:val="002D391E"/>
    <w:rsid w:val="002D3BC3"/>
    <w:rsid w:val="002D41C7"/>
    <w:rsid w:val="002D480F"/>
    <w:rsid w:val="002D4835"/>
    <w:rsid w:val="002D4FB8"/>
    <w:rsid w:val="002D50A9"/>
    <w:rsid w:val="002D51B9"/>
    <w:rsid w:val="002D5530"/>
    <w:rsid w:val="002D59E9"/>
    <w:rsid w:val="002D5E41"/>
    <w:rsid w:val="002D5FCB"/>
    <w:rsid w:val="002D6214"/>
    <w:rsid w:val="002D65F8"/>
    <w:rsid w:val="002D6983"/>
    <w:rsid w:val="002D698C"/>
    <w:rsid w:val="002D72C0"/>
    <w:rsid w:val="002E00F4"/>
    <w:rsid w:val="002E0567"/>
    <w:rsid w:val="002E0ADF"/>
    <w:rsid w:val="002E0CCC"/>
    <w:rsid w:val="002E0E96"/>
    <w:rsid w:val="002E0F86"/>
    <w:rsid w:val="002E1011"/>
    <w:rsid w:val="002E1366"/>
    <w:rsid w:val="002E1DAF"/>
    <w:rsid w:val="002E1EB6"/>
    <w:rsid w:val="002E20B9"/>
    <w:rsid w:val="002E21C8"/>
    <w:rsid w:val="002E2374"/>
    <w:rsid w:val="002E26A7"/>
    <w:rsid w:val="002E2768"/>
    <w:rsid w:val="002E333F"/>
    <w:rsid w:val="002E33A5"/>
    <w:rsid w:val="002E3435"/>
    <w:rsid w:val="002E3725"/>
    <w:rsid w:val="002E39FE"/>
    <w:rsid w:val="002E421B"/>
    <w:rsid w:val="002E4266"/>
    <w:rsid w:val="002E44DD"/>
    <w:rsid w:val="002E47E8"/>
    <w:rsid w:val="002E4F6B"/>
    <w:rsid w:val="002E5249"/>
    <w:rsid w:val="002E5330"/>
    <w:rsid w:val="002E543F"/>
    <w:rsid w:val="002E561F"/>
    <w:rsid w:val="002E562D"/>
    <w:rsid w:val="002E56E1"/>
    <w:rsid w:val="002E5AC4"/>
    <w:rsid w:val="002E5C38"/>
    <w:rsid w:val="002E5DFA"/>
    <w:rsid w:val="002E5E2F"/>
    <w:rsid w:val="002E5F01"/>
    <w:rsid w:val="002E63FC"/>
    <w:rsid w:val="002E65C6"/>
    <w:rsid w:val="002E6770"/>
    <w:rsid w:val="002E6796"/>
    <w:rsid w:val="002E6F87"/>
    <w:rsid w:val="002E74FB"/>
    <w:rsid w:val="002E7735"/>
    <w:rsid w:val="002F0574"/>
    <w:rsid w:val="002F0881"/>
    <w:rsid w:val="002F09C9"/>
    <w:rsid w:val="002F0CD2"/>
    <w:rsid w:val="002F0E16"/>
    <w:rsid w:val="002F11D4"/>
    <w:rsid w:val="002F150C"/>
    <w:rsid w:val="002F1D5B"/>
    <w:rsid w:val="002F22FB"/>
    <w:rsid w:val="002F254F"/>
    <w:rsid w:val="002F25EF"/>
    <w:rsid w:val="002F2E33"/>
    <w:rsid w:val="002F3335"/>
    <w:rsid w:val="002F36F3"/>
    <w:rsid w:val="002F3C2A"/>
    <w:rsid w:val="002F3C9E"/>
    <w:rsid w:val="002F3CED"/>
    <w:rsid w:val="002F3EB1"/>
    <w:rsid w:val="002F44F1"/>
    <w:rsid w:val="002F5B28"/>
    <w:rsid w:val="002F5B5A"/>
    <w:rsid w:val="002F5DAE"/>
    <w:rsid w:val="002F60DB"/>
    <w:rsid w:val="002F6721"/>
    <w:rsid w:val="002F7489"/>
    <w:rsid w:val="002F772E"/>
    <w:rsid w:val="002F7B93"/>
    <w:rsid w:val="0030000A"/>
    <w:rsid w:val="003000B7"/>
    <w:rsid w:val="0030089B"/>
    <w:rsid w:val="00300B8B"/>
    <w:rsid w:val="00300D1F"/>
    <w:rsid w:val="00300E8B"/>
    <w:rsid w:val="00301070"/>
    <w:rsid w:val="00301077"/>
    <w:rsid w:val="0030138E"/>
    <w:rsid w:val="00302026"/>
    <w:rsid w:val="00302278"/>
    <w:rsid w:val="003022C6"/>
    <w:rsid w:val="00302313"/>
    <w:rsid w:val="00302770"/>
    <w:rsid w:val="00302942"/>
    <w:rsid w:val="003029C7"/>
    <w:rsid w:val="00302CA1"/>
    <w:rsid w:val="003033AD"/>
    <w:rsid w:val="003039B4"/>
    <w:rsid w:val="00303D41"/>
    <w:rsid w:val="00303E72"/>
    <w:rsid w:val="003040C7"/>
    <w:rsid w:val="00304341"/>
    <w:rsid w:val="003048A1"/>
    <w:rsid w:val="003056A5"/>
    <w:rsid w:val="00305846"/>
    <w:rsid w:val="00305BB8"/>
    <w:rsid w:val="00305D1F"/>
    <w:rsid w:val="00306425"/>
    <w:rsid w:val="00306B33"/>
    <w:rsid w:val="00306D58"/>
    <w:rsid w:val="00306E8B"/>
    <w:rsid w:val="00307153"/>
    <w:rsid w:val="00307293"/>
    <w:rsid w:val="00307679"/>
    <w:rsid w:val="0030786E"/>
    <w:rsid w:val="00307B84"/>
    <w:rsid w:val="00310992"/>
    <w:rsid w:val="003109B9"/>
    <w:rsid w:val="00310AB4"/>
    <w:rsid w:val="00310C99"/>
    <w:rsid w:val="00310E2F"/>
    <w:rsid w:val="00310F86"/>
    <w:rsid w:val="00311ACC"/>
    <w:rsid w:val="003123E7"/>
    <w:rsid w:val="00312442"/>
    <w:rsid w:val="00312510"/>
    <w:rsid w:val="003128A7"/>
    <w:rsid w:val="00312A28"/>
    <w:rsid w:val="00312BD8"/>
    <w:rsid w:val="00312E5D"/>
    <w:rsid w:val="0031368D"/>
    <w:rsid w:val="003136F0"/>
    <w:rsid w:val="0031378E"/>
    <w:rsid w:val="003138BE"/>
    <w:rsid w:val="00313CDE"/>
    <w:rsid w:val="00313FE3"/>
    <w:rsid w:val="00314287"/>
    <w:rsid w:val="0031435F"/>
    <w:rsid w:val="0031462B"/>
    <w:rsid w:val="0031475E"/>
    <w:rsid w:val="00314B00"/>
    <w:rsid w:val="00315819"/>
    <w:rsid w:val="00315CB8"/>
    <w:rsid w:val="003161CD"/>
    <w:rsid w:val="0031633A"/>
    <w:rsid w:val="003165BA"/>
    <w:rsid w:val="0031676A"/>
    <w:rsid w:val="003174C7"/>
    <w:rsid w:val="0031769B"/>
    <w:rsid w:val="00317B55"/>
    <w:rsid w:val="00317D0D"/>
    <w:rsid w:val="00317F82"/>
    <w:rsid w:val="00320028"/>
    <w:rsid w:val="003200CE"/>
    <w:rsid w:val="0032020A"/>
    <w:rsid w:val="00320EBE"/>
    <w:rsid w:val="003215D9"/>
    <w:rsid w:val="00321BD7"/>
    <w:rsid w:val="00321DCC"/>
    <w:rsid w:val="00321F1C"/>
    <w:rsid w:val="003223C5"/>
    <w:rsid w:val="0032301B"/>
    <w:rsid w:val="0032310E"/>
    <w:rsid w:val="00323261"/>
    <w:rsid w:val="00323420"/>
    <w:rsid w:val="00323469"/>
    <w:rsid w:val="003235D5"/>
    <w:rsid w:val="003236B6"/>
    <w:rsid w:val="003237B7"/>
    <w:rsid w:val="00323C87"/>
    <w:rsid w:val="00323E24"/>
    <w:rsid w:val="00323EF2"/>
    <w:rsid w:val="003247BF"/>
    <w:rsid w:val="00324933"/>
    <w:rsid w:val="00324C4D"/>
    <w:rsid w:val="00325128"/>
    <w:rsid w:val="0032574F"/>
    <w:rsid w:val="0032591E"/>
    <w:rsid w:val="00325A56"/>
    <w:rsid w:val="00325BD7"/>
    <w:rsid w:val="00325BD9"/>
    <w:rsid w:val="00325CB1"/>
    <w:rsid w:val="003263F5"/>
    <w:rsid w:val="00326854"/>
    <w:rsid w:val="00326A60"/>
    <w:rsid w:val="00326F6B"/>
    <w:rsid w:val="00326FA8"/>
    <w:rsid w:val="00327234"/>
    <w:rsid w:val="003274D5"/>
    <w:rsid w:val="00330368"/>
    <w:rsid w:val="003304A5"/>
    <w:rsid w:val="003307A5"/>
    <w:rsid w:val="00330B26"/>
    <w:rsid w:val="00330C28"/>
    <w:rsid w:val="003315C3"/>
    <w:rsid w:val="00331B4A"/>
    <w:rsid w:val="00331E35"/>
    <w:rsid w:val="00331EB0"/>
    <w:rsid w:val="00332439"/>
    <w:rsid w:val="00333310"/>
    <w:rsid w:val="003336B1"/>
    <w:rsid w:val="003338CD"/>
    <w:rsid w:val="00333BFA"/>
    <w:rsid w:val="00333C68"/>
    <w:rsid w:val="00333FDF"/>
    <w:rsid w:val="00334475"/>
    <w:rsid w:val="003345C7"/>
    <w:rsid w:val="0033490A"/>
    <w:rsid w:val="00334A36"/>
    <w:rsid w:val="00334B32"/>
    <w:rsid w:val="003351C1"/>
    <w:rsid w:val="003352DB"/>
    <w:rsid w:val="003357FC"/>
    <w:rsid w:val="00335EB3"/>
    <w:rsid w:val="003362A6"/>
    <w:rsid w:val="00336A09"/>
    <w:rsid w:val="00336D96"/>
    <w:rsid w:val="0033707D"/>
    <w:rsid w:val="00337267"/>
    <w:rsid w:val="0033726B"/>
    <w:rsid w:val="00337986"/>
    <w:rsid w:val="00337BC8"/>
    <w:rsid w:val="003407FB"/>
    <w:rsid w:val="00340921"/>
    <w:rsid w:val="00340A8C"/>
    <w:rsid w:val="00341125"/>
    <w:rsid w:val="0034122F"/>
    <w:rsid w:val="00341453"/>
    <w:rsid w:val="00341602"/>
    <w:rsid w:val="0034164F"/>
    <w:rsid w:val="00341BD5"/>
    <w:rsid w:val="00341CEE"/>
    <w:rsid w:val="00341EC5"/>
    <w:rsid w:val="00341FC4"/>
    <w:rsid w:val="00342593"/>
    <w:rsid w:val="00342758"/>
    <w:rsid w:val="00343009"/>
    <w:rsid w:val="003431C3"/>
    <w:rsid w:val="0034431F"/>
    <w:rsid w:val="00344440"/>
    <w:rsid w:val="00344DE5"/>
    <w:rsid w:val="003450E9"/>
    <w:rsid w:val="00345438"/>
    <w:rsid w:val="0034569D"/>
    <w:rsid w:val="003459AD"/>
    <w:rsid w:val="00345F05"/>
    <w:rsid w:val="003460C3"/>
    <w:rsid w:val="0034677A"/>
    <w:rsid w:val="0034683B"/>
    <w:rsid w:val="00346D03"/>
    <w:rsid w:val="00347054"/>
    <w:rsid w:val="0034795E"/>
    <w:rsid w:val="00347D94"/>
    <w:rsid w:val="00347F6B"/>
    <w:rsid w:val="00350114"/>
    <w:rsid w:val="00350A58"/>
    <w:rsid w:val="00350FD4"/>
    <w:rsid w:val="003513EC"/>
    <w:rsid w:val="00351672"/>
    <w:rsid w:val="003522FC"/>
    <w:rsid w:val="00353423"/>
    <w:rsid w:val="00353487"/>
    <w:rsid w:val="00353EBB"/>
    <w:rsid w:val="003544F4"/>
    <w:rsid w:val="0035464D"/>
    <w:rsid w:val="003547F7"/>
    <w:rsid w:val="0035483E"/>
    <w:rsid w:val="00354881"/>
    <w:rsid w:val="003553F4"/>
    <w:rsid w:val="00355764"/>
    <w:rsid w:val="00355863"/>
    <w:rsid w:val="00355E31"/>
    <w:rsid w:val="003568C3"/>
    <w:rsid w:val="00357AD4"/>
    <w:rsid w:val="003607EA"/>
    <w:rsid w:val="00360976"/>
    <w:rsid w:val="00360A96"/>
    <w:rsid w:val="003612C9"/>
    <w:rsid w:val="0036134B"/>
    <w:rsid w:val="0036165D"/>
    <w:rsid w:val="00361818"/>
    <w:rsid w:val="00361A17"/>
    <w:rsid w:val="00361EE4"/>
    <w:rsid w:val="003620AF"/>
    <w:rsid w:val="003623D2"/>
    <w:rsid w:val="00362855"/>
    <w:rsid w:val="003628F5"/>
    <w:rsid w:val="00362EEB"/>
    <w:rsid w:val="00363A1B"/>
    <w:rsid w:val="00363E33"/>
    <w:rsid w:val="00364135"/>
    <w:rsid w:val="00364474"/>
    <w:rsid w:val="003645B5"/>
    <w:rsid w:val="0036470E"/>
    <w:rsid w:val="003658A3"/>
    <w:rsid w:val="00365D9F"/>
    <w:rsid w:val="00365FBC"/>
    <w:rsid w:val="00366120"/>
    <w:rsid w:val="0036663E"/>
    <w:rsid w:val="00366F59"/>
    <w:rsid w:val="00367706"/>
    <w:rsid w:val="003678C4"/>
    <w:rsid w:val="00367F4C"/>
    <w:rsid w:val="00370059"/>
    <w:rsid w:val="00370436"/>
    <w:rsid w:val="0037056A"/>
    <w:rsid w:val="0037071C"/>
    <w:rsid w:val="00370F2B"/>
    <w:rsid w:val="0037113E"/>
    <w:rsid w:val="00371159"/>
    <w:rsid w:val="003716CC"/>
    <w:rsid w:val="00371824"/>
    <w:rsid w:val="00371C51"/>
    <w:rsid w:val="00371E45"/>
    <w:rsid w:val="003722CC"/>
    <w:rsid w:val="003723C3"/>
    <w:rsid w:val="00372BC2"/>
    <w:rsid w:val="003734ED"/>
    <w:rsid w:val="00373646"/>
    <w:rsid w:val="0037384C"/>
    <w:rsid w:val="003739E6"/>
    <w:rsid w:val="00373C9A"/>
    <w:rsid w:val="0037411F"/>
    <w:rsid w:val="00374430"/>
    <w:rsid w:val="00374C00"/>
    <w:rsid w:val="00375433"/>
    <w:rsid w:val="0037566D"/>
    <w:rsid w:val="0037575A"/>
    <w:rsid w:val="00375BFF"/>
    <w:rsid w:val="00376143"/>
    <w:rsid w:val="003767D5"/>
    <w:rsid w:val="00376D81"/>
    <w:rsid w:val="00377018"/>
    <w:rsid w:val="003800CA"/>
    <w:rsid w:val="00380209"/>
    <w:rsid w:val="003806A3"/>
    <w:rsid w:val="00381014"/>
    <w:rsid w:val="00381AEC"/>
    <w:rsid w:val="00381BA0"/>
    <w:rsid w:val="00381BAA"/>
    <w:rsid w:val="00381BF7"/>
    <w:rsid w:val="00381BF9"/>
    <w:rsid w:val="00381C39"/>
    <w:rsid w:val="00381D28"/>
    <w:rsid w:val="00382AEE"/>
    <w:rsid w:val="00382D2C"/>
    <w:rsid w:val="00382E8D"/>
    <w:rsid w:val="003830EE"/>
    <w:rsid w:val="003833C9"/>
    <w:rsid w:val="00383527"/>
    <w:rsid w:val="00383A1B"/>
    <w:rsid w:val="00384233"/>
    <w:rsid w:val="00384879"/>
    <w:rsid w:val="00385231"/>
    <w:rsid w:val="00385D05"/>
    <w:rsid w:val="00385E17"/>
    <w:rsid w:val="00385E23"/>
    <w:rsid w:val="00385E5F"/>
    <w:rsid w:val="00385FCA"/>
    <w:rsid w:val="00390A81"/>
    <w:rsid w:val="00390B22"/>
    <w:rsid w:val="00390CFE"/>
    <w:rsid w:val="00391BD6"/>
    <w:rsid w:val="00391CED"/>
    <w:rsid w:val="00391E10"/>
    <w:rsid w:val="00392099"/>
    <w:rsid w:val="00392432"/>
    <w:rsid w:val="00392E05"/>
    <w:rsid w:val="00392E6C"/>
    <w:rsid w:val="00393128"/>
    <w:rsid w:val="00393372"/>
    <w:rsid w:val="00394153"/>
    <w:rsid w:val="00394798"/>
    <w:rsid w:val="00394D25"/>
    <w:rsid w:val="00394E1D"/>
    <w:rsid w:val="00395592"/>
    <w:rsid w:val="003959DF"/>
    <w:rsid w:val="00395C8A"/>
    <w:rsid w:val="0039663A"/>
    <w:rsid w:val="003966F0"/>
    <w:rsid w:val="00396CB5"/>
    <w:rsid w:val="003A0072"/>
    <w:rsid w:val="003A0155"/>
    <w:rsid w:val="003A09BF"/>
    <w:rsid w:val="003A0C7A"/>
    <w:rsid w:val="003A0CA8"/>
    <w:rsid w:val="003A1A12"/>
    <w:rsid w:val="003A21FC"/>
    <w:rsid w:val="003A259B"/>
    <w:rsid w:val="003A266C"/>
    <w:rsid w:val="003A27EA"/>
    <w:rsid w:val="003A28A2"/>
    <w:rsid w:val="003A329E"/>
    <w:rsid w:val="003A355B"/>
    <w:rsid w:val="003A3663"/>
    <w:rsid w:val="003A42B8"/>
    <w:rsid w:val="003A42E8"/>
    <w:rsid w:val="003A447F"/>
    <w:rsid w:val="003A44CC"/>
    <w:rsid w:val="003A4917"/>
    <w:rsid w:val="003A4981"/>
    <w:rsid w:val="003A4AAB"/>
    <w:rsid w:val="003A5244"/>
    <w:rsid w:val="003A54CB"/>
    <w:rsid w:val="003A5CF6"/>
    <w:rsid w:val="003A5F19"/>
    <w:rsid w:val="003A5FBB"/>
    <w:rsid w:val="003A650F"/>
    <w:rsid w:val="003A66DE"/>
    <w:rsid w:val="003A6AB6"/>
    <w:rsid w:val="003A6D5E"/>
    <w:rsid w:val="003A705A"/>
    <w:rsid w:val="003A7305"/>
    <w:rsid w:val="003A756A"/>
    <w:rsid w:val="003A7955"/>
    <w:rsid w:val="003A79A6"/>
    <w:rsid w:val="003A7A8D"/>
    <w:rsid w:val="003B0067"/>
    <w:rsid w:val="003B02F6"/>
    <w:rsid w:val="003B0759"/>
    <w:rsid w:val="003B0855"/>
    <w:rsid w:val="003B1489"/>
    <w:rsid w:val="003B1728"/>
    <w:rsid w:val="003B1ECA"/>
    <w:rsid w:val="003B1F63"/>
    <w:rsid w:val="003B2196"/>
    <w:rsid w:val="003B24CF"/>
    <w:rsid w:val="003B2B09"/>
    <w:rsid w:val="003B2F08"/>
    <w:rsid w:val="003B3119"/>
    <w:rsid w:val="003B32DF"/>
    <w:rsid w:val="003B3D22"/>
    <w:rsid w:val="003B3D3B"/>
    <w:rsid w:val="003B442F"/>
    <w:rsid w:val="003B45B9"/>
    <w:rsid w:val="003B46AD"/>
    <w:rsid w:val="003B4D9F"/>
    <w:rsid w:val="003B4DBD"/>
    <w:rsid w:val="003B4E87"/>
    <w:rsid w:val="003B5344"/>
    <w:rsid w:val="003B621A"/>
    <w:rsid w:val="003B6905"/>
    <w:rsid w:val="003B6C5F"/>
    <w:rsid w:val="003B6EC9"/>
    <w:rsid w:val="003B7281"/>
    <w:rsid w:val="003B7466"/>
    <w:rsid w:val="003B7EE7"/>
    <w:rsid w:val="003B7FF6"/>
    <w:rsid w:val="003C0052"/>
    <w:rsid w:val="003C0E31"/>
    <w:rsid w:val="003C0FB0"/>
    <w:rsid w:val="003C1938"/>
    <w:rsid w:val="003C2127"/>
    <w:rsid w:val="003C2155"/>
    <w:rsid w:val="003C2247"/>
    <w:rsid w:val="003C2549"/>
    <w:rsid w:val="003C2C25"/>
    <w:rsid w:val="003C338C"/>
    <w:rsid w:val="003C3BF2"/>
    <w:rsid w:val="003C3D3E"/>
    <w:rsid w:val="003C3F77"/>
    <w:rsid w:val="003C458B"/>
    <w:rsid w:val="003C465D"/>
    <w:rsid w:val="003C4F1F"/>
    <w:rsid w:val="003C5593"/>
    <w:rsid w:val="003C5AE8"/>
    <w:rsid w:val="003C5FE9"/>
    <w:rsid w:val="003C681D"/>
    <w:rsid w:val="003C69FF"/>
    <w:rsid w:val="003C6A7C"/>
    <w:rsid w:val="003C6C9B"/>
    <w:rsid w:val="003C6D80"/>
    <w:rsid w:val="003C7526"/>
    <w:rsid w:val="003D0BFA"/>
    <w:rsid w:val="003D12A4"/>
    <w:rsid w:val="003D1CF1"/>
    <w:rsid w:val="003D1F1D"/>
    <w:rsid w:val="003D222B"/>
    <w:rsid w:val="003D2274"/>
    <w:rsid w:val="003D2372"/>
    <w:rsid w:val="003D27CF"/>
    <w:rsid w:val="003D2C23"/>
    <w:rsid w:val="003D35D5"/>
    <w:rsid w:val="003D3CD8"/>
    <w:rsid w:val="003D40AC"/>
    <w:rsid w:val="003D45F2"/>
    <w:rsid w:val="003D488C"/>
    <w:rsid w:val="003D4941"/>
    <w:rsid w:val="003D496D"/>
    <w:rsid w:val="003D49F9"/>
    <w:rsid w:val="003D51F8"/>
    <w:rsid w:val="003D55B2"/>
    <w:rsid w:val="003D5760"/>
    <w:rsid w:val="003D600A"/>
    <w:rsid w:val="003D6956"/>
    <w:rsid w:val="003D70BD"/>
    <w:rsid w:val="003D70C5"/>
    <w:rsid w:val="003D7348"/>
    <w:rsid w:val="003D73A4"/>
    <w:rsid w:val="003D7DD3"/>
    <w:rsid w:val="003E02B4"/>
    <w:rsid w:val="003E067F"/>
    <w:rsid w:val="003E0994"/>
    <w:rsid w:val="003E0B8B"/>
    <w:rsid w:val="003E0C38"/>
    <w:rsid w:val="003E0E5B"/>
    <w:rsid w:val="003E1624"/>
    <w:rsid w:val="003E21F1"/>
    <w:rsid w:val="003E28B9"/>
    <w:rsid w:val="003E2F8A"/>
    <w:rsid w:val="003E3AC0"/>
    <w:rsid w:val="003E3B7E"/>
    <w:rsid w:val="003E3DE5"/>
    <w:rsid w:val="003E40D2"/>
    <w:rsid w:val="003E40E6"/>
    <w:rsid w:val="003E4493"/>
    <w:rsid w:val="003E4BF7"/>
    <w:rsid w:val="003E50B3"/>
    <w:rsid w:val="003E532B"/>
    <w:rsid w:val="003E541E"/>
    <w:rsid w:val="003E5492"/>
    <w:rsid w:val="003E556F"/>
    <w:rsid w:val="003E58F7"/>
    <w:rsid w:val="003E5AA6"/>
    <w:rsid w:val="003E5EE4"/>
    <w:rsid w:val="003E66C5"/>
    <w:rsid w:val="003E70DA"/>
    <w:rsid w:val="003E7BFD"/>
    <w:rsid w:val="003F0068"/>
    <w:rsid w:val="003F025E"/>
    <w:rsid w:val="003F069D"/>
    <w:rsid w:val="003F0703"/>
    <w:rsid w:val="003F0BA3"/>
    <w:rsid w:val="003F0C91"/>
    <w:rsid w:val="003F14AD"/>
    <w:rsid w:val="003F154C"/>
    <w:rsid w:val="003F15BE"/>
    <w:rsid w:val="003F18A6"/>
    <w:rsid w:val="003F1F3E"/>
    <w:rsid w:val="003F1F82"/>
    <w:rsid w:val="003F21EF"/>
    <w:rsid w:val="003F2347"/>
    <w:rsid w:val="003F2748"/>
    <w:rsid w:val="003F2C6A"/>
    <w:rsid w:val="003F2E54"/>
    <w:rsid w:val="003F2E6A"/>
    <w:rsid w:val="003F2EB4"/>
    <w:rsid w:val="003F2F84"/>
    <w:rsid w:val="003F3F72"/>
    <w:rsid w:val="003F435C"/>
    <w:rsid w:val="003F496F"/>
    <w:rsid w:val="003F4EB2"/>
    <w:rsid w:val="003F5022"/>
    <w:rsid w:val="003F6011"/>
    <w:rsid w:val="003F6DBE"/>
    <w:rsid w:val="003F6F67"/>
    <w:rsid w:val="003F70E5"/>
    <w:rsid w:val="003F7412"/>
    <w:rsid w:val="003F7F08"/>
    <w:rsid w:val="004001A6"/>
    <w:rsid w:val="004002A0"/>
    <w:rsid w:val="004002E3"/>
    <w:rsid w:val="004005FA"/>
    <w:rsid w:val="00400716"/>
    <w:rsid w:val="00400B88"/>
    <w:rsid w:val="00400D0D"/>
    <w:rsid w:val="0040114E"/>
    <w:rsid w:val="004018F8"/>
    <w:rsid w:val="00401A43"/>
    <w:rsid w:val="004025A7"/>
    <w:rsid w:val="00402B07"/>
    <w:rsid w:val="00403A15"/>
    <w:rsid w:val="00403B0F"/>
    <w:rsid w:val="0040432C"/>
    <w:rsid w:val="00404BEB"/>
    <w:rsid w:val="00404C5F"/>
    <w:rsid w:val="00404D43"/>
    <w:rsid w:val="00404F86"/>
    <w:rsid w:val="004051A4"/>
    <w:rsid w:val="00405360"/>
    <w:rsid w:val="00405376"/>
    <w:rsid w:val="00405751"/>
    <w:rsid w:val="004061F4"/>
    <w:rsid w:val="00406FC8"/>
    <w:rsid w:val="00407406"/>
    <w:rsid w:val="0040750B"/>
    <w:rsid w:val="004108E9"/>
    <w:rsid w:val="00411B66"/>
    <w:rsid w:val="00411DD3"/>
    <w:rsid w:val="00412057"/>
    <w:rsid w:val="004123FF"/>
    <w:rsid w:val="0041251E"/>
    <w:rsid w:val="0041262B"/>
    <w:rsid w:val="0041283B"/>
    <w:rsid w:val="0041322C"/>
    <w:rsid w:val="004132B7"/>
    <w:rsid w:val="00413495"/>
    <w:rsid w:val="00413704"/>
    <w:rsid w:val="00413B45"/>
    <w:rsid w:val="00413CDF"/>
    <w:rsid w:val="00413D21"/>
    <w:rsid w:val="00413F53"/>
    <w:rsid w:val="00414251"/>
    <w:rsid w:val="00414B48"/>
    <w:rsid w:val="00414BAB"/>
    <w:rsid w:val="00414F07"/>
    <w:rsid w:val="004150AA"/>
    <w:rsid w:val="004152DE"/>
    <w:rsid w:val="004155B9"/>
    <w:rsid w:val="00415B65"/>
    <w:rsid w:val="00415D1C"/>
    <w:rsid w:val="00416C1F"/>
    <w:rsid w:val="00416F38"/>
    <w:rsid w:val="004175C3"/>
    <w:rsid w:val="00417D9E"/>
    <w:rsid w:val="00420625"/>
    <w:rsid w:val="00420863"/>
    <w:rsid w:val="004217C6"/>
    <w:rsid w:val="004226A7"/>
    <w:rsid w:val="004226DA"/>
    <w:rsid w:val="004227B4"/>
    <w:rsid w:val="00422E43"/>
    <w:rsid w:val="004231CA"/>
    <w:rsid w:val="004231D5"/>
    <w:rsid w:val="0042324B"/>
    <w:rsid w:val="00423A1F"/>
    <w:rsid w:val="00423EEA"/>
    <w:rsid w:val="004249D0"/>
    <w:rsid w:val="00424C2B"/>
    <w:rsid w:val="00424D4F"/>
    <w:rsid w:val="0042500D"/>
    <w:rsid w:val="00425342"/>
    <w:rsid w:val="004255C6"/>
    <w:rsid w:val="00425683"/>
    <w:rsid w:val="00425696"/>
    <w:rsid w:val="00425847"/>
    <w:rsid w:val="0042591A"/>
    <w:rsid w:val="00425D5B"/>
    <w:rsid w:val="00426466"/>
    <w:rsid w:val="004264D2"/>
    <w:rsid w:val="00426820"/>
    <w:rsid w:val="00426E6D"/>
    <w:rsid w:val="00426E87"/>
    <w:rsid w:val="00427117"/>
    <w:rsid w:val="004272E7"/>
    <w:rsid w:val="0042795B"/>
    <w:rsid w:val="00427E06"/>
    <w:rsid w:val="00427E54"/>
    <w:rsid w:val="00430723"/>
    <w:rsid w:val="00430B45"/>
    <w:rsid w:val="00430E6F"/>
    <w:rsid w:val="00431074"/>
    <w:rsid w:val="00432183"/>
    <w:rsid w:val="00432225"/>
    <w:rsid w:val="0043263F"/>
    <w:rsid w:val="004333E1"/>
    <w:rsid w:val="00433662"/>
    <w:rsid w:val="0043390C"/>
    <w:rsid w:val="00433CAC"/>
    <w:rsid w:val="00433CFC"/>
    <w:rsid w:val="004347DA"/>
    <w:rsid w:val="00434F89"/>
    <w:rsid w:val="00435339"/>
    <w:rsid w:val="00435491"/>
    <w:rsid w:val="00435830"/>
    <w:rsid w:val="004358FC"/>
    <w:rsid w:val="004359BF"/>
    <w:rsid w:val="00435A03"/>
    <w:rsid w:val="00436894"/>
    <w:rsid w:val="00436EE6"/>
    <w:rsid w:val="00437722"/>
    <w:rsid w:val="00440261"/>
    <w:rsid w:val="00440539"/>
    <w:rsid w:val="004407E8"/>
    <w:rsid w:val="0044097E"/>
    <w:rsid w:val="00440D39"/>
    <w:rsid w:val="004413BF"/>
    <w:rsid w:val="0044221D"/>
    <w:rsid w:val="004429FC"/>
    <w:rsid w:val="00442B9D"/>
    <w:rsid w:val="00442DF7"/>
    <w:rsid w:val="00442EC4"/>
    <w:rsid w:val="00443392"/>
    <w:rsid w:val="00443777"/>
    <w:rsid w:val="00444029"/>
    <w:rsid w:val="0044445C"/>
    <w:rsid w:val="004445B7"/>
    <w:rsid w:val="00444CE2"/>
    <w:rsid w:val="00444DD1"/>
    <w:rsid w:val="00445534"/>
    <w:rsid w:val="00446000"/>
    <w:rsid w:val="0044669F"/>
    <w:rsid w:val="004470A6"/>
    <w:rsid w:val="00447143"/>
    <w:rsid w:val="0044738F"/>
    <w:rsid w:val="004473C5"/>
    <w:rsid w:val="004477EB"/>
    <w:rsid w:val="00447B08"/>
    <w:rsid w:val="00447E4D"/>
    <w:rsid w:val="0045063E"/>
    <w:rsid w:val="00450B3D"/>
    <w:rsid w:val="00450EA2"/>
    <w:rsid w:val="00450EC6"/>
    <w:rsid w:val="00451133"/>
    <w:rsid w:val="004512A4"/>
    <w:rsid w:val="00451D7A"/>
    <w:rsid w:val="0045231E"/>
    <w:rsid w:val="00452365"/>
    <w:rsid w:val="00452558"/>
    <w:rsid w:val="00452742"/>
    <w:rsid w:val="0045274E"/>
    <w:rsid w:val="0045275E"/>
    <w:rsid w:val="00452973"/>
    <w:rsid w:val="00452BD7"/>
    <w:rsid w:val="00453301"/>
    <w:rsid w:val="004534E8"/>
    <w:rsid w:val="0045394B"/>
    <w:rsid w:val="004547E9"/>
    <w:rsid w:val="00454E5A"/>
    <w:rsid w:val="0045501C"/>
    <w:rsid w:val="00456322"/>
    <w:rsid w:val="00456518"/>
    <w:rsid w:val="00456763"/>
    <w:rsid w:val="00456EE3"/>
    <w:rsid w:val="0045706B"/>
    <w:rsid w:val="0045706E"/>
    <w:rsid w:val="00457CF4"/>
    <w:rsid w:val="00460709"/>
    <w:rsid w:val="00461660"/>
    <w:rsid w:val="00462973"/>
    <w:rsid w:val="0046363A"/>
    <w:rsid w:val="0046393E"/>
    <w:rsid w:val="00463AF8"/>
    <w:rsid w:val="00464126"/>
    <w:rsid w:val="00464ACC"/>
    <w:rsid w:val="00464B5E"/>
    <w:rsid w:val="00464B6F"/>
    <w:rsid w:val="00464EE8"/>
    <w:rsid w:val="00465440"/>
    <w:rsid w:val="00465C4A"/>
    <w:rsid w:val="00465F12"/>
    <w:rsid w:val="00466270"/>
    <w:rsid w:val="004663B8"/>
    <w:rsid w:val="004663E1"/>
    <w:rsid w:val="00466BE3"/>
    <w:rsid w:val="00466DEC"/>
    <w:rsid w:val="0046736A"/>
    <w:rsid w:val="00467793"/>
    <w:rsid w:val="00467CFC"/>
    <w:rsid w:val="00470177"/>
    <w:rsid w:val="0047072D"/>
    <w:rsid w:val="0047097F"/>
    <w:rsid w:val="00470A2D"/>
    <w:rsid w:val="00470CE1"/>
    <w:rsid w:val="00470FB9"/>
    <w:rsid w:val="0047190A"/>
    <w:rsid w:val="0047196A"/>
    <w:rsid w:val="00471CA7"/>
    <w:rsid w:val="00471DD3"/>
    <w:rsid w:val="00472258"/>
    <w:rsid w:val="004727C4"/>
    <w:rsid w:val="00472E9B"/>
    <w:rsid w:val="0047303B"/>
    <w:rsid w:val="00473B67"/>
    <w:rsid w:val="00473BE8"/>
    <w:rsid w:val="00473C12"/>
    <w:rsid w:val="0047403F"/>
    <w:rsid w:val="00474941"/>
    <w:rsid w:val="00475FA4"/>
    <w:rsid w:val="004764B3"/>
    <w:rsid w:val="004768ED"/>
    <w:rsid w:val="004769C4"/>
    <w:rsid w:val="00477120"/>
    <w:rsid w:val="0048015F"/>
    <w:rsid w:val="00480203"/>
    <w:rsid w:val="004809FE"/>
    <w:rsid w:val="004814CE"/>
    <w:rsid w:val="0048196D"/>
    <w:rsid w:val="00481F9D"/>
    <w:rsid w:val="0048213D"/>
    <w:rsid w:val="004822BC"/>
    <w:rsid w:val="0048230F"/>
    <w:rsid w:val="00482950"/>
    <w:rsid w:val="00483040"/>
    <w:rsid w:val="00484097"/>
    <w:rsid w:val="00484142"/>
    <w:rsid w:val="00484ABE"/>
    <w:rsid w:val="00485890"/>
    <w:rsid w:val="00485C9E"/>
    <w:rsid w:val="00485E0C"/>
    <w:rsid w:val="00486817"/>
    <w:rsid w:val="00486A2B"/>
    <w:rsid w:val="00486D92"/>
    <w:rsid w:val="004872C7"/>
    <w:rsid w:val="004873C4"/>
    <w:rsid w:val="004874F8"/>
    <w:rsid w:val="004876CF"/>
    <w:rsid w:val="004904C9"/>
    <w:rsid w:val="0049077F"/>
    <w:rsid w:val="004910B3"/>
    <w:rsid w:val="00491697"/>
    <w:rsid w:val="00491BFD"/>
    <w:rsid w:val="00492115"/>
    <w:rsid w:val="00492561"/>
    <w:rsid w:val="004925B2"/>
    <w:rsid w:val="00492724"/>
    <w:rsid w:val="00492C92"/>
    <w:rsid w:val="00492F85"/>
    <w:rsid w:val="0049363B"/>
    <w:rsid w:val="004939EE"/>
    <w:rsid w:val="0049549C"/>
    <w:rsid w:val="004955E9"/>
    <w:rsid w:val="004957CC"/>
    <w:rsid w:val="00495E15"/>
    <w:rsid w:val="00495E5C"/>
    <w:rsid w:val="00496034"/>
    <w:rsid w:val="004972FF"/>
    <w:rsid w:val="004975AA"/>
    <w:rsid w:val="0049786D"/>
    <w:rsid w:val="00497A5B"/>
    <w:rsid w:val="00497E66"/>
    <w:rsid w:val="004A01B1"/>
    <w:rsid w:val="004A032C"/>
    <w:rsid w:val="004A0A8C"/>
    <w:rsid w:val="004A0B0C"/>
    <w:rsid w:val="004A0BA6"/>
    <w:rsid w:val="004A0F5D"/>
    <w:rsid w:val="004A125C"/>
    <w:rsid w:val="004A1684"/>
    <w:rsid w:val="004A16BE"/>
    <w:rsid w:val="004A1E18"/>
    <w:rsid w:val="004A218E"/>
    <w:rsid w:val="004A23E3"/>
    <w:rsid w:val="004A28A6"/>
    <w:rsid w:val="004A2B94"/>
    <w:rsid w:val="004A2D5D"/>
    <w:rsid w:val="004A2FBE"/>
    <w:rsid w:val="004A3553"/>
    <w:rsid w:val="004A3FF1"/>
    <w:rsid w:val="004A446B"/>
    <w:rsid w:val="004A4E6B"/>
    <w:rsid w:val="004A5338"/>
    <w:rsid w:val="004A53E8"/>
    <w:rsid w:val="004A5D9F"/>
    <w:rsid w:val="004A5DF7"/>
    <w:rsid w:val="004A622D"/>
    <w:rsid w:val="004A672B"/>
    <w:rsid w:val="004A6C38"/>
    <w:rsid w:val="004A6CD8"/>
    <w:rsid w:val="004A6D9A"/>
    <w:rsid w:val="004A6F51"/>
    <w:rsid w:val="004A714D"/>
    <w:rsid w:val="004A7362"/>
    <w:rsid w:val="004A74B1"/>
    <w:rsid w:val="004A778D"/>
    <w:rsid w:val="004A7B43"/>
    <w:rsid w:val="004A7FEF"/>
    <w:rsid w:val="004B05D4"/>
    <w:rsid w:val="004B14B6"/>
    <w:rsid w:val="004B1EEC"/>
    <w:rsid w:val="004B2AF4"/>
    <w:rsid w:val="004B2B83"/>
    <w:rsid w:val="004B2D5E"/>
    <w:rsid w:val="004B3074"/>
    <w:rsid w:val="004B31EC"/>
    <w:rsid w:val="004B3226"/>
    <w:rsid w:val="004B3750"/>
    <w:rsid w:val="004B4207"/>
    <w:rsid w:val="004B4A80"/>
    <w:rsid w:val="004B4BF8"/>
    <w:rsid w:val="004B5615"/>
    <w:rsid w:val="004B56A8"/>
    <w:rsid w:val="004B5796"/>
    <w:rsid w:val="004B5BF0"/>
    <w:rsid w:val="004B6243"/>
    <w:rsid w:val="004B658C"/>
    <w:rsid w:val="004B68CA"/>
    <w:rsid w:val="004B6FD8"/>
    <w:rsid w:val="004B70A4"/>
    <w:rsid w:val="004B7241"/>
    <w:rsid w:val="004B729C"/>
    <w:rsid w:val="004B73AE"/>
    <w:rsid w:val="004B7825"/>
    <w:rsid w:val="004B79CE"/>
    <w:rsid w:val="004C0205"/>
    <w:rsid w:val="004C0712"/>
    <w:rsid w:val="004C0D12"/>
    <w:rsid w:val="004C1066"/>
    <w:rsid w:val="004C107F"/>
    <w:rsid w:val="004C13E2"/>
    <w:rsid w:val="004C13FB"/>
    <w:rsid w:val="004C14B0"/>
    <w:rsid w:val="004C16CD"/>
    <w:rsid w:val="004C17B4"/>
    <w:rsid w:val="004C1B7D"/>
    <w:rsid w:val="004C1FC8"/>
    <w:rsid w:val="004C2066"/>
    <w:rsid w:val="004C2AD6"/>
    <w:rsid w:val="004C2FD3"/>
    <w:rsid w:val="004C326C"/>
    <w:rsid w:val="004C3B95"/>
    <w:rsid w:val="004C3CD7"/>
    <w:rsid w:val="004C3E07"/>
    <w:rsid w:val="004C45CD"/>
    <w:rsid w:val="004C4959"/>
    <w:rsid w:val="004C4AE9"/>
    <w:rsid w:val="004C5360"/>
    <w:rsid w:val="004C5410"/>
    <w:rsid w:val="004C552F"/>
    <w:rsid w:val="004C556B"/>
    <w:rsid w:val="004C59F6"/>
    <w:rsid w:val="004C686B"/>
    <w:rsid w:val="004C6977"/>
    <w:rsid w:val="004C69CE"/>
    <w:rsid w:val="004C6FC1"/>
    <w:rsid w:val="004C7458"/>
    <w:rsid w:val="004C7CBA"/>
    <w:rsid w:val="004C7EC0"/>
    <w:rsid w:val="004D0F11"/>
    <w:rsid w:val="004D0F61"/>
    <w:rsid w:val="004D1319"/>
    <w:rsid w:val="004D1595"/>
    <w:rsid w:val="004D1605"/>
    <w:rsid w:val="004D177E"/>
    <w:rsid w:val="004D1D2D"/>
    <w:rsid w:val="004D1F1B"/>
    <w:rsid w:val="004D20D3"/>
    <w:rsid w:val="004D226A"/>
    <w:rsid w:val="004D2927"/>
    <w:rsid w:val="004D2B8B"/>
    <w:rsid w:val="004D2D21"/>
    <w:rsid w:val="004D3058"/>
    <w:rsid w:val="004D35C2"/>
    <w:rsid w:val="004D3E4B"/>
    <w:rsid w:val="004D4000"/>
    <w:rsid w:val="004D4208"/>
    <w:rsid w:val="004D429A"/>
    <w:rsid w:val="004D42C4"/>
    <w:rsid w:val="004D457B"/>
    <w:rsid w:val="004D46F4"/>
    <w:rsid w:val="004D4F6C"/>
    <w:rsid w:val="004D52E6"/>
    <w:rsid w:val="004D538C"/>
    <w:rsid w:val="004D5A6D"/>
    <w:rsid w:val="004D5BC2"/>
    <w:rsid w:val="004D5EC5"/>
    <w:rsid w:val="004D65D4"/>
    <w:rsid w:val="004D6672"/>
    <w:rsid w:val="004D6689"/>
    <w:rsid w:val="004D6837"/>
    <w:rsid w:val="004D6D60"/>
    <w:rsid w:val="004D6FCB"/>
    <w:rsid w:val="004D6FEE"/>
    <w:rsid w:val="004D720F"/>
    <w:rsid w:val="004D7712"/>
    <w:rsid w:val="004D7910"/>
    <w:rsid w:val="004D7977"/>
    <w:rsid w:val="004D7D9A"/>
    <w:rsid w:val="004D7F8F"/>
    <w:rsid w:val="004E0024"/>
    <w:rsid w:val="004E10FC"/>
    <w:rsid w:val="004E1B94"/>
    <w:rsid w:val="004E25BF"/>
    <w:rsid w:val="004E27DE"/>
    <w:rsid w:val="004E2A07"/>
    <w:rsid w:val="004E2E8B"/>
    <w:rsid w:val="004E2E8F"/>
    <w:rsid w:val="004E37AA"/>
    <w:rsid w:val="004E38B0"/>
    <w:rsid w:val="004E3B4C"/>
    <w:rsid w:val="004E405E"/>
    <w:rsid w:val="004E4BD9"/>
    <w:rsid w:val="004E56FB"/>
    <w:rsid w:val="004E5991"/>
    <w:rsid w:val="004E5A45"/>
    <w:rsid w:val="004E5AB8"/>
    <w:rsid w:val="004E6585"/>
    <w:rsid w:val="004E678A"/>
    <w:rsid w:val="004E7302"/>
    <w:rsid w:val="004E7449"/>
    <w:rsid w:val="004E7AE7"/>
    <w:rsid w:val="004E7DC3"/>
    <w:rsid w:val="004E7E9B"/>
    <w:rsid w:val="004F009E"/>
    <w:rsid w:val="004F0876"/>
    <w:rsid w:val="004F0B8A"/>
    <w:rsid w:val="004F29E7"/>
    <w:rsid w:val="004F2E8C"/>
    <w:rsid w:val="004F31AF"/>
    <w:rsid w:val="004F3374"/>
    <w:rsid w:val="004F4EF5"/>
    <w:rsid w:val="004F58AF"/>
    <w:rsid w:val="004F5F8F"/>
    <w:rsid w:val="004F6142"/>
    <w:rsid w:val="004F63F7"/>
    <w:rsid w:val="004F641D"/>
    <w:rsid w:val="004F65BE"/>
    <w:rsid w:val="004F703A"/>
    <w:rsid w:val="004F7350"/>
    <w:rsid w:val="004F7A6C"/>
    <w:rsid w:val="005004A2"/>
    <w:rsid w:val="005006AD"/>
    <w:rsid w:val="00500B88"/>
    <w:rsid w:val="0050160B"/>
    <w:rsid w:val="00501944"/>
    <w:rsid w:val="0050196A"/>
    <w:rsid w:val="00501A57"/>
    <w:rsid w:val="00501E42"/>
    <w:rsid w:val="00501FF5"/>
    <w:rsid w:val="00502E3D"/>
    <w:rsid w:val="00502E52"/>
    <w:rsid w:val="0050392E"/>
    <w:rsid w:val="00503B46"/>
    <w:rsid w:val="005046CF"/>
    <w:rsid w:val="005048AF"/>
    <w:rsid w:val="0050495D"/>
    <w:rsid w:val="005052CA"/>
    <w:rsid w:val="0050546A"/>
    <w:rsid w:val="00506C3E"/>
    <w:rsid w:val="005070E0"/>
    <w:rsid w:val="0050713D"/>
    <w:rsid w:val="0050760D"/>
    <w:rsid w:val="0050762C"/>
    <w:rsid w:val="0050790A"/>
    <w:rsid w:val="00507A2A"/>
    <w:rsid w:val="00507C08"/>
    <w:rsid w:val="00507FA7"/>
    <w:rsid w:val="0051010F"/>
    <w:rsid w:val="00510183"/>
    <w:rsid w:val="005101F4"/>
    <w:rsid w:val="00510284"/>
    <w:rsid w:val="00510524"/>
    <w:rsid w:val="00510971"/>
    <w:rsid w:val="0051104D"/>
    <w:rsid w:val="00511642"/>
    <w:rsid w:val="005119D5"/>
    <w:rsid w:val="005124E2"/>
    <w:rsid w:val="005129D7"/>
    <w:rsid w:val="00512BB1"/>
    <w:rsid w:val="00512C7C"/>
    <w:rsid w:val="00512D52"/>
    <w:rsid w:val="005132E7"/>
    <w:rsid w:val="00513613"/>
    <w:rsid w:val="00514851"/>
    <w:rsid w:val="00514F1E"/>
    <w:rsid w:val="00515622"/>
    <w:rsid w:val="0051585E"/>
    <w:rsid w:val="00515B87"/>
    <w:rsid w:val="00515CAF"/>
    <w:rsid w:val="00516C79"/>
    <w:rsid w:val="00517A41"/>
    <w:rsid w:val="00517B7F"/>
    <w:rsid w:val="00517BA3"/>
    <w:rsid w:val="00517E24"/>
    <w:rsid w:val="0052061C"/>
    <w:rsid w:val="0052086B"/>
    <w:rsid w:val="00520B8E"/>
    <w:rsid w:val="0052122F"/>
    <w:rsid w:val="00521464"/>
    <w:rsid w:val="005217BA"/>
    <w:rsid w:val="00521F7F"/>
    <w:rsid w:val="00522109"/>
    <w:rsid w:val="00522214"/>
    <w:rsid w:val="00522A76"/>
    <w:rsid w:val="00522EA9"/>
    <w:rsid w:val="0052370A"/>
    <w:rsid w:val="00523A7B"/>
    <w:rsid w:val="0052421C"/>
    <w:rsid w:val="0052460E"/>
    <w:rsid w:val="00524695"/>
    <w:rsid w:val="005246BC"/>
    <w:rsid w:val="00524C32"/>
    <w:rsid w:val="00525371"/>
    <w:rsid w:val="0052558A"/>
    <w:rsid w:val="0052574C"/>
    <w:rsid w:val="0052581B"/>
    <w:rsid w:val="00525831"/>
    <w:rsid w:val="00525D58"/>
    <w:rsid w:val="00525F07"/>
    <w:rsid w:val="005265CD"/>
    <w:rsid w:val="00527182"/>
    <w:rsid w:val="005277EF"/>
    <w:rsid w:val="0052781E"/>
    <w:rsid w:val="00527A12"/>
    <w:rsid w:val="00527AB1"/>
    <w:rsid w:val="00527C2B"/>
    <w:rsid w:val="00527C6E"/>
    <w:rsid w:val="005303B4"/>
    <w:rsid w:val="0053055B"/>
    <w:rsid w:val="00530A33"/>
    <w:rsid w:val="00530CA4"/>
    <w:rsid w:val="00531108"/>
    <w:rsid w:val="0053238C"/>
    <w:rsid w:val="005326A8"/>
    <w:rsid w:val="00532A5D"/>
    <w:rsid w:val="0053339F"/>
    <w:rsid w:val="005337F5"/>
    <w:rsid w:val="00533860"/>
    <w:rsid w:val="00533F56"/>
    <w:rsid w:val="005341B9"/>
    <w:rsid w:val="00534EB7"/>
    <w:rsid w:val="00535B51"/>
    <w:rsid w:val="00535DEC"/>
    <w:rsid w:val="00535DF5"/>
    <w:rsid w:val="00535F4A"/>
    <w:rsid w:val="00536AA3"/>
    <w:rsid w:val="00537041"/>
    <w:rsid w:val="00537174"/>
    <w:rsid w:val="00537893"/>
    <w:rsid w:val="00537DEB"/>
    <w:rsid w:val="00537ECF"/>
    <w:rsid w:val="005406BE"/>
    <w:rsid w:val="005408E0"/>
    <w:rsid w:val="00540BF4"/>
    <w:rsid w:val="005412C4"/>
    <w:rsid w:val="0054144C"/>
    <w:rsid w:val="00541A3F"/>
    <w:rsid w:val="00542751"/>
    <w:rsid w:val="00542812"/>
    <w:rsid w:val="00542917"/>
    <w:rsid w:val="00542E11"/>
    <w:rsid w:val="00543028"/>
    <w:rsid w:val="0054334A"/>
    <w:rsid w:val="005433AD"/>
    <w:rsid w:val="005433F4"/>
    <w:rsid w:val="00543546"/>
    <w:rsid w:val="0054386D"/>
    <w:rsid w:val="005439BF"/>
    <w:rsid w:val="00543BE1"/>
    <w:rsid w:val="00543C1C"/>
    <w:rsid w:val="00544130"/>
    <w:rsid w:val="00544317"/>
    <w:rsid w:val="005445F7"/>
    <w:rsid w:val="00545781"/>
    <w:rsid w:val="00545BAA"/>
    <w:rsid w:val="005460D8"/>
    <w:rsid w:val="0054628E"/>
    <w:rsid w:val="005463EE"/>
    <w:rsid w:val="005465BF"/>
    <w:rsid w:val="00546603"/>
    <w:rsid w:val="00546E22"/>
    <w:rsid w:val="00547E42"/>
    <w:rsid w:val="00550679"/>
    <w:rsid w:val="0055094B"/>
    <w:rsid w:val="00550A0D"/>
    <w:rsid w:val="00550C8A"/>
    <w:rsid w:val="00550F24"/>
    <w:rsid w:val="00551253"/>
    <w:rsid w:val="00552123"/>
    <w:rsid w:val="005525B2"/>
    <w:rsid w:val="00552655"/>
    <w:rsid w:val="00552825"/>
    <w:rsid w:val="00552992"/>
    <w:rsid w:val="00552DB7"/>
    <w:rsid w:val="00553332"/>
    <w:rsid w:val="00553BDB"/>
    <w:rsid w:val="00553D50"/>
    <w:rsid w:val="005548F5"/>
    <w:rsid w:val="00554AA8"/>
    <w:rsid w:val="005550E4"/>
    <w:rsid w:val="005558FF"/>
    <w:rsid w:val="00555A56"/>
    <w:rsid w:val="0055631A"/>
    <w:rsid w:val="00556435"/>
    <w:rsid w:val="005569DC"/>
    <w:rsid w:val="00557502"/>
    <w:rsid w:val="00557AEF"/>
    <w:rsid w:val="005608A0"/>
    <w:rsid w:val="00560DE8"/>
    <w:rsid w:val="00560EE0"/>
    <w:rsid w:val="005614BD"/>
    <w:rsid w:val="00561936"/>
    <w:rsid w:val="00561EB9"/>
    <w:rsid w:val="005620A5"/>
    <w:rsid w:val="0056217F"/>
    <w:rsid w:val="005623D4"/>
    <w:rsid w:val="00562C71"/>
    <w:rsid w:val="00563643"/>
    <w:rsid w:val="00563714"/>
    <w:rsid w:val="005637F9"/>
    <w:rsid w:val="00563CE0"/>
    <w:rsid w:val="00563E37"/>
    <w:rsid w:val="0056416E"/>
    <w:rsid w:val="005645F3"/>
    <w:rsid w:val="00564795"/>
    <w:rsid w:val="00564941"/>
    <w:rsid w:val="00564C5C"/>
    <w:rsid w:val="00564E54"/>
    <w:rsid w:val="0056519D"/>
    <w:rsid w:val="00565217"/>
    <w:rsid w:val="005656F3"/>
    <w:rsid w:val="00565AF7"/>
    <w:rsid w:val="00565C7A"/>
    <w:rsid w:val="0056637D"/>
    <w:rsid w:val="00567240"/>
    <w:rsid w:val="0056728B"/>
    <w:rsid w:val="005675A8"/>
    <w:rsid w:val="005676B4"/>
    <w:rsid w:val="00567D6E"/>
    <w:rsid w:val="00567E88"/>
    <w:rsid w:val="005706C2"/>
    <w:rsid w:val="00570E6E"/>
    <w:rsid w:val="00571A6F"/>
    <w:rsid w:val="0057219E"/>
    <w:rsid w:val="0057243E"/>
    <w:rsid w:val="00572487"/>
    <w:rsid w:val="0057257B"/>
    <w:rsid w:val="00572C00"/>
    <w:rsid w:val="0057355E"/>
    <w:rsid w:val="00573644"/>
    <w:rsid w:val="00573676"/>
    <w:rsid w:val="0057378B"/>
    <w:rsid w:val="00573B2C"/>
    <w:rsid w:val="00574058"/>
    <w:rsid w:val="00574226"/>
    <w:rsid w:val="0057455F"/>
    <w:rsid w:val="005746E4"/>
    <w:rsid w:val="00575152"/>
    <w:rsid w:val="00575184"/>
    <w:rsid w:val="005756F5"/>
    <w:rsid w:val="00575B88"/>
    <w:rsid w:val="00576930"/>
    <w:rsid w:val="00576B01"/>
    <w:rsid w:val="00576C88"/>
    <w:rsid w:val="005770F3"/>
    <w:rsid w:val="00577BB4"/>
    <w:rsid w:val="0058063C"/>
    <w:rsid w:val="005807FD"/>
    <w:rsid w:val="00580949"/>
    <w:rsid w:val="00580E37"/>
    <w:rsid w:val="00580E4A"/>
    <w:rsid w:val="00580E8B"/>
    <w:rsid w:val="0058155C"/>
    <w:rsid w:val="00581820"/>
    <w:rsid w:val="00581855"/>
    <w:rsid w:val="00582834"/>
    <w:rsid w:val="00582E25"/>
    <w:rsid w:val="00582FEA"/>
    <w:rsid w:val="005832A3"/>
    <w:rsid w:val="00583384"/>
    <w:rsid w:val="0058390F"/>
    <w:rsid w:val="005841A3"/>
    <w:rsid w:val="0058468E"/>
    <w:rsid w:val="005846A8"/>
    <w:rsid w:val="00584B85"/>
    <w:rsid w:val="00584D28"/>
    <w:rsid w:val="00585459"/>
    <w:rsid w:val="005854DE"/>
    <w:rsid w:val="00585AA4"/>
    <w:rsid w:val="00585C64"/>
    <w:rsid w:val="00585CDA"/>
    <w:rsid w:val="00586153"/>
    <w:rsid w:val="005862C8"/>
    <w:rsid w:val="005866D1"/>
    <w:rsid w:val="00586A05"/>
    <w:rsid w:val="00586CB4"/>
    <w:rsid w:val="00586F05"/>
    <w:rsid w:val="00587092"/>
    <w:rsid w:val="00587272"/>
    <w:rsid w:val="0058758C"/>
    <w:rsid w:val="005875DD"/>
    <w:rsid w:val="00587A72"/>
    <w:rsid w:val="00587AEA"/>
    <w:rsid w:val="00587BA2"/>
    <w:rsid w:val="0059038D"/>
    <w:rsid w:val="00590B08"/>
    <w:rsid w:val="00590B2A"/>
    <w:rsid w:val="00590E82"/>
    <w:rsid w:val="00590F34"/>
    <w:rsid w:val="0059114D"/>
    <w:rsid w:val="0059212B"/>
    <w:rsid w:val="00592145"/>
    <w:rsid w:val="005921E0"/>
    <w:rsid w:val="00592495"/>
    <w:rsid w:val="00592AC5"/>
    <w:rsid w:val="00592DCE"/>
    <w:rsid w:val="00593016"/>
    <w:rsid w:val="005935AF"/>
    <w:rsid w:val="00593799"/>
    <w:rsid w:val="005941A3"/>
    <w:rsid w:val="005945F4"/>
    <w:rsid w:val="00594680"/>
    <w:rsid w:val="00594DF4"/>
    <w:rsid w:val="00594DFF"/>
    <w:rsid w:val="005954BA"/>
    <w:rsid w:val="0059622E"/>
    <w:rsid w:val="00596639"/>
    <w:rsid w:val="005971E6"/>
    <w:rsid w:val="00597C49"/>
    <w:rsid w:val="005A02E1"/>
    <w:rsid w:val="005A0AC3"/>
    <w:rsid w:val="005A0E4A"/>
    <w:rsid w:val="005A112E"/>
    <w:rsid w:val="005A12D9"/>
    <w:rsid w:val="005A1A83"/>
    <w:rsid w:val="005A227C"/>
    <w:rsid w:val="005A2530"/>
    <w:rsid w:val="005A2585"/>
    <w:rsid w:val="005A2889"/>
    <w:rsid w:val="005A292E"/>
    <w:rsid w:val="005A3681"/>
    <w:rsid w:val="005A3F12"/>
    <w:rsid w:val="005A4337"/>
    <w:rsid w:val="005A4A34"/>
    <w:rsid w:val="005A5255"/>
    <w:rsid w:val="005A56C0"/>
    <w:rsid w:val="005A5A9D"/>
    <w:rsid w:val="005A6F6E"/>
    <w:rsid w:val="005A7048"/>
    <w:rsid w:val="005A76B8"/>
    <w:rsid w:val="005A778B"/>
    <w:rsid w:val="005A7923"/>
    <w:rsid w:val="005A7B0F"/>
    <w:rsid w:val="005A7B8E"/>
    <w:rsid w:val="005B0478"/>
    <w:rsid w:val="005B0625"/>
    <w:rsid w:val="005B10E6"/>
    <w:rsid w:val="005B15FD"/>
    <w:rsid w:val="005B1892"/>
    <w:rsid w:val="005B1CAE"/>
    <w:rsid w:val="005B1F2A"/>
    <w:rsid w:val="005B22E1"/>
    <w:rsid w:val="005B24A8"/>
    <w:rsid w:val="005B26AD"/>
    <w:rsid w:val="005B273E"/>
    <w:rsid w:val="005B28D5"/>
    <w:rsid w:val="005B3AA5"/>
    <w:rsid w:val="005B3EF0"/>
    <w:rsid w:val="005B4320"/>
    <w:rsid w:val="005B4419"/>
    <w:rsid w:val="005B4C94"/>
    <w:rsid w:val="005B4DA6"/>
    <w:rsid w:val="005B510A"/>
    <w:rsid w:val="005B5197"/>
    <w:rsid w:val="005B5862"/>
    <w:rsid w:val="005B5C61"/>
    <w:rsid w:val="005B5CE4"/>
    <w:rsid w:val="005B62D2"/>
    <w:rsid w:val="005B6894"/>
    <w:rsid w:val="005B705E"/>
    <w:rsid w:val="005B71A5"/>
    <w:rsid w:val="005B7869"/>
    <w:rsid w:val="005B7AAF"/>
    <w:rsid w:val="005B7F3D"/>
    <w:rsid w:val="005C035A"/>
    <w:rsid w:val="005C0555"/>
    <w:rsid w:val="005C0A6B"/>
    <w:rsid w:val="005C0A82"/>
    <w:rsid w:val="005C0CC7"/>
    <w:rsid w:val="005C1393"/>
    <w:rsid w:val="005C161B"/>
    <w:rsid w:val="005C1A8D"/>
    <w:rsid w:val="005C1A94"/>
    <w:rsid w:val="005C1F3F"/>
    <w:rsid w:val="005C2010"/>
    <w:rsid w:val="005C25C9"/>
    <w:rsid w:val="005C2670"/>
    <w:rsid w:val="005C26C3"/>
    <w:rsid w:val="005C2A46"/>
    <w:rsid w:val="005C2D21"/>
    <w:rsid w:val="005C2E91"/>
    <w:rsid w:val="005C3FB8"/>
    <w:rsid w:val="005C414C"/>
    <w:rsid w:val="005C4BAB"/>
    <w:rsid w:val="005C4FDA"/>
    <w:rsid w:val="005C51A3"/>
    <w:rsid w:val="005C5E31"/>
    <w:rsid w:val="005C6147"/>
    <w:rsid w:val="005C69DA"/>
    <w:rsid w:val="005C6CB8"/>
    <w:rsid w:val="005C6EF6"/>
    <w:rsid w:val="005C709D"/>
    <w:rsid w:val="005C7645"/>
    <w:rsid w:val="005C79B2"/>
    <w:rsid w:val="005C7B86"/>
    <w:rsid w:val="005D0242"/>
    <w:rsid w:val="005D1225"/>
    <w:rsid w:val="005D141C"/>
    <w:rsid w:val="005D26BA"/>
    <w:rsid w:val="005D364C"/>
    <w:rsid w:val="005D38EA"/>
    <w:rsid w:val="005D39AF"/>
    <w:rsid w:val="005D3A42"/>
    <w:rsid w:val="005D3C0B"/>
    <w:rsid w:val="005D42DD"/>
    <w:rsid w:val="005D4404"/>
    <w:rsid w:val="005D448A"/>
    <w:rsid w:val="005D498C"/>
    <w:rsid w:val="005D4EB3"/>
    <w:rsid w:val="005D5558"/>
    <w:rsid w:val="005D594B"/>
    <w:rsid w:val="005D5AAC"/>
    <w:rsid w:val="005D637E"/>
    <w:rsid w:val="005D6BBE"/>
    <w:rsid w:val="005D6EC2"/>
    <w:rsid w:val="005D7193"/>
    <w:rsid w:val="005D76BC"/>
    <w:rsid w:val="005D7CEE"/>
    <w:rsid w:val="005E008C"/>
    <w:rsid w:val="005E0962"/>
    <w:rsid w:val="005E0F19"/>
    <w:rsid w:val="005E182F"/>
    <w:rsid w:val="005E185D"/>
    <w:rsid w:val="005E18C4"/>
    <w:rsid w:val="005E1CEC"/>
    <w:rsid w:val="005E1E53"/>
    <w:rsid w:val="005E346B"/>
    <w:rsid w:val="005E3D49"/>
    <w:rsid w:val="005E3D7F"/>
    <w:rsid w:val="005E41B5"/>
    <w:rsid w:val="005E4290"/>
    <w:rsid w:val="005E4D98"/>
    <w:rsid w:val="005E4DE4"/>
    <w:rsid w:val="005E5081"/>
    <w:rsid w:val="005E560F"/>
    <w:rsid w:val="005E573A"/>
    <w:rsid w:val="005E58E3"/>
    <w:rsid w:val="005E67BA"/>
    <w:rsid w:val="005E6ADD"/>
    <w:rsid w:val="005E6B5B"/>
    <w:rsid w:val="005E6ED2"/>
    <w:rsid w:val="005E75A3"/>
    <w:rsid w:val="005E7AC1"/>
    <w:rsid w:val="005E7BB9"/>
    <w:rsid w:val="005E7CFB"/>
    <w:rsid w:val="005F0850"/>
    <w:rsid w:val="005F0C33"/>
    <w:rsid w:val="005F0CE9"/>
    <w:rsid w:val="005F0FDA"/>
    <w:rsid w:val="005F1017"/>
    <w:rsid w:val="005F14F3"/>
    <w:rsid w:val="005F1536"/>
    <w:rsid w:val="005F1672"/>
    <w:rsid w:val="005F1778"/>
    <w:rsid w:val="005F1F97"/>
    <w:rsid w:val="005F1FE6"/>
    <w:rsid w:val="005F2307"/>
    <w:rsid w:val="005F2A06"/>
    <w:rsid w:val="005F33E0"/>
    <w:rsid w:val="005F3C69"/>
    <w:rsid w:val="005F43B0"/>
    <w:rsid w:val="005F513E"/>
    <w:rsid w:val="005F53EE"/>
    <w:rsid w:val="005F5A77"/>
    <w:rsid w:val="005F6BB7"/>
    <w:rsid w:val="005F6CF9"/>
    <w:rsid w:val="005F6E50"/>
    <w:rsid w:val="005F74DA"/>
    <w:rsid w:val="0060068D"/>
    <w:rsid w:val="0060076C"/>
    <w:rsid w:val="0060095E"/>
    <w:rsid w:val="00600CA7"/>
    <w:rsid w:val="00600F0C"/>
    <w:rsid w:val="00601397"/>
    <w:rsid w:val="00601510"/>
    <w:rsid w:val="00601673"/>
    <w:rsid w:val="00601D92"/>
    <w:rsid w:val="00602454"/>
    <w:rsid w:val="00602B89"/>
    <w:rsid w:val="00602C9D"/>
    <w:rsid w:val="006032ED"/>
    <w:rsid w:val="0060377B"/>
    <w:rsid w:val="006038F1"/>
    <w:rsid w:val="00606094"/>
    <w:rsid w:val="00606124"/>
    <w:rsid w:val="00606512"/>
    <w:rsid w:val="006065D8"/>
    <w:rsid w:val="00606852"/>
    <w:rsid w:val="006068EE"/>
    <w:rsid w:val="00606BCC"/>
    <w:rsid w:val="00606C47"/>
    <w:rsid w:val="00606E44"/>
    <w:rsid w:val="006072B1"/>
    <w:rsid w:val="00607AF2"/>
    <w:rsid w:val="00607BAB"/>
    <w:rsid w:val="00607DD3"/>
    <w:rsid w:val="0061035F"/>
    <w:rsid w:val="0061040A"/>
    <w:rsid w:val="00610537"/>
    <w:rsid w:val="0061071A"/>
    <w:rsid w:val="00610907"/>
    <w:rsid w:val="00610FB4"/>
    <w:rsid w:val="00610FE4"/>
    <w:rsid w:val="00611DA5"/>
    <w:rsid w:val="0061213C"/>
    <w:rsid w:val="00612B0A"/>
    <w:rsid w:val="00612F58"/>
    <w:rsid w:val="00613233"/>
    <w:rsid w:val="00613423"/>
    <w:rsid w:val="00613505"/>
    <w:rsid w:val="006138CF"/>
    <w:rsid w:val="0061397B"/>
    <w:rsid w:val="00613F3E"/>
    <w:rsid w:val="00614298"/>
    <w:rsid w:val="00614B01"/>
    <w:rsid w:val="00615094"/>
    <w:rsid w:val="006150C5"/>
    <w:rsid w:val="0061536D"/>
    <w:rsid w:val="00616939"/>
    <w:rsid w:val="00616B7D"/>
    <w:rsid w:val="00616FA6"/>
    <w:rsid w:val="00617472"/>
    <w:rsid w:val="00617480"/>
    <w:rsid w:val="006177AD"/>
    <w:rsid w:val="006177B6"/>
    <w:rsid w:val="00617915"/>
    <w:rsid w:val="006179F6"/>
    <w:rsid w:val="00620144"/>
    <w:rsid w:val="00620398"/>
    <w:rsid w:val="006207AA"/>
    <w:rsid w:val="00620D1D"/>
    <w:rsid w:val="00621063"/>
    <w:rsid w:val="00621967"/>
    <w:rsid w:val="00621FE2"/>
    <w:rsid w:val="00622016"/>
    <w:rsid w:val="006229C3"/>
    <w:rsid w:val="00622E18"/>
    <w:rsid w:val="006230A7"/>
    <w:rsid w:val="00623782"/>
    <w:rsid w:val="00623DD0"/>
    <w:rsid w:val="0062444E"/>
    <w:rsid w:val="006244D2"/>
    <w:rsid w:val="006245A3"/>
    <w:rsid w:val="0062484C"/>
    <w:rsid w:val="00624BF0"/>
    <w:rsid w:val="00625093"/>
    <w:rsid w:val="006251E5"/>
    <w:rsid w:val="00625417"/>
    <w:rsid w:val="00625EF0"/>
    <w:rsid w:val="0062672E"/>
    <w:rsid w:val="006267AD"/>
    <w:rsid w:val="006268D9"/>
    <w:rsid w:val="00627249"/>
    <w:rsid w:val="0062754C"/>
    <w:rsid w:val="00627562"/>
    <w:rsid w:val="006275B4"/>
    <w:rsid w:val="00627771"/>
    <w:rsid w:val="006277DC"/>
    <w:rsid w:val="00627E26"/>
    <w:rsid w:val="00630614"/>
    <w:rsid w:val="006306DA"/>
    <w:rsid w:val="00630A58"/>
    <w:rsid w:val="006313D8"/>
    <w:rsid w:val="00631488"/>
    <w:rsid w:val="006319DD"/>
    <w:rsid w:val="00632156"/>
    <w:rsid w:val="0063242F"/>
    <w:rsid w:val="0063264A"/>
    <w:rsid w:val="00633366"/>
    <w:rsid w:val="006333E4"/>
    <w:rsid w:val="006338EB"/>
    <w:rsid w:val="006343FA"/>
    <w:rsid w:val="0063445D"/>
    <w:rsid w:val="00634CE3"/>
    <w:rsid w:val="00635184"/>
    <w:rsid w:val="00635AEE"/>
    <w:rsid w:val="006362FD"/>
    <w:rsid w:val="0063659A"/>
    <w:rsid w:val="006365EB"/>
    <w:rsid w:val="0063692A"/>
    <w:rsid w:val="006369AC"/>
    <w:rsid w:val="00637935"/>
    <w:rsid w:val="00637CFB"/>
    <w:rsid w:val="00637ED6"/>
    <w:rsid w:val="00640129"/>
    <w:rsid w:val="00640216"/>
    <w:rsid w:val="00640558"/>
    <w:rsid w:val="00640866"/>
    <w:rsid w:val="00640C21"/>
    <w:rsid w:val="00641AA4"/>
    <w:rsid w:val="00642653"/>
    <w:rsid w:val="006426AB"/>
    <w:rsid w:val="00642DAD"/>
    <w:rsid w:val="00643266"/>
    <w:rsid w:val="00643344"/>
    <w:rsid w:val="00644452"/>
    <w:rsid w:val="00644829"/>
    <w:rsid w:val="00644970"/>
    <w:rsid w:val="00644BAC"/>
    <w:rsid w:val="00644E3B"/>
    <w:rsid w:val="00645018"/>
    <w:rsid w:val="0064510D"/>
    <w:rsid w:val="00645982"/>
    <w:rsid w:val="006461FA"/>
    <w:rsid w:val="006462E1"/>
    <w:rsid w:val="00646C98"/>
    <w:rsid w:val="00646D3C"/>
    <w:rsid w:val="0064782E"/>
    <w:rsid w:val="00647970"/>
    <w:rsid w:val="00647DBE"/>
    <w:rsid w:val="006501EE"/>
    <w:rsid w:val="00650FAC"/>
    <w:rsid w:val="00650FEA"/>
    <w:rsid w:val="00651149"/>
    <w:rsid w:val="0065148C"/>
    <w:rsid w:val="00651A51"/>
    <w:rsid w:val="00651F50"/>
    <w:rsid w:val="0065227F"/>
    <w:rsid w:val="006524F0"/>
    <w:rsid w:val="006527A0"/>
    <w:rsid w:val="0065319D"/>
    <w:rsid w:val="006532A9"/>
    <w:rsid w:val="00653A5F"/>
    <w:rsid w:val="00653C17"/>
    <w:rsid w:val="006540C3"/>
    <w:rsid w:val="006540D3"/>
    <w:rsid w:val="0065434E"/>
    <w:rsid w:val="006549EB"/>
    <w:rsid w:val="00654D6C"/>
    <w:rsid w:val="00654FBD"/>
    <w:rsid w:val="00655967"/>
    <w:rsid w:val="00655B4B"/>
    <w:rsid w:val="00655DF3"/>
    <w:rsid w:val="00656072"/>
    <w:rsid w:val="006560D6"/>
    <w:rsid w:val="00656322"/>
    <w:rsid w:val="00656873"/>
    <w:rsid w:val="00656AA9"/>
    <w:rsid w:val="006571CF"/>
    <w:rsid w:val="006573B3"/>
    <w:rsid w:val="00657582"/>
    <w:rsid w:val="00657F39"/>
    <w:rsid w:val="00660601"/>
    <w:rsid w:val="00660CBC"/>
    <w:rsid w:val="00660EBD"/>
    <w:rsid w:val="00661137"/>
    <w:rsid w:val="00661E6D"/>
    <w:rsid w:val="00661EA9"/>
    <w:rsid w:val="006621DA"/>
    <w:rsid w:val="00662592"/>
    <w:rsid w:val="00663058"/>
    <w:rsid w:val="00663088"/>
    <w:rsid w:val="00663094"/>
    <w:rsid w:val="00663B7E"/>
    <w:rsid w:val="00663E52"/>
    <w:rsid w:val="00664018"/>
    <w:rsid w:val="0066442B"/>
    <w:rsid w:val="00664554"/>
    <w:rsid w:val="00664838"/>
    <w:rsid w:val="006648CA"/>
    <w:rsid w:val="00664A06"/>
    <w:rsid w:val="006655F2"/>
    <w:rsid w:val="00665A19"/>
    <w:rsid w:val="00665EB2"/>
    <w:rsid w:val="00666009"/>
    <w:rsid w:val="0066616E"/>
    <w:rsid w:val="00666237"/>
    <w:rsid w:val="0066694F"/>
    <w:rsid w:val="00666E64"/>
    <w:rsid w:val="00666F26"/>
    <w:rsid w:val="00667683"/>
    <w:rsid w:val="006677B2"/>
    <w:rsid w:val="006678B0"/>
    <w:rsid w:val="00667B3D"/>
    <w:rsid w:val="006704E7"/>
    <w:rsid w:val="006709C2"/>
    <w:rsid w:val="006709E2"/>
    <w:rsid w:val="00670CB7"/>
    <w:rsid w:val="006713B5"/>
    <w:rsid w:val="006715E3"/>
    <w:rsid w:val="00672252"/>
    <w:rsid w:val="006722B5"/>
    <w:rsid w:val="00672370"/>
    <w:rsid w:val="00672665"/>
    <w:rsid w:val="00672A05"/>
    <w:rsid w:val="00672AED"/>
    <w:rsid w:val="00672E60"/>
    <w:rsid w:val="0067352F"/>
    <w:rsid w:val="00673B5C"/>
    <w:rsid w:val="00673DD3"/>
    <w:rsid w:val="00673E50"/>
    <w:rsid w:val="00674232"/>
    <w:rsid w:val="006743FC"/>
    <w:rsid w:val="006747A7"/>
    <w:rsid w:val="00674ACF"/>
    <w:rsid w:val="006758CD"/>
    <w:rsid w:val="00675F9E"/>
    <w:rsid w:val="0067683B"/>
    <w:rsid w:val="0067690F"/>
    <w:rsid w:val="00676A57"/>
    <w:rsid w:val="00676F83"/>
    <w:rsid w:val="00677096"/>
    <w:rsid w:val="00677133"/>
    <w:rsid w:val="006779D7"/>
    <w:rsid w:val="00677B0C"/>
    <w:rsid w:val="00680754"/>
    <w:rsid w:val="00680EC6"/>
    <w:rsid w:val="00680FBB"/>
    <w:rsid w:val="00681AC1"/>
    <w:rsid w:val="00681C30"/>
    <w:rsid w:val="006821EC"/>
    <w:rsid w:val="006822E5"/>
    <w:rsid w:val="00682B3F"/>
    <w:rsid w:val="00682C5C"/>
    <w:rsid w:val="00682CA8"/>
    <w:rsid w:val="006830F0"/>
    <w:rsid w:val="00683AE7"/>
    <w:rsid w:val="00684C64"/>
    <w:rsid w:val="00685166"/>
    <w:rsid w:val="00685A35"/>
    <w:rsid w:val="006860BD"/>
    <w:rsid w:val="006874AD"/>
    <w:rsid w:val="0068788B"/>
    <w:rsid w:val="006904C9"/>
    <w:rsid w:val="0069061E"/>
    <w:rsid w:val="00690A6C"/>
    <w:rsid w:val="006915E0"/>
    <w:rsid w:val="00691B97"/>
    <w:rsid w:val="00691EE0"/>
    <w:rsid w:val="00692138"/>
    <w:rsid w:val="006924B7"/>
    <w:rsid w:val="0069330B"/>
    <w:rsid w:val="0069351A"/>
    <w:rsid w:val="006935C5"/>
    <w:rsid w:val="00693A49"/>
    <w:rsid w:val="00693DAB"/>
    <w:rsid w:val="00693EBA"/>
    <w:rsid w:val="00694324"/>
    <w:rsid w:val="006944FA"/>
    <w:rsid w:val="0069474C"/>
    <w:rsid w:val="00694754"/>
    <w:rsid w:val="00694868"/>
    <w:rsid w:val="00695623"/>
    <w:rsid w:val="00695B91"/>
    <w:rsid w:val="00696051"/>
    <w:rsid w:val="00696125"/>
    <w:rsid w:val="006961F3"/>
    <w:rsid w:val="00696788"/>
    <w:rsid w:val="0069713A"/>
    <w:rsid w:val="006973B6"/>
    <w:rsid w:val="0069745A"/>
    <w:rsid w:val="006A0296"/>
    <w:rsid w:val="006A07F7"/>
    <w:rsid w:val="006A0C89"/>
    <w:rsid w:val="006A1AE3"/>
    <w:rsid w:val="006A1B51"/>
    <w:rsid w:val="006A269B"/>
    <w:rsid w:val="006A3013"/>
    <w:rsid w:val="006A3196"/>
    <w:rsid w:val="006A31A8"/>
    <w:rsid w:val="006A32E4"/>
    <w:rsid w:val="006A348E"/>
    <w:rsid w:val="006A3D4C"/>
    <w:rsid w:val="006A403B"/>
    <w:rsid w:val="006A46C1"/>
    <w:rsid w:val="006A46C4"/>
    <w:rsid w:val="006A4F0F"/>
    <w:rsid w:val="006A551C"/>
    <w:rsid w:val="006A57F2"/>
    <w:rsid w:val="006A5814"/>
    <w:rsid w:val="006A5882"/>
    <w:rsid w:val="006A59A5"/>
    <w:rsid w:val="006A5DC3"/>
    <w:rsid w:val="006A5E6A"/>
    <w:rsid w:val="006A6136"/>
    <w:rsid w:val="006A6541"/>
    <w:rsid w:val="006A743D"/>
    <w:rsid w:val="006A750C"/>
    <w:rsid w:val="006A7DC5"/>
    <w:rsid w:val="006B020C"/>
    <w:rsid w:val="006B05D0"/>
    <w:rsid w:val="006B102C"/>
    <w:rsid w:val="006B1229"/>
    <w:rsid w:val="006B14DB"/>
    <w:rsid w:val="006B1565"/>
    <w:rsid w:val="006B163E"/>
    <w:rsid w:val="006B1778"/>
    <w:rsid w:val="006B23A7"/>
    <w:rsid w:val="006B254A"/>
    <w:rsid w:val="006B2DAC"/>
    <w:rsid w:val="006B31B4"/>
    <w:rsid w:val="006B3603"/>
    <w:rsid w:val="006B3986"/>
    <w:rsid w:val="006B3D8A"/>
    <w:rsid w:val="006B3E8E"/>
    <w:rsid w:val="006B4534"/>
    <w:rsid w:val="006B4552"/>
    <w:rsid w:val="006B4655"/>
    <w:rsid w:val="006B4AD7"/>
    <w:rsid w:val="006B4C72"/>
    <w:rsid w:val="006B4D23"/>
    <w:rsid w:val="006B526C"/>
    <w:rsid w:val="006B54D3"/>
    <w:rsid w:val="006B55B4"/>
    <w:rsid w:val="006B564F"/>
    <w:rsid w:val="006B5827"/>
    <w:rsid w:val="006B5B49"/>
    <w:rsid w:val="006B5BCF"/>
    <w:rsid w:val="006B5FBF"/>
    <w:rsid w:val="006B6659"/>
    <w:rsid w:val="006B6A98"/>
    <w:rsid w:val="006B6D57"/>
    <w:rsid w:val="006B725A"/>
    <w:rsid w:val="006B76D5"/>
    <w:rsid w:val="006B7793"/>
    <w:rsid w:val="006B7D1F"/>
    <w:rsid w:val="006C07E2"/>
    <w:rsid w:val="006C0A37"/>
    <w:rsid w:val="006C0A9E"/>
    <w:rsid w:val="006C0B3D"/>
    <w:rsid w:val="006C0E47"/>
    <w:rsid w:val="006C0F13"/>
    <w:rsid w:val="006C1BE8"/>
    <w:rsid w:val="006C1C76"/>
    <w:rsid w:val="006C2098"/>
    <w:rsid w:val="006C2841"/>
    <w:rsid w:val="006C2A6C"/>
    <w:rsid w:val="006C2B6B"/>
    <w:rsid w:val="006C2F2D"/>
    <w:rsid w:val="006C3277"/>
    <w:rsid w:val="006C374A"/>
    <w:rsid w:val="006C380C"/>
    <w:rsid w:val="006C3B61"/>
    <w:rsid w:val="006C47FF"/>
    <w:rsid w:val="006C4A66"/>
    <w:rsid w:val="006C5E97"/>
    <w:rsid w:val="006C63C8"/>
    <w:rsid w:val="006C642D"/>
    <w:rsid w:val="006C65C6"/>
    <w:rsid w:val="006C6AD5"/>
    <w:rsid w:val="006C6E2C"/>
    <w:rsid w:val="006C71AA"/>
    <w:rsid w:val="006C725C"/>
    <w:rsid w:val="006D00A3"/>
    <w:rsid w:val="006D0217"/>
    <w:rsid w:val="006D02FE"/>
    <w:rsid w:val="006D0620"/>
    <w:rsid w:val="006D0700"/>
    <w:rsid w:val="006D0958"/>
    <w:rsid w:val="006D0C31"/>
    <w:rsid w:val="006D28A2"/>
    <w:rsid w:val="006D28C0"/>
    <w:rsid w:val="006D2FE0"/>
    <w:rsid w:val="006D3155"/>
    <w:rsid w:val="006D3268"/>
    <w:rsid w:val="006D4229"/>
    <w:rsid w:val="006D4DFA"/>
    <w:rsid w:val="006D53EB"/>
    <w:rsid w:val="006D57F3"/>
    <w:rsid w:val="006D5F67"/>
    <w:rsid w:val="006D5F95"/>
    <w:rsid w:val="006D63E0"/>
    <w:rsid w:val="006D6839"/>
    <w:rsid w:val="006D68B9"/>
    <w:rsid w:val="006D6D98"/>
    <w:rsid w:val="006D70CE"/>
    <w:rsid w:val="006D7371"/>
    <w:rsid w:val="006D7648"/>
    <w:rsid w:val="006D7FBE"/>
    <w:rsid w:val="006E028E"/>
    <w:rsid w:val="006E0315"/>
    <w:rsid w:val="006E068A"/>
    <w:rsid w:val="006E07A8"/>
    <w:rsid w:val="006E0E60"/>
    <w:rsid w:val="006E0F25"/>
    <w:rsid w:val="006E115A"/>
    <w:rsid w:val="006E2EA7"/>
    <w:rsid w:val="006E2F7C"/>
    <w:rsid w:val="006E3D74"/>
    <w:rsid w:val="006E4190"/>
    <w:rsid w:val="006E4CAB"/>
    <w:rsid w:val="006E50CE"/>
    <w:rsid w:val="006E56D2"/>
    <w:rsid w:val="006E5A83"/>
    <w:rsid w:val="006E62C7"/>
    <w:rsid w:val="006E6346"/>
    <w:rsid w:val="006E6381"/>
    <w:rsid w:val="006E6388"/>
    <w:rsid w:val="006E6FBC"/>
    <w:rsid w:val="006E7709"/>
    <w:rsid w:val="006E78C3"/>
    <w:rsid w:val="006E7ACB"/>
    <w:rsid w:val="006E7D3D"/>
    <w:rsid w:val="006F03BD"/>
    <w:rsid w:val="006F0557"/>
    <w:rsid w:val="006F0D85"/>
    <w:rsid w:val="006F0D92"/>
    <w:rsid w:val="006F0F8B"/>
    <w:rsid w:val="006F1310"/>
    <w:rsid w:val="006F17B1"/>
    <w:rsid w:val="006F1961"/>
    <w:rsid w:val="006F1EF9"/>
    <w:rsid w:val="006F2228"/>
    <w:rsid w:val="006F26A2"/>
    <w:rsid w:val="006F2950"/>
    <w:rsid w:val="006F2AE8"/>
    <w:rsid w:val="006F2E47"/>
    <w:rsid w:val="006F3B72"/>
    <w:rsid w:val="006F4854"/>
    <w:rsid w:val="006F4E2B"/>
    <w:rsid w:val="006F5370"/>
    <w:rsid w:val="006F5DF7"/>
    <w:rsid w:val="006F6430"/>
    <w:rsid w:val="006F6DBA"/>
    <w:rsid w:val="006F6E25"/>
    <w:rsid w:val="006F7030"/>
    <w:rsid w:val="006F7751"/>
    <w:rsid w:val="006F776B"/>
    <w:rsid w:val="006F7B01"/>
    <w:rsid w:val="006F7D6B"/>
    <w:rsid w:val="006F7DEE"/>
    <w:rsid w:val="0070004F"/>
    <w:rsid w:val="0070033A"/>
    <w:rsid w:val="007003A0"/>
    <w:rsid w:val="00701400"/>
    <w:rsid w:val="0070142E"/>
    <w:rsid w:val="007016E0"/>
    <w:rsid w:val="007019BF"/>
    <w:rsid w:val="00702057"/>
    <w:rsid w:val="00702D8E"/>
    <w:rsid w:val="00703096"/>
    <w:rsid w:val="007035B2"/>
    <w:rsid w:val="007036C2"/>
    <w:rsid w:val="0070385B"/>
    <w:rsid w:val="00704360"/>
    <w:rsid w:val="00704A38"/>
    <w:rsid w:val="00704C23"/>
    <w:rsid w:val="00704C91"/>
    <w:rsid w:val="00704D85"/>
    <w:rsid w:val="00704FD0"/>
    <w:rsid w:val="00705217"/>
    <w:rsid w:val="00705343"/>
    <w:rsid w:val="00705C6F"/>
    <w:rsid w:val="00706543"/>
    <w:rsid w:val="007067D1"/>
    <w:rsid w:val="00706E77"/>
    <w:rsid w:val="007076F2"/>
    <w:rsid w:val="00707AB0"/>
    <w:rsid w:val="00710011"/>
    <w:rsid w:val="00710031"/>
    <w:rsid w:val="00710973"/>
    <w:rsid w:val="00710A8E"/>
    <w:rsid w:val="00711145"/>
    <w:rsid w:val="0071227F"/>
    <w:rsid w:val="0071285D"/>
    <w:rsid w:val="0071307C"/>
    <w:rsid w:val="00713135"/>
    <w:rsid w:val="00713258"/>
    <w:rsid w:val="007132F8"/>
    <w:rsid w:val="00713E49"/>
    <w:rsid w:val="007148E9"/>
    <w:rsid w:val="00714941"/>
    <w:rsid w:val="007149ED"/>
    <w:rsid w:val="00714A87"/>
    <w:rsid w:val="007153C1"/>
    <w:rsid w:val="00715B03"/>
    <w:rsid w:val="00715F0F"/>
    <w:rsid w:val="00716405"/>
    <w:rsid w:val="00716C2B"/>
    <w:rsid w:val="00716D18"/>
    <w:rsid w:val="00716DC6"/>
    <w:rsid w:val="007171D5"/>
    <w:rsid w:val="0071729C"/>
    <w:rsid w:val="00717849"/>
    <w:rsid w:val="007202E6"/>
    <w:rsid w:val="00720327"/>
    <w:rsid w:val="007203BC"/>
    <w:rsid w:val="0072079F"/>
    <w:rsid w:val="00720A03"/>
    <w:rsid w:val="00720AEB"/>
    <w:rsid w:val="007219C1"/>
    <w:rsid w:val="00721DCF"/>
    <w:rsid w:val="00722103"/>
    <w:rsid w:val="00722160"/>
    <w:rsid w:val="00722186"/>
    <w:rsid w:val="00722C57"/>
    <w:rsid w:val="0072376C"/>
    <w:rsid w:val="00723814"/>
    <w:rsid w:val="007239E0"/>
    <w:rsid w:val="00723B32"/>
    <w:rsid w:val="00723DF6"/>
    <w:rsid w:val="0072417A"/>
    <w:rsid w:val="0072455D"/>
    <w:rsid w:val="0072456A"/>
    <w:rsid w:val="00724601"/>
    <w:rsid w:val="007246DB"/>
    <w:rsid w:val="007247A0"/>
    <w:rsid w:val="00724B44"/>
    <w:rsid w:val="00724F47"/>
    <w:rsid w:val="00724FE3"/>
    <w:rsid w:val="007254FF"/>
    <w:rsid w:val="00725586"/>
    <w:rsid w:val="007257A1"/>
    <w:rsid w:val="0072581E"/>
    <w:rsid w:val="0072588E"/>
    <w:rsid w:val="00725F08"/>
    <w:rsid w:val="007264F6"/>
    <w:rsid w:val="00726804"/>
    <w:rsid w:val="00726CB4"/>
    <w:rsid w:val="00726E1D"/>
    <w:rsid w:val="00726EC4"/>
    <w:rsid w:val="00726F07"/>
    <w:rsid w:val="007270BB"/>
    <w:rsid w:val="007275AC"/>
    <w:rsid w:val="0072799F"/>
    <w:rsid w:val="0073020C"/>
    <w:rsid w:val="00730AE4"/>
    <w:rsid w:val="00730BA9"/>
    <w:rsid w:val="00730C14"/>
    <w:rsid w:val="00730D5F"/>
    <w:rsid w:val="00731260"/>
    <w:rsid w:val="00731365"/>
    <w:rsid w:val="0073139D"/>
    <w:rsid w:val="007318DC"/>
    <w:rsid w:val="00731C2F"/>
    <w:rsid w:val="0073200C"/>
    <w:rsid w:val="00732582"/>
    <w:rsid w:val="00732795"/>
    <w:rsid w:val="007327E0"/>
    <w:rsid w:val="007327F5"/>
    <w:rsid w:val="00733112"/>
    <w:rsid w:val="00733415"/>
    <w:rsid w:val="007339AD"/>
    <w:rsid w:val="00733AF5"/>
    <w:rsid w:val="00734019"/>
    <w:rsid w:val="00734393"/>
    <w:rsid w:val="00734913"/>
    <w:rsid w:val="00734FC3"/>
    <w:rsid w:val="00735365"/>
    <w:rsid w:val="007354C7"/>
    <w:rsid w:val="00735793"/>
    <w:rsid w:val="00735A3D"/>
    <w:rsid w:val="00735AA2"/>
    <w:rsid w:val="00735AD9"/>
    <w:rsid w:val="0073609A"/>
    <w:rsid w:val="00736268"/>
    <w:rsid w:val="007366B2"/>
    <w:rsid w:val="00736E62"/>
    <w:rsid w:val="00737267"/>
    <w:rsid w:val="00737279"/>
    <w:rsid w:val="007401EE"/>
    <w:rsid w:val="00741022"/>
    <w:rsid w:val="007411E7"/>
    <w:rsid w:val="007419F2"/>
    <w:rsid w:val="00741AC5"/>
    <w:rsid w:val="00741F0B"/>
    <w:rsid w:val="00742200"/>
    <w:rsid w:val="007424BC"/>
    <w:rsid w:val="007425DE"/>
    <w:rsid w:val="00742679"/>
    <w:rsid w:val="00742874"/>
    <w:rsid w:val="007428C6"/>
    <w:rsid w:val="007429D8"/>
    <w:rsid w:val="00742DC2"/>
    <w:rsid w:val="00742E02"/>
    <w:rsid w:val="00742FC9"/>
    <w:rsid w:val="007430E5"/>
    <w:rsid w:val="00743264"/>
    <w:rsid w:val="00743442"/>
    <w:rsid w:val="0074365B"/>
    <w:rsid w:val="00743874"/>
    <w:rsid w:val="00743ED8"/>
    <w:rsid w:val="00743EFA"/>
    <w:rsid w:val="00744795"/>
    <w:rsid w:val="00744954"/>
    <w:rsid w:val="007450C0"/>
    <w:rsid w:val="007455B8"/>
    <w:rsid w:val="00745754"/>
    <w:rsid w:val="00745B02"/>
    <w:rsid w:val="00745C48"/>
    <w:rsid w:val="007464B8"/>
    <w:rsid w:val="007464E8"/>
    <w:rsid w:val="00746687"/>
    <w:rsid w:val="0074677A"/>
    <w:rsid w:val="0074678D"/>
    <w:rsid w:val="00746CBF"/>
    <w:rsid w:val="007501B4"/>
    <w:rsid w:val="007503D3"/>
    <w:rsid w:val="00750628"/>
    <w:rsid w:val="00750994"/>
    <w:rsid w:val="00750F02"/>
    <w:rsid w:val="0075100B"/>
    <w:rsid w:val="00751DD1"/>
    <w:rsid w:val="007524ED"/>
    <w:rsid w:val="00752808"/>
    <w:rsid w:val="00752B3F"/>
    <w:rsid w:val="00752C1C"/>
    <w:rsid w:val="00753323"/>
    <w:rsid w:val="007533BE"/>
    <w:rsid w:val="00753620"/>
    <w:rsid w:val="0075398A"/>
    <w:rsid w:val="00753EA3"/>
    <w:rsid w:val="00754540"/>
    <w:rsid w:val="00754624"/>
    <w:rsid w:val="0075481C"/>
    <w:rsid w:val="0075529E"/>
    <w:rsid w:val="0075532B"/>
    <w:rsid w:val="007555A6"/>
    <w:rsid w:val="007555F4"/>
    <w:rsid w:val="007557B6"/>
    <w:rsid w:val="007559BB"/>
    <w:rsid w:val="00755D33"/>
    <w:rsid w:val="00756336"/>
    <w:rsid w:val="007567A4"/>
    <w:rsid w:val="00756B77"/>
    <w:rsid w:val="00756F0A"/>
    <w:rsid w:val="0075759B"/>
    <w:rsid w:val="0075764F"/>
    <w:rsid w:val="00757A5E"/>
    <w:rsid w:val="00757D8D"/>
    <w:rsid w:val="00760003"/>
    <w:rsid w:val="0076025C"/>
    <w:rsid w:val="007605B0"/>
    <w:rsid w:val="0076071B"/>
    <w:rsid w:val="00760D70"/>
    <w:rsid w:val="0076102A"/>
    <w:rsid w:val="00761033"/>
    <w:rsid w:val="007610B3"/>
    <w:rsid w:val="00761A87"/>
    <w:rsid w:val="00761DBC"/>
    <w:rsid w:val="00761E73"/>
    <w:rsid w:val="007622F7"/>
    <w:rsid w:val="0076245D"/>
    <w:rsid w:val="00762F13"/>
    <w:rsid w:val="00763076"/>
    <w:rsid w:val="00763778"/>
    <w:rsid w:val="00763E08"/>
    <w:rsid w:val="00763E97"/>
    <w:rsid w:val="00764224"/>
    <w:rsid w:val="00764D42"/>
    <w:rsid w:val="00765CC9"/>
    <w:rsid w:val="00765DD7"/>
    <w:rsid w:val="0076685F"/>
    <w:rsid w:val="00766A88"/>
    <w:rsid w:val="00766AE5"/>
    <w:rsid w:val="00766B63"/>
    <w:rsid w:val="00766D99"/>
    <w:rsid w:val="00766F7F"/>
    <w:rsid w:val="0076700F"/>
    <w:rsid w:val="007676FF"/>
    <w:rsid w:val="00767985"/>
    <w:rsid w:val="00767BB0"/>
    <w:rsid w:val="00767BF7"/>
    <w:rsid w:val="00770171"/>
    <w:rsid w:val="00770D1D"/>
    <w:rsid w:val="007711FB"/>
    <w:rsid w:val="007712AA"/>
    <w:rsid w:val="007713DF"/>
    <w:rsid w:val="0077180D"/>
    <w:rsid w:val="00771AD8"/>
    <w:rsid w:val="00771D7D"/>
    <w:rsid w:val="0077231C"/>
    <w:rsid w:val="00772425"/>
    <w:rsid w:val="0077290F"/>
    <w:rsid w:val="00772C17"/>
    <w:rsid w:val="007730A8"/>
    <w:rsid w:val="00773549"/>
    <w:rsid w:val="00773B0F"/>
    <w:rsid w:val="00773D31"/>
    <w:rsid w:val="00773DD4"/>
    <w:rsid w:val="00773EE4"/>
    <w:rsid w:val="00773EF7"/>
    <w:rsid w:val="00773F62"/>
    <w:rsid w:val="00774F2A"/>
    <w:rsid w:val="00775366"/>
    <w:rsid w:val="00775630"/>
    <w:rsid w:val="007764B7"/>
    <w:rsid w:val="00776918"/>
    <w:rsid w:val="0077730A"/>
    <w:rsid w:val="00777431"/>
    <w:rsid w:val="007775FF"/>
    <w:rsid w:val="00777827"/>
    <w:rsid w:val="007779E5"/>
    <w:rsid w:val="00780A4C"/>
    <w:rsid w:val="00780CDE"/>
    <w:rsid w:val="00781353"/>
    <w:rsid w:val="00781C42"/>
    <w:rsid w:val="0078201F"/>
    <w:rsid w:val="00782325"/>
    <w:rsid w:val="007829B6"/>
    <w:rsid w:val="00782CC4"/>
    <w:rsid w:val="0078308F"/>
    <w:rsid w:val="007838AB"/>
    <w:rsid w:val="00783AFD"/>
    <w:rsid w:val="00783F87"/>
    <w:rsid w:val="00784872"/>
    <w:rsid w:val="00784F0F"/>
    <w:rsid w:val="00784FF0"/>
    <w:rsid w:val="007850E8"/>
    <w:rsid w:val="007855C3"/>
    <w:rsid w:val="007855E6"/>
    <w:rsid w:val="00785B93"/>
    <w:rsid w:val="00785D9A"/>
    <w:rsid w:val="0078621F"/>
    <w:rsid w:val="00786666"/>
    <w:rsid w:val="007867F4"/>
    <w:rsid w:val="00786C2B"/>
    <w:rsid w:val="00786DEB"/>
    <w:rsid w:val="00786E15"/>
    <w:rsid w:val="00786FCF"/>
    <w:rsid w:val="007872AC"/>
    <w:rsid w:val="007875AD"/>
    <w:rsid w:val="00787784"/>
    <w:rsid w:val="00787D51"/>
    <w:rsid w:val="00787DD6"/>
    <w:rsid w:val="00787FC5"/>
    <w:rsid w:val="00790157"/>
    <w:rsid w:val="007902DD"/>
    <w:rsid w:val="00790719"/>
    <w:rsid w:val="007907B7"/>
    <w:rsid w:val="00790A9C"/>
    <w:rsid w:val="00790C2A"/>
    <w:rsid w:val="00790E52"/>
    <w:rsid w:val="007916F8"/>
    <w:rsid w:val="007920D9"/>
    <w:rsid w:val="00792580"/>
    <w:rsid w:val="007928DE"/>
    <w:rsid w:val="00793531"/>
    <w:rsid w:val="0079365F"/>
    <w:rsid w:val="007938F8"/>
    <w:rsid w:val="00793A5F"/>
    <w:rsid w:val="00793B08"/>
    <w:rsid w:val="00793CF8"/>
    <w:rsid w:val="00793EA2"/>
    <w:rsid w:val="00794260"/>
    <w:rsid w:val="007942C2"/>
    <w:rsid w:val="007944B6"/>
    <w:rsid w:val="00794BC1"/>
    <w:rsid w:val="00794CAC"/>
    <w:rsid w:val="00795105"/>
    <w:rsid w:val="0079510D"/>
    <w:rsid w:val="00795237"/>
    <w:rsid w:val="007953D4"/>
    <w:rsid w:val="007958C7"/>
    <w:rsid w:val="00795AB3"/>
    <w:rsid w:val="0079609A"/>
    <w:rsid w:val="007962B5"/>
    <w:rsid w:val="0079643C"/>
    <w:rsid w:val="007968BF"/>
    <w:rsid w:val="007969C0"/>
    <w:rsid w:val="00796EEB"/>
    <w:rsid w:val="007970CD"/>
    <w:rsid w:val="007976EF"/>
    <w:rsid w:val="0079774F"/>
    <w:rsid w:val="00797C13"/>
    <w:rsid w:val="007A01CA"/>
    <w:rsid w:val="007A03A2"/>
    <w:rsid w:val="007A0446"/>
    <w:rsid w:val="007A0D7F"/>
    <w:rsid w:val="007A0F4A"/>
    <w:rsid w:val="007A0FDD"/>
    <w:rsid w:val="007A1160"/>
    <w:rsid w:val="007A142F"/>
    <w:rsid w:val="007A1936"/>
    <w:rsid w:val="007A2377"/>
    <w:rsid w:val="007A2456"/>
    <w:rsid w:val="007A2457"/>
    <w:rsid w:val="007A26E8"/>
    <w:rsid w:val="007A29E6"/>
    <w:rsid w:val="007A3219"/>
    <w:rsid w:val="007A388C"/>
    <w:rsid w:val="007A39EC"/>
    <w:rsid w:val="007A43B5"/>
    <w:rsid w:val="007A43C4"/>
    <w:rsid w:val="007A4516"/>
    <w:rsid w:val="007A527C"/>
    <w:rsid w:val="007A537D"/>
    <w:rsid w:val="007A579F"/>
    <w:rsid w:val="007A58FF"/>
    <w:rsid w:val="007A5A17"/>
    <w:rsid w:val="007A66A7"/>
    <w:rsid w:val="007A69C2"/>
    <w:rsid w:val="007A7233"/>
    <w:rsid w:val="007A7775"/>
    <w:rsid w:val="007A79E7"/>
    <w:rsid w:val="007B0310"/>
    <w:rsid w:val="007B0349"/>
    <w:rsid w:val="007B04F4"/>
    <w:rsid w:val="007B0B9D"/>
    <w:rsid w:val="007B0EAE"/>
    <w:rsid w:val="007B0EE1"/>
    <w:rsid w:val="007B1099"/>
    <w:rsid w:val="007B111F"/>
    <w:rsid w:val="007B11A2"/>
    <w:rsid w:val="007B126B"/>
    <w:rsid w:val="007B12F0"/>
    <w:rsid w:val="007B15D1"/>
    <w:rsid w:val="007B1A03"/>
    <w:rsid w:val="007B1A4C"/>
    <w:rsid w:val="007B1B95"/>
    <w:rsid w:val="007B1C0B"/>
    <w:rsid w:val="007B1D29"/>
    <w:rsid w:val="007B279E"/>
    <w:rsid w:val="007B288E"/>
    <w:rsid w:val="007B30CA"/>
    <w:rsid w:val="007B329A"/>
    <w:rsid w:val="007B3398"/>
    <w:rsid w:val="007B34A1"/>
    <w:rsid w:val="007B44C7"/>
    <w:rsid w:val="007B45FE"/>
    <w:rsid w:val="007B48C8"/>
    <w:rsid w:val="007B49AD"/>
    <w:rsid w:val="007B4E22"/>
    <w:rsid w:val="007B5277"/>
    <w:rsid w:val="007B532C"/>
    <w:rsid w:val="007B605C"/>
    <w:rsid w:val="007B60F4"/>
    <w:rsid w:val="007B66A5"/>
    <w:rsid w:val="007B6B40"/>
    <w:rsid w:val="007B7244"/>
    <w:rsid w:val="007B7723"/>
    <w:rsid w:val="007B787D"/>
    <w:rsid w:val="007B7E77"/>
    <w:rsid w:val="007C06CD"/>
    <w:rsid w:val="007C0EF7"/>
    <w:rsid w:val="007C11D9"/>
    <w:rsid w:val="007C1267"/>
    <w:rsid w:val="007C146D"/>
    <w:rsid w:val="007C1A72"/>
    <w:rsid w:val="007C1AFB"/>
    <w:rsid w:val="007C1D60"/>
    <w:rsid w:val="007C1E64"/>
    <w:rsid w:val="007C2551"/>
    <w:rsid w:val="007C2909"/>
    <w:rsid w:val="007C2E30"/>
    <w:rsid w:val="007C4060"/>
    <w:rsid w:val="007C4470"/>
    <w:rsid w:val="007C4B90"/>
    <w:rsid w:val="007C4B9B"/>
    <w:rsid w:val="007C53B7"/>
    <w:rsid w:val="007C5448"/>
    <w:rsid w:val="007C570C"/>
    <w:rsid w:val="007C58C3"/>
    <w:rsid w:val="007C63E5"/>
    <w:rsid w:val="007C699D"/>
    <w:rsid w:val="007C79FD"/>
    <w:rsid w:val="007C7A1C"/>
    <w:rsid w:val="007C7A7E"/>
    <w:rsid w:val="007C7EE6"/>
    <w:rsid w:val="007C7FC9"/>
    <w:rsid w:val="007D010A"/>
    <w:rsid w:val="007D0237"/>
    <w:rsid w:val="007D097B"/>
    <w:rsid w:val="007D09AA"/>
    <w:rsid w:val="007D0AD3"/>
    <w:rsid w:val="007D106A"/>
    <w:rsid w:val="007D10DD"/>
    <w:rsid w:val="007D1858"/>
    <w:rsid w:val="007D1E6D"/>
    <w:rsid w:val="007D211D"/>
    <w:rsid w:val="007D2DAA"/>
    <w:rsid w:val="007D30B1"/>
    <w:rsid w:val="007D328D"/>
    <w:rsid w:val="007D376F"/>
    <w:rsid w:val="007D3D74"/>
    <w:rsid w:val="007D410F"/>
    <w:rsid w:val="007D4775"/>
    <w:rsid w:val="007D4AAE"/>
    <w:rsid w:val="007D534E"/>
    <w:rsid w:val="007D56EF"/>
    <w:rsid w:val="007D588D"/>
    <w:rsid w:val="007D5D8F"/>
    <w:rsid w:val="007D5DE8"/>
    <w:rsid w:val="007D6235"/>
    <w:rsid w:val="007D6FCE"/>
    <w:rsid w:val="007D714B"/>
    <w:rsid w:val="007D79E6"/>
    <w:rsid w:val="007D7B51"/>
    <w:rsid w:val="007D7D9B"/>
    <w:rsid w:val="007E05F7"/>
    <w:rsid w:val="007E09A1"/>
    <w:rsid w:val="007E09F8"/>
    <w:rsid w:val="007E0C37"/>
    <w:rsid w:val="007E1192"/>
    <w:rsid w:val="007E11C8"/>
    <w:rsid w:val="007E124B"/>
    <w:rsid w:val="007E1723"/>
    <w:rsid w:val="007E1B15"/>
    <w:rsid w:val="007E253F"/>
    <w:rsid w:val="007E2703"/>
    <w:rsid w:val="007E299D"/>
    <w:rsid w:val="007E2C8D"/>
    <w:rsid w:val="007E3629"/>
    <w:rsid w:val="007E37E4"/>
    <w:rsid w:val="007E3881"/>
    <w:rsid w:val="007E3DBC"/>
    <w:rsid w:val="007E44CC"/>
    <w:rsid w:val="007E4F04"/>
    <w:rsid w:val="007E521E"/>
    <w:rsid w:val="007E53EC"/>
    <w:rsid w:val="007E561F"/>
    <w:rsid w:val="007E5D8A"/>
    <w:rsid w:val="007E5DB4"/>
    <w:rsid w:val="007E6527"/>
    <w:rsid w:val="007E6684"/>
    <w:rsid w:val="007E68AC"/>
    <w:rsid w:val="007E6A4D"/>
    <w:rsid w:val="007E6BAC"/>
    <w:rsid w:val="007E72E4"/>
    <w:rsid w:val="007F0722"/>
    <w:rsid w:val="007F1157"/>
    <w:rsid w:val="007F143D"/>
    <w:rsid w:val="007F199A"/>
    <w:rsid w:val="007F1F03"/>
    <w:rsid w:val="007F2E20"/>
    <w:rsid w:val="007F2E34"/>
    <w:rsid w:val="007F32AB"/>
    <w:rsid w:val="007F3349"/>
    <w:rsid w:val="007F37ED"/>
    <w:rsid w:val="007F4795"/>
    <w:rsid w:val="007F4AB8"/>
    <w:rsid w:val="007F4B21"/>
    <w:rsid w:val="007F4B74"/>
    <w:rsid w:val="007F5508"/>
    <w:rsid w:val="007F55B9"/>
    <w:rsid w:val="007F55F4"/>
    <w:rsid w:val="007F574F"/>
    <w:rsid w:val="007F57E5"/>
    <w:rsid w:val="007F581E"/>
    <w:rsid w:val="007F5EE4"/>
    <w:rsid w:val="007F70DC"/>
    <w:rsid w:val="007F7913"/>
    <w:rsid w:val="007F7BB1"/>
    <w:rsid w:val="00800959"/>
    <w:rsid w:val="00800EB2"/>
    <w:rsid w:val="00801084"/>
    <w:rsid w:val="008011AF"/>
    <w:rsid w:val="00801216"/>
    <w:rsid w:val="00801B76"/>
    <w:rsid w:val="00801CFB"/>
    <w:rsid w:val="0080213B"/>
    <w:rsid w:val="008030AC"/>
    <w:rsid w:val="00803390"/>
    <w:rsid w:val="00803C19"/>
    <w:rsid w:val="008040ED"/>
    <w:rsid w:val="0080424B"/>
    <w:rsid w:val="0080478C"/>
    <w:rsid w:val="008047AE"/>
    <w:rsid w:val="0080487A"/>
    <w:rsid w:val="008049C7"/>
    <w:rsid w:val="00804CE1"/>
    <w:rsid w:val="0080560B"/>
    <w:rsid w:val="0080576B"/>
    <w:rsid w:val="008057A0"/>
    <w:rsid w:val="00805D3C"/>
    <w:rsid w:val="008061C3"/>
    <w:rsid w:val="008061FB"/>
    <w:rsid w:val="00806DC9"/>
    <w:rsid w:val="00807181"/>
    <w:rsid w:val="00807219"/>
    <w:rsid w:val="00807467"/>
    <w:rsid w:val="00807539"/>
    <w:rsid w:val="00807F65"/>
    <w:rsid w:val="00810861"/>
    <w:rsid w:val="00810D54"/>
    <w:rsid w:val="00811BC7"/>
    <w:rsid w:val="0081209D"/>
    <w:rsid w:val="0081217F"/>
    <w:rsid w:val="0081232F"/>
    <w:rsid w:val="00812D42"/>
    <w:rsid w:val="00813056"/>
    <w:rsid w:val="00813392"/>
    <w:rsid w:val="008137DC"/>
    <w:rsid w:val="00814155"/>
    <w:rsid w:val="00814782"/>
    <w:rsid w:val="00814C1B"/>
    <w:rsid w:val="00814C78"/>
    <w:rsid w:val="00814FF9"/>
    <w:rsid w:val="00815E11"/>
    <w:rsid w:val="0081656E"/>
    <w:rsid w:val="0081661F"/>
    <w:rsid w:val="00816901"/>
    <w:rsid w:val="0081693D"/>
    <w:rsid w:val="00816CC2"/>
    <w:rsid w:val="00817010"/>
    <w:rsid w:val="008170ED"/>
    <w:rsid w:val="008172F4"/>
    <w:rsid w:val="00817402"/>
    <w:rsid w:val="008178F1"/>
    <w:rsid w:val="00817D7F"/>
    <w:rsid w:val="00817DE3"/>
    <w:rsid w:val="00817FA7"/>
    <w:rsid w:val="00820361"/>
    <w:rsid w:val="0082088B"/>
    <w:rsid w:val="00820BAC"/>
    <w:rsid w:val="00820DCB"/>
    <w:rsid w:val="008222F9"/>
    <w:rsid w:val="0082243B"/>
    <w:rsid w:val="0082251B"/>
    <w:rsid w:val="00822AD8"/>
    <w:rsid w:val="008234A2"/>
    <w:rsid w:val="00823875"/>
    <w:rsid w:val="00823E04"/>
    <w:rsid w:val="0082436F"/>
    <w:rsid w:val="00824535"/>
    <w:rsid w:val="00824707"/>
    <w:rsid w:val="008247A4"/>
    <w:rsid w:val="00824A3F"/>
    <w:rsid w:val="00824E10"/>
    <w:rsid w:val="008255F6"/>
    <w:rsid w:val="0082571C"/>
    <w:rsid w:val="008257FA"/>
    <w:rsid w:val="00825E57"/>
    <w:rsid w:val="008261B0"/>
    <w:rsid w:val="00827C0B"/>
    <w:rsid w:val="008307B5"/>
    <w:rsid w:val="00830A09"/>
    <w:rsid w:val="00830BA9"/>
    <w:rsid w:val="00830D99"/>
    <w:rsid w:val="00830E3B"/>
    <w:rsid w:val="00830EF7"/>
    <w:rsid w:val="00830FC5"/>
    <w:rsid w:val="00830FF7"/>
    <w:rsid w:val="008310FA"/>
    <w:rsid w:val="00831553"/>
    <w:rsid w:val="008315B2"/>
    <w:rsid w:val="00831815"/>
    <w:rsid w:val="00831890"/>
    <w:rsid w:val="00831A0C"/>
    <w:rsid w:val="00831EC9"/>
    <w:rsid w:val="008320E4"/>
    <w:rsid w:val="00832B27"/>
    <w:rsid w:val="00832FDE"/>
    <w:rsid w:val="00833331"/>
    <w:rsid w:val="00834161"/>
    <w:rsid w:val="00834CD5"/>
    <w:rsid w:val="00834DD0"/>
    <w:rsid w:val="008359F4"/>
    <w:rsid w:val="00835A07"/>
    <w:rsid w:val="00835B92"/>
    <w:rsid w:val="0083609A"/>
    <w:rsid w:val="0083643F"/>
    <w:rsid w:val="008364F2"/>
    <w:rsid w:val="008371BC"/>
    <w:rsid w:val="008371D2"/>
    <w:rsid w:val="00837389"/>
    <w:rsid w:val="00837425"/>
    <w:rsid w:val="00837EC1"/>
    <w:rsid w:val="00840075"/>
    <w:rsid w:val="00840180"/>
    <w:rsid w:val="00840500"/>
    <w:rsid w:val="00840828"/>
    <w:rsid w:val="008409FF"/>
    <w:rsid w:val="00840F36"/>
    <w:rsid w:val="00841072"/>
    <w:rsid w:val="00841BF7"/>
    <w:rsid w:val="00842367"/>
    <w:rsid w:val="00842402"/>
    <w:rsid w:val="008429FE"/>
    <w:rsid w:val="00843605"/>
    <w:rsid w:val="0084380E"/>
    <w:rsid w:val="00843894"/>
    <w:rsid w:val="00843EA2"/>
    <w:rsid w:val="00843FE3"/>
    <w:rsid w:val="008442EB"/>
    <w:rsid w:val="0084477E"/>
    <w:rsid w:val="00845040"/>
    <w:rsid w:val="0084599B"/>
    <w:rsid w:val="00846457"/>
    <w:rsid w:val="00847647"/>
    <w:rsid w:val="0084771F"/>
    <w:rsid w:val="00847838"/>
    <w:rsid w:val="00847D1E"/>
    <w:rsid w:val="00847D73"/>
    <w:rsid w:val="00850431"/>
    <w:rsid w:val="008506CE"/>
    <w:rsid w:val="0085097F"/>
    <w:rsid w:val="00850A3F"/>
    <w:rsid w:val="00850F8A"/>
    <w:rsid w:val="00851657"/>
    <w:rsid w:val="00851C18"/>
    <w:rsid w:val="00851C7A"/>
    <w:rsid w:val="00852624"/>
    <w:rsid w:val="0085279C"/>
    <w:rsid w:val="0085287C"/>
    <w:rsid w:val="00852AF3"/>
    <w:rsid w:val="00852FF8"/>
    <w:rsid w:val="00853962"/>
    <w:rsid w:val="00853E17"/>
    <w:rsid w:val="00853EE5"/>
    <w:rsid w:val="00853F07"/>
    <w:rsid w:val="008541C0"/>
    <w:rsid w:val="00854286"/>
    <w:rsid w:val="008549CC"/>
    <w:rsid w:val="00854F58"/>
    <w:rsid w:val="00854FBE"/>
    <w:rsid w:val="008554E0"/>
    <w:rsid w:val="00855F38"/>
    <w:rsid w:val="00856600"/>
    <w:rsid w:val="00856796"/>
    <w:rsid w:val="00856E96"/>
    <w:rsid w:val="008570DA"/>
    <w:rsid w:val="0085713D"/>
    <w:rsid w:val="00857C33"/>
    <w:rsid w:val="0086050E"/>
    <w:rsid w:val="00860774"/>
    <w:rsid w:val="0086091C"/>
    <w:rsid w:val="00860D22"/>
    <w:rsid w:val="00861CB3"/>
    <w:rsid w:val="00861E86"/>
    <w:rsid w:val="00861F5B"/>
    <w:rsid w:val="008621D2"/>
    <w:rsid w:val="008628D8"/>
    <w:rsid w:val="00862D68"/>
    <w:rsid w:val="008632BB"/>
    <w:rsid w:val="00863C9A"/>
    <w:rsid w:val="00863CC9"/>
    <w:rsid w:val="00864072"/>
    <w:rsid w:val="00864631"/>
    <w:rsid w:val="00864958"/>
    <w:rsid w:val="00864C8D"/>
    <w:rsid w:val="00864E0C"/>
    <w:rsid w:val="00865273"/>
    <w:rsid w:val="008654FF"/>
    <w:rsid w:val="00865DF4"/>
    <w:rsid w:val="00865E2F"/>
    <w:rsid w:val="00867123"/>
    <w:rsid w:val="008671F7"/>
    <w:rsid w:val="00867622"/>
    <w:rsid w:val="0086777E"/>
    <w:rsid w:val="00867F08"/>
    <w:rsid w:val="00867F6F"/>
    <w:rsid w:val="0087023C"/>
    <w:rsid w:val="0087081B"/>
    <w:rsid w:val="00870908"/>
    <w:rsid w:val="00870A46"/>
    <w:rsid w:val="00870B38"/>
    <w:rsid w:val="0087138A"/>
    <w:rsid w:val="008717CE"/>
    <w:rsid w:val="00871AEE"/>
    <w:rsid w:val="008724DD"/>
    <w:rsid w:val="008726F6"/>
    <w:rsid w:val="00872A68"/>
    <w:rsid w:val="00872B9F"/>
    <w:rsid w:val="00873763"/>
    <w:rsid w:val="00873BF1"/>
    <w:rsid w:val="008743EA"/>
    <w:rsid w:val="00874671"/>
    <w:rsid w:val="00874977"/>
    <w:rsid w:val="008750DA"/>
    <w:rsid w:val="00875529"/>
    <w:rsid w:val="00875D75"/>
    <w:rsid w:val="00875F72"/>
    <w:rsid w:val="008760FC"/>
    <w:rsid w:val="00876322"/>
    <w:rsid w:val="00876C69"/>
    <w:rsid w:val="008773E8"/>
    <w:rsid w:val="008774D2"/>
    <w:rsid w:val="008777D0"/>
    <w:rsid w:val="008810DA"/>
    <w:rsid w:val="00881524"/>
    <w:rsid w:val="00881ABC"/>
    <w:rsid w:val="00881B7C"/>
    <w:rsid w:val="00881DA1"/>
    <w:rsid w:val="00881E4D"/>
    <w:rsid w:val="00881E72"/>
    <w:rsid w:val="008820AA"/>
    <w:rsid w:val="008820EE"/>
    <w:rsid w:val="0088221E"/>
    <w:rsid w:val="008822FA"/>
    <w:rsid w:val="00882455"/>
    <w:rsid w:val="00882685"/>
    <w:rsid w:val="00882888"/>
    <w:rsid w:val="008828D1"/>
    <w:rsid w:val="00882A0A"/>
    <w:rsid w:val="00882F16"/>
    <w:rsid w:val="00883828"/>
    <w:rsid w:val="0088436D"/>
    <w:rsid w:val="008848D7"/>
    <w:rsid w:val="0088493F"/>
    <w:rsid w:val="0088515E"/>
    <w:rsid w:val="00885691"/>
    <w:rsid w:val="008858D7"/>
    <w:rsid w:val="00886F8B"/>
    <w:rsid w:val="008870D0"/>
    <w:rsid w:val="00887137"/>
    <w:rsid w:val="0088717F"/>
    <w:rsid w:val="00887564"/>
    <w:rsid w:val="0088798C"/>
    <w:rsid w:val="00887B8F"/>
    <w:rsid w:val="00887C3E"/>
    <w:rsid w:val="00887FE9"/>
    <w:rsid w:val="008903DF"/>
    <w:rsid w:val="00891064"/>
    <w:rsid w:val="00891367"/>
    <w:rsid w:val="008914FB"/>
    <w:rsid w:val="00891564"/>
    <w:rsid w:val="00891DDE"/>
    <w:rsid w:val="00892916"/>
    <w:rsid w:val="00892D44"/>
    <w:rsid w:val="00892DE2"/>
    <w:rsid w:val="00892EA7"/>
    <w:rsid w:val="00893273"/>
    <w:rsid w:val="008932C9"/>
    <w:rsid w:val="008932F7"/>
    <w:rsid w:val="008936D8"/>
    <w:rsid w:val="00893DAC"/>
    <w:rsid w:val="0089446D"/>
    <w:rsid w:val="0089466C"/>
    <w:rsid w:val="008948A7"/>
    <w:rsid w:val="008952A2"/>
    <w:rsid w:val="00895406"/>
    <w:rsid w:val="008958E3"/>
    <w:rsid w:val="00895B1A"/>
    <w:rsid w:val="00895D64"/>
    <w:rsid w:val="008964E1"/>
    <w:rsid w:val="00896E11"/>
    <w:rsid w:val="00896F52"/>
    <w:rsid w:val="00897426"/>
    <w:rsid w:val="00897B23"/>
    <w:rsid w:val="00897C56"/>
    <w:rsid w:val="00897CB4"/>
    <w:rsid w:val="00897E27"/>
    <w:rsid w:val="00897F3C"/>
    <w:rsid w:val="008A04E6"/>
    <w:rsid w:val="008A129C"/>
    <w:rsid w:val="008A1B80"/>
    <w:rsid w:val="008A1BD7"/>
    <w:rsid w:val="008A1E02"/>
    <w:rsid w:val="008A2070"/>
    <w:rsid w:val="008A23E8"/>
    <w:rsid w:val="008A2728"/>
    <w:rsid w:val="008A31B0"/>
    <w:rsid w:val="008A329F"/>
    <w:rsid w:val="008A3526"/>
    <w:rsid w:val="008A365D"/>
    <w:rsid w:val="008A3759"/>
    <w:rsid w:val="008A3796"/>
    <w:rsid w:val="008A37FF"/>
    <w:rsid w:val="008A3BB5"/>
    <w:rsid w:val="008A428A"/>
    <w:rsid w:val="008A460A"/>
    <w:rsid w:val="008A4ABF"/>
    <w:rsid w:val="008A4D4D"/>
    <w:rsid w:val="008A5006"/>
    <w:rsid w:val="008A56CB"/>
    <w:rsid w:val="008A5F87"/>
    <w:rsid w:val="008A600A"/>
    <w:rsid w:val="008A6049"/>
    <w:rsid w:val="008A75BB"/>
    <w:rsid w:val="008A7A91"/>
    <w:rsid w:val="008A7C46"/>
    <w:rsid w:val="008A7D25"/>
    <w:rsid w:val="008B01A5"/>
    <w:rsid w:val="008B0CF1"/>
    <w:rsid w:val="008B101D"/>
    <w:rsid w:val="008B1D76"/>
    <w:rsid w:val="008B29C7"/>
    <w:rsid w:val="008B2BE9"/>
    <w:rsid w:val="008B31B4"/>
    <w:rsid w:val="008B3347"/>
    <w:rsid w:val="008B3404"/>
    <w:rsid w:val="008B3414"/>
    <w:rsid w:val="008B3CFB"/>
    <w:rsid w:val="008B41E4"/>
    <w:rsid w:val="008B464C"/>
    <w:rsid w:val="008B47BA"/>
    <w:rsid w:val="008B4B5A"/>
    <w:rsid w:val="008B4BBF"/>
    <w:rsid w:val="008B4CE6"/>
    <w:rsid w:val="008B57B3"/>
    <w:rsid w:val="008B68A8"/>
    <w:rsid w:val="008B6A02"/>
    <w:rsid w:val="008B6CAE"/>
    <w:rsid w:val="008B6D74"/>
    <w:rsid w:val="008B6E23"/>
    <w:rsid w:val="008B7266"/>
    <w:rsid w:val="008B72F3"/>
    <w:rsid w:val="008B76A9"/>
    <w:rsid w:val="008B7E1F"/>
    <w:rsid w:val="008C0398"/>
    <w:rsid w:val="008C08CC"/>
    <w:rsid w:val="008C0948"/>
    <w:rsid w:val="008C0E1B"/>
    <w:rsid w:val="008C0E79"/>
    <w:rsid w:val="008C1815"/>
    <w:rsid w:val="008C1B47"/>
    <w:rsid w:val="008C222B"/>
    <w:rsid w:val="008C239E"/>
    <w:rsid w:val="008C2442"/>
    <w:rsid w:val="008C34D8"/>
    <w:rsid w:val="008C35AB"/>
    <w:rsid w:val="008C35C9"/>
    <w:rsid w:val="008C35F1"/>
    <w:rsid w:val="008C369E"/>
    <w:rsid w:val="008C3805"/>
    <w:rsid w:val="008C3EFA"/>
    <w:rsid w:val="008C405E"/>
    <w:rsid w:val="008C511A"/>
    <w:rsid w:val="008C548B"/>
    <w:rsid w:val="008C5F36"/>
    <w:rsid w:val="008C69F6"/>
    <w:rsid w:val="008C7882"/>
    <w:rsid w:val="008C7B3B"/>
    <w:rsid w:val="008C7B6B"/>
    <w:rsid w:val="008C7C8E"/>
    <w:rsid w:val="008C7D14"/>
    <w:rsid w:val="008C7FA9"/>
    <w:rsid w:val="008D01CA"/>
    <w:rsid w:val="008D03DF"/>
    <w:rsid w:val="008D09A9"/>
    <w:rsid w:val="008D0E1F"/>
    <w:rsid w:val="008D0F98"/>
    <w:rsid w:val="008D1485"/>
    <w:rsid w:val="008D1927"/>
    <w:rsid w:val="008D1D3B"/>
    <w:rsid w:val="008D20E1"/>
    <w:rsid w:val="008D210B"/>
    <w:rsid w:val="008D2296"/>
    <w:rsid w:val="008D3753"/>
    <w:rsid w:val="008D37A2"/>
    <w:rsid w:val="008D37B3"/>
    <w:rsid w:val="008D3E0C"/>
    <w:rsid w:val="008D3E61"/>
    <w:rsid w:val="008D4100"/>
    <w:rsid w:val="008D42D6"/>
    <w:rsid w:val="008D4AF2"/>
    <w:rsid w:val="008D4B03"/>
    <w:rsid w:val="008D550D"/>
    <w:rsid w:val="008D57F2"/>
    <w:rsid w:val="008D5E4F"/>
    <w:rsid w:val="008D6131"/>
    <w:rsid w:val="008D6546"/>
    <w:rsid w:val="008D65AE"/>
    <w:rsid w:val="008D663D"/>
    <w:rsid w:val="008D6D20"/>
    <w:rsid w:val="008D6F10"/>
    <w:rsid w:val="008D7371"/>
    <w:rsid w:val="008D7530"/>
    <w:rsid w:val="008D76F2"/>
    <w:rsid w:val="008D7FB9"/>
    <w:rsid w:val="008E0677"/>
    <w:rsid w:val="008E0678"/>
    <w:rsid w:val="008E12AA"/>
    <w:rsid w:val="008E1330"/>
    <w:rsid w:val="008E133D"/>
    <w:rsid w:val="008E1348"/>
    <w:rsid w:val="008E137E"/>
    <w:rsid w:val="008E2050"/>
    <w:rsid w:val="008E2309"/>
    <w:rsid w:val="008E253D"/>
    <w:rsid w:val="008E290D"/>
    <w:rsid w:val="008E2933"/>
    <w:rsid w:val="008E2B69"/>
    <w:rsid w:val="008E2C3B"/>
    <w:rsid w:val="008E2FDC"/>
    <w:rsid w:val="008E3326"/>
    <w:rsid w:val="008E35D2"/>
    <w:rsid w:val="008E3728"/>
    <w:rsid w:val="008E3A13"/>
    <w:rsid w:val="008E3E61"/>
    <w:rsid w:val="008E4786"/>
    <w:rsid w:val="008E4B82"/>
    <w:rsid w:val="008E5161"/>
    <w:rsid w:val="008E57EF"/>
    <w:rsid w:val="008E5FB8"/>
    <w:rsid w:val="008E6309"/>
    <w:rsid w:val="008E6352"/>
    <w:rsid w:val="008E6816"/>
    <w:rsid w:val="008E6923"/>
    <w:rsid w:val="008E6FC1"/>
    <w:rsid w:val="008E71A4"/>
    <w:rsid w:val="008E7854"/>
    <w:rsid w:val="008E78F5"/>
    <w:rsid w:val="008F0C3A"/>
    <w:rsid w:val="008F0ECA"/>
    <w:rsid w:val="008F11B3"/>
    <w:rsid w:val="008F1805"/>
    <w:rsid w:val="008F2059"/>
    <w:rsid w:val="008F2FE6"/>
    <w:rsid w:val="008F31D9"/>
    <w:rsid w:val="008F364E"/>
    <w:rsid w:val="008F3A02"/>
    <w:rsid w:val="008F3E5E"/>
    <w:rsid w:val="008F466C"/>
    <w:rsid w:val="008F4A32"/>
    <w:rsid w:val="008F4A47"/>
    <w:rsid w:val="008F4DBC"/>
    <w:rsid w:val="008F4DF0"/>
    <w:rsid w:val="008F4E4F"/>
    <w:rsid w:val="008F53A8"/>
    <w:rsid w:val="008F5451"/>
    <w:rsid w:val="008F57A8"/>
    <w:rsid w:val="008F57B9"/>
    <w:rsid w:val="008F644E"/>
    <w:rsid w:val="008F6C96"/>
    <w:rsid w:val="008F6DF7"/>
    <w:rsid w:val="008F7040"/>
    <w:rsid w:val="008F70D6"/>
    <w:rsid w:val="008F74E0"/>
    <w:rsid w:val="008F7A08"/>
    <w:rsid w:val="00900198"/>
    <w:rsid w:val="009004A5"/>
    <w:rsid w:val="0090050D"/>
    <w:rsid w:val="00900611"/>
    <w:rsid w:val="00900640"/>
    <w:rsid w:val="00900A04"/>
    <w:rsid w:val="00900AF4"/>
    <w:rsid w:val="00900D38"/>
    <w:rsid w:val="00901766"/>
    <w:rsid w:val="00901847"/>
    <w:rsid w:val="00901D95"/>
    <w:rsid w:val="0090265C"/>
    <w:rsid w:val="00902AB2"/>
    <w:rsid w:val="00902D51"/>
    <w:rsid w:val="00902F40"/>
    <w:rsid w:val="00903CDE"/>
    <w:rsid w:val="00903FA6"/>
    <w:rsid w:val="00904271"/>
    <w:rsid w:val="0090430C"/>
    <w:rsid w:val="0090493B"/>
    <w:rsid w:val="00904958"/>
    <w:rsid w:val="009051E0"/>
    <w:rsid w:val="009054F6"/>
    <w:rsid w:val="0090583F"/>
    <w:rsid w:val="00905920"/>
    <w:rsid w:val="00905BB9"/>
    <w:rsid w:val="009068E7"/>
    <w:rsid w:val="00906BB5"/>
    <w:rsid w:val="00906C51"/>
    <w:rsid w:val="00906D27"/>
    <w:rsid w:val="0090726D"/>
    <w:rsid w:val="0090740C"/>
    <w:rsid w:val="00907426"/>
    <w:rsid w:val="00907E0B"/>
    <w:rsid w:val="00910047"/>
    <w:rsid w:val="009100B7"/>
    <w:rsid w:val="00910949"/>
    <w:rsid w:val="0091097F"/>
    <w:rsid w:val="00911115"/>
    <w:rsid w:val="009112B0"/>
    <w:rsid w:val="00911376"/>
    <w:rsid w:val="0091139A"/>
    <w:rsid w:val="009113E5"/>
    <w:rsid w:val="00911766"/>
    <w:rsid w:val="00912154"/>
    <w:rsid w:val="009128BD"/>
    <w:rsid w:val="0091330B"/>
    <w:rsid w:val="0091380C"/>
    <w:rsid w:val="00913954"/>
    <w:rsid w:val="00913ACE"/>
    <w:rsid w:val="00913BD8"/>
    <w:rsid w:val="00913C6E"/>
    <w:rsid w:val="00913CD8"/>
    <w:rsid w:val="009143C8"/>
    <w:rsid w:val="009143EE"/>
    <w:rsid w:val="0091469B"/>
    <w:rsid w:val="00914BBA"/>
    <w:rsid w:val="00914DD2"/>
    <w:rsid w:val="00914F26"/>
    <w:rsid w:val="00915690"/>
    <w:rsid w:val="00915914"/>
    <w:rsid w:val="00915E27"/>
    <w:rsid w:val="00915F3F"/>
    <w:rsid w:val="00916502"/>
    <w:rsid w:val="009174FE"/>
    <w:rsid w:val="009176A7"/>
    <w:rsid w:val="00917AAA"/>
    <w:rsid w:val="00917AEE"/>
    <w:rsid w:val="00917FBB"/>
    <w:rsid w:val="0092017A"/>
    <w:rsid w:val="0092037C"/>
    <w:rsid w:val="0092057F"/>
    <w:rsid w:val="0092067F"/>
    <w:rsid w:val="0092088F"/>
    <w:rsid w:val="00920B23"/>
    <w:rsid w:val="00920BF0"/>
    <w:rsid w:val="00920D6D"/>
    <w:rsid w:val="00920E09"/>
    <w:rsid w:val="00920E39"/>
    <w:rsid w:val="00920E9A"/>
    <w:rsid w:val="00920FFC"/>
    <w:rsid w:val="009210C2"/>
    <w:rsid w:val="0092128D"/>
    <w:rsid w:val="00921294"/>
    <w:rsid w:val="0092164F"/>
    <w:rsid w:val="00922666"/>
    <w:rsid w:val="00922922"/>
    <w:rsid w:val="00923458"/>
    <w:rsid w:val="00924463"/>
    <w:rsid w:val="00924519"/>
    <w:rsid w:val="00924586"/>
    <w:rsid w:val="00924824"/>
    <w:rsid w:val="009249E5"/>
    <w:rsid w:val="00925040"/>
    <w:rsid w:val="00925290"/>
    <w:rsid w:val="00925291"/>
    <w:rsid w:val="009254D3"/>
    <w:rsid w:val="00925579"/>
    <w:rsid w:val="00925C8A"/>
    <w:rsid w:val="00926733"/>
    <w:rsid w:val="009267B0"/>
    <w:rsid w:val="00926CC0"/>
    <w:rsid w:val="00926EF8"/>
    <w:rsid w:val="00927108"/>
    <w:rsid w:val="009273CA"/>
    <w:rsid w:val="009277AF"/>
    <w:rsid w:val="00927859"/>
    <w:rsid w:val="00927C98"/>
    <w:rsid w:val="0093012B"/>
    <w:rsid w:val="0093048A"/>
    <w:rsid w:val="00930524"/>
    <w:rsid w:val="00931BFE"/>
    <w:rsid w:val="00931D05"/>
    <w:rsid w:val="00931E74"/>
    <w:rsid w:val="00931F4A"/>
    <w:rsid w:val="009320CB"/>
    <w:rsid w:val="00932339"/>
    <w:rsid w:val="009324E6"/>
    <w:rsid w:val="009329DE"/>
    <w:rsid w:val="00933711"/>
    <w:rsid w:val="009338A3"/>
    <w:rsid w:val="00933A64"/>
    <w:rsid w:val="00933DD2"/>
    <w:rsid w:val="00933FB6"/>
    <w:rsid w:val="00934508"/>
    <w:rsid w:val="009346F6"/>
    <w:rsid w:val="0093479F"/>
    <w:rsid w:val="00934D77"/>
    <w:rsid w:val="00935436"/>
    <w:rsid w:val="00935F30"/>
    <w:rsid w:val="00936593"/>
    <w:rsid w:val="0093682A"/>
    <w:rsid w:val="009368BF"/>
    <w:rsid w:val="00940F00"/>
    <w:rsid w:val="009410E3"/>
    <w:rsid w:val="009418DF"/>
    <w:rsid w:val="00942323"/>
    <w:rsid w:val="00942546"/>
    <w:rsid w:val="009428DA"/>
    <w:rsid w:val="00942FEC"/>
    <w:rsid w:val="00943161"/>
    <w:rsid w:val="0094372A"/>
    <w:rsid w:val="00943FBB"/>
    <w:rsid w:val="00944002"/>
    <w:rsid w:val="00944101"/>
    <w:rsid w:val="009444FA"/>
    <w:rsid w:val="0094451A"/>
    <w:rsid w:val="00944803"/>
    <w:rsid w:val="00944A03"/>
    <w:rsid w:val="00944A15"/>
    <w:rsid w:val="00944E4A"/>
    <w:rsid w:val="00945090"/>
    <w:rsid w:val="009452FA"/>
    <w:rsid w:val="009458FB"/>
    <w:rsid w:val="0094596D"/>
    <w:rsid w:val="00945AB0"/>
    <w:rsid w:val="0094663B"/>
    <w:rsid w:val="009467BF"/>
    <w:rsid w:val="00946DFC"/>
    <w:rsid w:val="00947136"/>
    <w:rsid w:val="00947597"/>
    <w:rsid w:val="00947E15"/>
    <w:rsid w:val="00947E82"/>
    <w:rsid w:val="009502C2"/>
    <w:rsid w:val="00950E54"/>
    <w:rsid w:val="00950E68"/>
    <w:rsid w:val="00950FB4"/>
    <w:rsid w:val="009512EC"/>
    <w:rsid w:val="009519C3"/>
    <w:rsid w:val="00951B88"/>
    <w:rsid w:val="00951CD6"/>
    <w:rsid w:val="00951EE2"/>
    <w:rsid w:val="00951FC1"/>
    <w:rsid w:val="009521CB"/>
    <w:rsid w:val="00952699"/>
    <w:rsid w:val="0095280B"/>
    <w:rsid w:val="00952BFB"/>
    <w:rsid w:val="00953220"/>
    <w:rsid w:val="009536B2"/>
    <w:rsid w:val="00953A03"/>
    <w:rsid w:val="00954007"/>
    <w:rsid w:val="00954077"/>
    <w:rsid w:val="00954E90"/>
    <w:rsid w:val="0095509F"/>
    <w:rsid w:val="00955255"/>
    <w:rsid w:val="009552F4"/>
    <w:rsid w:val="00955311"/>
    <w:rsid w:val="00955692"/>
    <w:rsid w:val="00955709"/>
    <w:rsid w:val="00956281"/>
    <w:rsid w:val="009565A1"/>
    <w:rsid w:val="00956709"/>
    <w:rsid w:val="00956DEF"/>
    <w:rsid w:val="009571E0"/>
    <w:rsid w:val="00957AF4"/>
    <w:rsid w:val="00957E63"/>
    <w:rsid w:val="00957F10"/>
    <w:rsid w:val="009601C9"/>
    <w:rsid w:val="009605EE"/>
    <w:rsid w:val="009605FC"/>
    <w:rsid w:val="00960678"/>
    <w:rsid w:val="009611EE"/>
    <w:rsid w:val="009614C7"/>
    <w:rsid w:val="00961905"/>
    <w:rsid w:val="0096193A"/>
    <w:rsid w:val="00961DA6"/>
    <w:rsid w:val="00962530"/>
    <w:rsid w:val="009626F9"/>
    <w:rsid w:val="00962896"/>
    <w:rsid w:val="009628F6"/>
    <w:rsid w:val="00962CE6"/>
    <w:rsid w:val="00962D84"/>
    <w:rsid w:val="009632DA"/>
    <w:rsid w:val="00964571"/>
    <w:rsid w:val="009648EE"/>
    <w:rsid w:val="00964C40"/>
    <w:rsid w:val="00964FDA"/>
    <w:rsid w:val="00965704"/>
    <w:rsid w:val="0096579A"/>
    <w:rsid w:val="00965C4A"/>
    <w:rsid w:val="00966E80"/>
    <w:rsid w:val="00970376"/>
    <w:rsid w:val="00970956"/>
    <w:rsid w:val="00970A47"/>
    <w:rsid w:val="00970F07"/>
    <w:rsid w:val="00970FC0"/>
    <w:rsid w:val="00971220"/>
    <w:rsid w:val="009713DE"/>
    <w:rsid w:val="009717D0"/>
    <w:rsid w:val="009718F2"/>
    <w:rsid w:val="00972160"/>
    <w:rsid w:val="009724D1"/>
    <w:rsid w:val="00972995"/>
    <w:rsid w:val="00972C86"/>
    <w:rsid w:val="00972F13"/>
    <w:rsid w:val="0097356A"/>
    <w:rsid w:val="00973746"/>
    <w:rsid w:val="00973CE4"/>
    <w:rsid w:val="00973F57"/>
    <w:rsid w:val="00974784"/>
    <w:rsid w:val="00974A50"/>
    <w:rsid w:val="00974AD8"/>
    <w:rsid w:val="00974E3A"/>
    <w:rsid w:val="00975291"/>
    <w:rsid w:val="00975420"/>
    <w:rsid w:val="00975AF3"/>
    <w:rsid w:val="00976249"/>
    <w:rsid w:val="0097627A"/>
    <w:rsid w:val="0097630D"/>
    <w:rsid w:val="009763BA"/>
    <w:rsid w:val="009763F9"/>
    <w:rsid w:val="0097684B"/>
    <w:rsid w:val="00976BFA"/>
    <w:rsid w:val="00976E2B"/>
    <w:rsid w:val="0097786A"/>
    <w:rsid w:val="00977A05"/>
    <w:rsid w:val="00977BFD"/>
    <w:rsid w:val="00977D41"/>
    <w:rsid w:val="00980506"/>
    <w:rsid w:val="00980AD7"/>
    <w:rsid w:val="00981215"/>
    <w:rsid w:val="00981448"/>
    <w:rsid w:val="00981646"/>
    <w:rsid w:val="009817A6"/>
    <w:rsid w:val="009818DF"/>
    <w:rsid w:val="00981C30"/>
    <w:rsid w:val="009820C9"/>
    <w:rsid w:val="0098248C"/>
    <w:rsid w:val="00982EB6"/>
    <w:rsid w:val="0098336C"/>
    <w:rsid w:val="009833B2"/>
    <w:rsid w:val="00983624"/>
    <w:rsid w:val="0098393F"/>
    <w:rsid w:val="00983FA2"/>
    <w:rsid w:val="00984328"/>
    <w:rsid w:val="0098468C"/>
    <w:rsid w:val="00984A84"/>
    <w:rsid w:val="009852E9"/>
    <w:rsid w:val="00985822"/>
    <w:rsid w:val="00985BC5"/>
    <w:rsid w:val="00985BD8"/>
    <w:rsid w:val="00985EE6"/>
    <w:rsid w:val="00985FA5"/>
    <w:rsid w:val="0098605C"/>
    <w:rsid w:val="00986246"/>
    <w:rsid w:val="0098628E"/>
    <w:rsid w:val="0098690C"/>
    <w:rsid w:val="00986AC0"/>
    <w:rsid w:val="00986E38"/>
    <w:rsid w:val="00986FE4"/>
    <w:rsid w:val="0098725A"/>
    <w:rsid w:val="0098792A"/>
    <w:rsid w:val="00987B14"/>
    <w:rsid w:val="00987DA9"/>
    <w:rsid w:val="009901C6"/>
    <w:rsid w:val="009904BE"/>
    <w:rsid w:val="00990582"/>
    <w:rsid w:val="00990E92"/>
    <w:rsid w:val="00991825"/>
    <w:rsid w:val="00991B28"/>
    <w:rsid w:val="00991BC1"/>
    <w:rsid w:val="00991F00"/>
    <w:rsid w:val="0099246F"/>
    <w:rsid w:val="00992490"/>
    <w:rsid w:val="009928F3"/>
    <w:rsid w:val="0099298F"/>
    <w:rsid w:val="00992DD6"/>
    <w:rsid w:val="00992FD5"/>
    <w:rsid w:val="00993205"/>
    <w:rsid w:val="0099365C"/>
    <w:rsid w:val="009944CD"/>
    <w:rsid w:val="009945F4"/>
    <w:rsid w:val="00994D60"/>
    <w:rsid w:val="00994D6D"/>
    <w:rsid w:val="00994EFA"/>
    <w:rsid w:val="0099537D"/>
    <w:rsid w:val="00995547"/>
    <w:rsid w:val="009958B1"/>
    <w:rsid w:val="00995BD8"/>
    <w:rsid w:val="0099600D"/>
    <w:rsid w:val="009964D7"/>
    <w:rsid w:val="00996BA8"/>
    <w:rsid w:val="00996D25"/>
    <w:rsid w:val="00996D8D"/>
    <w:rsid w:val="00996EEF"/>
    <w:rsid w:val="009971FF"/>
    <w:rsid w:val="00997293"/>
    <w:rsid w:val="0099733D"/>
    <w:rsid w:val="00997F6B"/>
    <w:rsid w:val="009A0315"/>
    <w:rsid w:val="009A0555"/>
    <w:rsid w:val="009A28D9"/>
    <w:rsid w:val="009A2BB2"/>
    <w:rsid w:val="009A2E9C"/>
    <w:rsid w:val="009A3645"/>
    <w:rsid w:val="009A38C0"/>
    <w:rsid w:val="009A3CDB"/>
    <w:rsid w:val="009A3DC6"/>
    <w:rsid w:val="009A3F04"/>
    <w:rsid w:val="009A4553"/>
    <w:rsid w:val="009A4BAA"/>
    <w:rsid w:val="009A4CDA"/>
    <w:rsid w:val="009A4F54"/>
    <w:rsid w:val="009A51B0"/>
    <w:rsid w:val="009A5570"/>
    <w:rsid w:val="009A5631"/>
    <w:rsid w:val="009A5742"/>
    <w:rsid w:val="009A5D20"/>
    <w:rsid w:val="009A5D5B"/>
    <w:rsid w:val="009A5DB8"/>
    <w:rsid w:val="009A6151"/>
    <w:rsid w:val="009A63B1"/>
    <w:rsid w:val="009A690A"/>
    <w:rsid w:val="009A6BAB"/>
    <w:rsid w:val="009A6D1E"/>
    <w:rsid w:val="009A77DC"/>
    <w:rsid w:val="009A7F5D"/>
    <w:rsid w:val="009B0160"/>
    <w:rsid w:val="009B06F6"/>
    <w:rsid w:val="009B0803"/>
    <w:rsid w:val="009B09DF"/>
    <w:rsid w:val="009B0E11"/>
    <w:rsid w:val="009B0EBE"/>
    <w:rsid w:val="009B0EC7"/>
    <w:rsid w:val="009B0ED8"/>
    <w:rsid w:val="009B10C7"/>
    <w:rsid w:val="009B1626"/>
    <w:rsid w:val="009B18B0"/>
    <w:rsid w:val="009B1CE4"/>
    <w:rsid w:val="009B240A"/>
    <w:rsid w:val="009B24CA"/>
    <w:rsid w:val="009B2856"/>
    <w:rsid w:val="009B2AC6"/>
    <w:rsid w:val="009B2EFD"/>
    <w:rsid w:val="009B2FBB"/>
    <w:rsid w:val="009B397D"/>
    <w:rsid w:val="009B3CE1"/>
    <w:rsid w:val="009B3FB1"/>
    <w:rsid w:val="009B43F0"/>
    <w:rsid w:val="009B4A72"/>
    <w:rsid w:val="009B4D2D"/>
    <w:rsid w:val="009B5D5B"/>
    <w:rsid w:val="009B5DBF"/>
    <w:rsid w:val="009B60CB"/>
    <w:rsid w:val="009B715E"/>
    <w:rsid w:val="009B7A17"/>
    <w:rsid w:val="009B7ED6"/>
    <w:rsid w:val="009C05C9"/>
    <w:rsid w:val="009C1576"/>
    <w:rsid w:val="009C1764"/>
    <w:rsid w:val="009C176A"/>
    <w:rsid w:val="009C18A5"/>
    <w:rsid w:val="009C19D5"/>
    <w:rsid w:val="009C1C83"/>
    <w:rsid w:val="009C1E13"/>
    <w:rsid w:val="009C1FB9"/>
    <w:rsid w:val="009C200C"/>
    <w:rsid w:val="009C25EC"/>
    <w:rsid w:val="009C28E4"/>
    <w:rsid w:val="009C29E5"/>
    <w:rsid w:val="009C2A48"/>
    <w:rsid w:val="009C2A53"/>
    <w:rsid w:val="009C3183"/>
    <w:rsid w:val="009C31F9"/>
    <w:rsid w:val="009C3211"/>
    <w:rsid w:val="009C32ED"/>
    <w:rsid w:val="009C35A4"/>
    <w:rsid w:val="009C371E"/>
    <w:rsid w:val="009C3AC7"/>
    <w:rsid w:val="009C3AD1"/>
    <w:rsid w:val="009C4114"/>
    <w:rsid w:val="009C4909"/>
    <w:rsid w:val="009C4A0A"/>
    <w:rsid w:val="009C5599"/>
    <w:rsid w:val="009C5B1F"/>
    <w:rsid w:val="009C5D8C"/>
    <w:rsid w:val="009C631D"/>
    <w:rsid w:val="009C63CA"/>
    <w:rsid w:val="009C642D"/>
    <w:rsid w:val="009C643E"/>
    <w:rsid w:val="009C65C6"/>
    <w:rsid w:val="009C66E7"/>
    <w:rsid w:val="009C6A75"/>
    <w:rsid w:val="009C6E3B"/>
    <w:rsid w:val="009C6EED"/>
    <w:rsid w:val="009C768D"/>
    <w:rsid w:val="009C7852"/>
    <w:rsid w:val="009C7ACF"/>
    <w:rsid w:val="009C7CDB"/>
    <w:rsid w:val="009D0C54"/>
    <w:rsid w:val="009D1104"/>
    <w:rsid w:val="009D127F"/>
    <w:rsid w:val="009D134F"/>
    <w:rsid w:val="009D1418"/>
    <w:rsid w:val="009D1F70"/>
    <w:rsid w:val="009D22AF"/>
    <w:rsid w:val="009D297D"/>
    <w:rsid w:val="009D299C"/>
    <w:rsid w:val="009D2CC5"/>
    <w:rsid w:val="009D2E73"/>
    <w:rsid w:val="009D37C8"/>
    <w:rsid w:val="009D3AF4"/>
    <w:rsid w:val="009D42E4"/>
    <w:rsid w:val="009D4896"/>
    <w:rsid w:val="009D49E2"/>
    <w:rsid w:val="009D4E6D"/>
    <w:rsid w:val="009D512A"/>
    <w:rsid w:val="009D541D"/>
    <w:rsid w:val="009D5DB8"/>
    <w:rsid w:val="009D6860"/>
    <w:rsid w:val="009D69C8"/>
    <w:rsid w:val="009D6DC9"/>
    <w:rsid w:val="009D71DD"/>
    <w:rsid w:val="009D7690"/>
    <w:rsid w:val="009D787E"/>
    <w:rsid w:val="009D7CA3"/>
    <w:rsid w:val="009E07D2"/>
    <w:rsid w:val="009E0B20"/>
    <w:rsid w:val="009E0BB0"/>
    <w:rsid w:val="009E1185"/>
    <w:rsid w:val="009E130B"/>
    <w:rsid w:val="009E13FA"/>
    <w:rsid w:val="009E1803"/>
    <w:rsid w:val="009E27C0"/>
    <w:rsid w:val="009E2C13"/>
    <w:rsid w:val="009E34A8"/>
    <w:rsid w:val="009E358F"/>
    <w:rsid w:val="009E365F"/>
    <w:rsid w:val="009E4168"/>
    <w:rsid w:val="009E45CC"/>
    <w:rsid w:val="009E4E13"/>
    <w:rsid w:val="009E532A"/>
    <w:rsid w:val="009E55E3"/>
    <w:rsid w:val="009E585E"/>
    <w:rsid w:val="009E5B71"/>
    <w:rsid w:val="009E5C26"/>
    <w:rsid w:val="009E646E"/>
    <w:rsid w:val="009E6689"/>
    <w:rsid w:val="009E67FE"/>
    <w:rsid w:val="009E6AFB"/>
    <w:rsid w:val="009E6CCA"/>
    <w:rsid w:val="009E736E"/>
    <w:rsid w:val="009E7CDD"/>
    <w:rsid w:val="009E7D18"/>
    <w:rsid w:val="009E7DE9"/>
    <w:rsid w:val="009E7E64"/>
    <w:rsid w:val="009E7F45"/>
    <w:rsid w:val="009F0623"/>
    <w:rsid w:val="009F0C20"/>
    <w:rsid w:val="009F11B3"/>
    <w:rsid w:val="009F1E62"/>
    <w:rsid w:val="009F1EDC"/>
    <w:rsid w:val="009F2012"/>
    <w:rsid w:val="009F24DD"/>
    <w:rsid w:val="009F26DA"/>
    <w:rsid w:val="009F315D"/>
    <w:rsid w:val="009F3D66"/>
    <w:rsid w:val="009F3E04"/>
    <w:rsid w:val="009F3EB6"/>
    <w:rsid w:val="009F400E"/>
    <w:rsid w:val="009F4D89"/>
    <w:rsid w:val="009F4F2D"/>
    <w:rsid w:val="009F5B72"/>
    <w:rsid w:val="009F5F27"/>
    <w:rsid w:val="009F6495"/>
    <w:rsid w:val="009F68D7"/>
    <w:rsid w:val="009F6A56"/>
    <w:rsid w:val="009F6B89"/>
    <w:rsid w:val="009F7037"/>
    <w:rsid w:val="009F7311"/>
    <w:rsid w:val="009F790F"/>
    <w:rsid w:val="009F7999"/>
    <w:rsid w:val="009F7C70"/>
    <w:rsid w:val="009F7D18"/>
    <w:rsid w:val="00A00B11"/>
    <w:rsid w:val="00A01171"/>
    <w:rsid w:val="00A01B2C"/>
    <w:rsid w:val="00A023D1"/>
    <w:rsid w:val="00A02485"/>
    <w:rsid w:val="00A029FF"/>
    <w:rsid w:val="00A02F60"/>
    <w:rsid w:val="00A02F91"/>
    <w:rsid w:val="00A0328E"/>
    <w:rsid w:val="00A0344B"/>
    <w:rsid w:val="00A03496"/>
    <w:rsid w:val="00A038D0"/>
    <w:rsid w:val="00A03E93"/>
    <w:rsid w:val="00A04662"/>
    <w:rsid w:val="00A049F8"/>
    <w:rsid w:val="00A058F2"/>
    <w:rsid w:val="00A05B84"/>
    <w:rsid w:val="00A06CCA"/>
    <w:rsid w:val="00A07426"/>
    <w:rsid w:val="00A07433"/>
    <w:rsid w:val="00A07AB4"/>
    <w:rsid w:val="00A07DE5"/>
    <w:rsid w:val="00A07EA9"/>
    <w:rsid w:val="00A07F34"/>
    <w:rsid w:val="00A101EC"/>
    <w:rsid w:val="00A10296"/>
    <w:rsid w:val="00A10598"/>
    <w:rsid w:val="00A108B5"/>
    <w:rsid w:val="00A10C87"/>
    <w:rsid w:val="00A10CE2"/>
    <w:rsid w:val="00A11226"/>
    <w:rsid w:val="00A1126C"/>
    <w:rsid w:val="00A1128E"/>
    <w:rsid w:val="00A11558"/>
    <w:rsid w:val="00A11A0F"/>
    <w:rsid w:val="00A122E0"/>
    <w:rsid w:val="00A124E4"/>
    <w:rsid w:val="00A12AFD"/>
    <w:rsid w:val="00A1303B"/>
    <w:rsid w:val="00A13580"/>
    <w:rsid w:val="00A13770"/>
    <w:rsid w:val="00A13AB0"/>
    <w:rsid w:val="00A14812"/>
    <w:rsid w:val="00A1491D"/>
    <w:rsid w:val="00A14B8E"/>
    <w:rsid w:val="00A15528"/>
    <w:rsid w:val="00A15798"/>
    <w:rsid w:val="00A15D83"/>
    <w:rsid w:val="00A162DB"/>
    <w:rsid w:val="00A1723E"/>
    <w:rsid w:val="00A172E4"/>
    <w:rsid w:val="00A17966"/>
    <w:rsid w:val="00A20632"/>
    <w:rsid w:val="00A20924"/>
    <w:rsid w:val="00A217A4"/>
    <w:rsid w:val="00A21A9B"/>
    <w:rsid w:val="00A21AB0"/>
    <w:rsid w:val="00A21AC0"/>
    <w:rsid w:val="00A22070"/>
    <w:rsid w:val="00A22214"/>
    <w:rsid w:val="00A2264D"/>
    <w:rsid w:val="00A22EEA"/>
    <w:rsid w:val="00A237C2"/>
    <w:rsid w:val="00A23A5D"/>
    <w:rsid w:val="00A23A79"/>
    <w:rsid w:val="00A23BFB"/>
    <w:rsid w:val="00A2406C"/>
    <w:rsid w:val="00A244A1"/>
    <w:rsid w:val="00A246E5"/>
    <w:rsid w:val="00A249DD"/>
    <w:rsid w:val="00A24A64"/>
    <w:rsid w:val="00A24D42"/>
    <w:rsid w:val="00A25081"/>
    <w:rsid w:val="00A26037"/>
    <w:rsid w:val="00A2627C"/>
    <w:rsid w:val="00A273EC"/>
    <w:rsid w:val="00A279F1"/>
    <w:rsid w:val="00A3013B"/>
    <w:rsid w:val="00A30142"/>
    <w:rsid w:val="00A30573"/>
    <w:rsid w:val="00A306A5"/>
    <w:rsid w:val="00A3081D"/>
    <w:rsid w:val="00A30CA7"/>
    <w:rsid w:val="00A30F7A"/>
    <w:rsid w:val="00A31072"/>
    <w:rsid w:val="00A3144A"/>
    <w:rsid w:val="00A314B7"/>
    <w:rsid w:val="00A318E8"/>
    <w:rsid w:val="00A31A2D"/>
    <w:rsid w:val="00A31A43"/>
    <w:rsid w:val="00A31EC8"/>
    <w:rsid w:val="00A327CA"/>
    <w:rsid w:val="00A32A00"/>
    <w:rsid w:val="00A32B36"/>
    <w:rsid w:val="00A32CEB"/>
    <w:rsid w:val="00A33B1D"/>
    <w:rsid w:val="00A3400C"/>
    <w:rsid w:val="00A3462E"/>
    <w:rsid w:val="00A34945"/>
    <w:rsid w:val="00A3498A"/>
    <w:rsid w:val="00A34B87"/>
    <w:rsid w:val="00A34EA3"/>
    <w:rsid w:val="00A350F4"/>
    <w:rsid w:val="00A35D8D"/>
    <w:rsid w:val="00A35EFB"/>
    <w:rsid w:val="00A36102"/>
    <w:rsid w:val="00A36175"/>
    <w:rsid w:val="00A366D2"/>
    <w:rsid w:val="00A3694C"/>
    <w:rsid w:val="00A36A17"/>
    <w:rsid w:val="00A36C6A"/>
    <w:rsid w:val="00A3726D"/>
    <w:rsid w:val="00A37620"/>
    <w:rsid w:val="00A377F0"/>
    <w:rsid w:val="00A37D7A"/>
    <w:rsid w:val="00A402F8"/>
    <w:rsid w:val="00A40FA9"/>
    <w:rsid w:val="00A4131B"/>
    <w:rsid w:val="00A41941"/>
    <w:rsid w:val="00A42248"/>
    <w:rsid w:val="00A4245C"/>
    <w:rsid w:val="00A42645"/>
    <w:rsid w:val="00A42894"/>
    <w:rsid w:val="00A428C2"/>
    <w:rsid w:val="00A429BB"/>
    <w:rsid w:val="00A42A19"/>
    <w:rsid w:val="00A42C10"/>
    <w:rsid w:val="00A43589"/>
    <w:rsid w:val="00A43AF1"/>
    <w:rsid w:val="00A442B5"/>
    <w:rsid w:val="00A44312"/>
    <w:rsid w:val="00A44657"/>
    <w:rsid w:val="00A449FC"/>
    <w:rsid w:val="00A4518D"/>
    <w:rsid w:val="00A4576A"/>
    <w:rsid w:val="00A45DE9"/>
    <w:rsid w:val="00A4610C"/>
    <w:rsid w:val="00A46E6F"/>
    <w:rsid w:val="00A472DE"/>
    <w:rsid w:val="00A4750A"/>
    <w:rsid w:val="00A477A5"/>
    <w:rsid w:val="00A47A56"/>
    <w:rsid w:val="00A47D0B"/>
    <w:rsid w:val="00A503A5"/>
    <w:rsid w:val="00A503D9"/>
    <w:rsid w:val="00A50DD7"/>
    <w:rsid w:val="00A51242"/>
    <w:rsid w:val="00A514E5"/>
    <w:rsid w:val="00A5182A"/>
    <w:rsid w:val="00A52397"/>
    <w:rsid w:val="00A526FA"/>
    <w:rsid w:val="00A5284D"/>
    <w:rsid w:val="00A52B48"/>
    <w:rsid w:val="00A52D95"/>
    <w:rsid w:val="00A52E4F"/>
    <w:rsid w:val="00A53E09"/>
    <w:rsid w:val="00A542C3"/>
    <w:rsid w:val="00A54CE4"/>
    <w:rsid w:val="00A54E44"/>
    <w:rsid w:val="00A54F29"/>
    <w:rsid w:val="00A553E5"/>
    <w:rsid w:val="00A55DB0"/>
    <w:rsid w:val="00A55F3D"/>
    <w:rsid w:val="00A5655B"/>
    <w:rsid w:val="00A56A01"/>
    <w:rsid w:val="00A56B42"/>
    <w:rsid w:val="00A572A6"/>
    <w:rsid w:val="00A5746E"/>
    <w:rsid w:val="00A57B90"/>
    <w:rsid w:val="00A57C9E"/>
    <w:rsid w:val="00A57D77"/>
    <w:rsid w:val="00A6016D"/>
    <w:rsid w:val="00A60195"/>
    <w:rsid w:val="00A60DA0"/>
    <w:rsid w:val="00A60E42"/>
    <w:rsid w:val="00A610C4"/>
    <w:rsid w:val="00A61126"/>
    <w:rsid w:val="00A61A9A"/>
    <w:rsid w:val="00A61D99"/>
    <w:rsid w:val="00A62ADF"/>
    <w:rsid w:val="00A634D1"/>
    <w:rsid w:val="00A63773"/>
    <w:rsid w:val="00A6481E"/>
    <w:rsid w:val="00A6490A"/>
    <w:rsid w:val="00A64B58"/>
    <w:rsid w:val="00A64CD2"/>
    <w:rsid w:val="00A65042"/>
    <w:rsid w:val="00A65321"/>
    <w:rsid w:val="00A65443"/>
    <w:rsid w:val="00A6579E"/>
    <w:rsid w:val="00A662FC"/>
    <w:rsid w:val="00A669BE"/>
    <w:rsid w:val="00A670BF"/>
    <w:rsid w:val="00A67161"/>
    <w:rsid w:val="00A67364"/>
    <w:rsid w:val="00A678C3"/>
    <w:rsid w:val="00A67CC9"/>
    <w:rsid w:val="00A67D0A"/>
    <w:rsid w:val="00A67E3B"/>
    <w:rsid w:val="00A700A6"/>
    <w:rsid w:val="00A71034"/>
    <w:rsid w:val="00A710F9"/>
    <w:rsid w:val="00A71180"/>
    <w:rsid w:val="00A71C8B"/>
    <w:rsid w:val="00A71F3E"/>
    <w:rsid w:val="00A720AE"/>
    <w:rsid w:val="00A72240"/>
    <w:rsid w:val="00A723A2"/>
    <w:rsid w:val="00A726F6"/>
    <w:rsid w:val="00A72EAE"/>
    <w:rsid w:val="00A72F37"/>
    <w:rsid w:val="00A72FB2"/>
    <w:rsid w:val="00A73664"/>
    <w:rsid w:val="00A73DFC"/>
    <w:rsid w:val="00A74044"/>
    <w:rsid w:val="00A74303"/>
    <w:rsid w:val="00A7458A"/>
    <w:rsid w:val="00A74DBE"/>
    <w:rsid w:val="00A74DFE"/>
    <w:rsid w:val="00A74E52"/>
    <w:rsid w:val="00A754C7"/>
    <w:rsid w:val="00A754E0"/>
    <w:rsid w:val="00A75A07"/>
    <w:rsid w:val="00A75A17"/>
    <w:rsid w:val="00A75A6B"/>
    <w:rsid w:val="00A75B16"/>
    <w:rsid w:val="00A75C2E"/>
    <w:rsid w:val="00A76483"/>
    <w:rsid w:val="00A76BAC"/>
    <w:rsid w:val="00A76E93"/>
    <w:rsid w:val="00A76F5A"/>
    <w:rsid w:val="00A77090"/>
    <w:rsid w:val="00A77222"/>
    <w:rsid w:val="00A772B7"/>
    <w:rsid w:val="00A772E5"/>
    <w:rsid w:val="00A777D2"/>
    <w:rsid w:val="00A77906"/>
    <w:rsid w:val="00A8054B"/>
    <w:rsid w:val="00A80A10"/>
    <w:rsid w:val="00A81707"/>
    <w:rsid w:val="00A8172B"/>
    <w:rsid w:val="00A81D78"/>
    <w:rsid w:val="00A826DE"/>
    <w:rsid w:val="00A8286D"/>
    <w:rsid w:val="00A82B4E"/>
    <w:rsid w:val="00A834DA"/>
    <w:rsid w:val="00A836B8"/>
    <w:rsid w:val="00A83A88"/>
    <w:rsid w:val="00A83CE3"/>
    <w:rsid w:val="00A84836"/>
    <w:rsid w:val="00A849C8"/>
    <w:rsid w:val="00A84C77"/>
    <w:rsid w:val="00A84CF0"/>
    <w:rsid w:val="00A84D5A"/>
    <w:rsid w:val="00A85617"/>
    <w:rsid w:val="00A85B91"/>
    <w:rsid w:val="00A85BA7"/>
    <w:rsid w:val="00A85D8F"/>
    <w:rsid w:val="00A862BA"/>
    <w:rsid w:val="00A86746"/>
    <w:rsid w:val="00A86844"/>
    <w:rsid w:val="00A868BC"/>
    <w:rsid w:val="00A86DC1"/>
    <w:rsid w:val="00A875A3"/>
    <w:rsid w:val="00A879AB"/>
    <w:rsid w:val="00A87F27"/>
    <w:rsid w:val="00A90051"/>
    <w:rsid w:val="00A9043E"/>
    <w:rsid w:val="00A90AA7"/>
    <w:rsid w:val="00A90FD5"/>
    <w:rsid w:val="00A910C4"/>
    <w:rsid w:val="00A91C4F"/>
    <w:rsid w:val="00A91E95"/>
    <w:rsid w:val="00A92382"/>
    <w:rsid w:val="00A925AB"/>
    <w:rsid w:val="00A92958"/>
    <w:rsid w:val="00A929F7"/>
    <w:rsid w:val="00A92AC0"/>
    <w:rsid w:val="00A92C70"/>
    <w:rsid w:val="00A92DBE"/>
    <w:rsid w:val="00A92E9D"/>
    <w:rsid w:val="00A93459"/>
    <w:rsid w:val="00A9396D"/>
    <w:rsid w:val="00A93CA7"/>
    <w:rsid w:val="00A93E62"/>
    <w:rsid w:val="00A93FC6"/>
    <w:rsid w:val="00A94BE4"/>
    <w:rsid w:val="00A9560B"/>
    <w:rsid w:val="00A958AD"/>
    <w:rsid w:val="00A95D58"/>
    <w:rsid w:val="00A95F20"/>
    <w:rsid w:val="00A964A6"/>
    <w:rsid w:val="00A966D4"/>
    <w:rsid w:val="00A96835"/>
    <w:rsid w:val="00A96911"/>
    <w:rsid w:val="00A97690"/>
    <w:rsid w:val="00A97A37"/>
    <w:rsid w:val="00A97C8F"/>
    <w:rsid w:val="00A97E19"/>
    <w:rsid w:val="00AA0003"/>
    <w:rsid w:val="00AA055C"/>
    <w:rsid w:val="00AA0763"/>
    <w:rsid w:val="00AA0CB9"/>
    <w:rsid w:val="00AA12CD"/>
    <w:rsid w:val="00AA159D"/>
    <w:rsid w:val="00AA1B09"/>
    <w:rsid w:val="00AA1E3D"/>
    <w:rsid w:val="00AA2C31"/>
    <w:rsid w:val="00AA2D42"/>
    <w:rsid w:val="00AA34DB"/>
    <w:rsid w:val="00AA3788"/>
    <w:rsid w:val="00AA3FCF"/>
    <w:rsid w:val="00AA4249"/>
    <w:rsid w:val="00AA42DF"/>
    <w:rsid w:val="00AA4B49"/>
    <w:rsid w:val="00AA4D73"/>
    <w:rsid w:val="00AA52D7"/>
    <w:rsid w:val="00AA58B6"/>
    <w:rsid w:val="00AA59C0"/>
    <w:rsid w:val="00AA5F43"/>
    <w:rsid w:val="00AA607D"/>
    <w:rsid w:val="00AA6A13"/>
    <w:rsid w:val="00AA700E"/>
    <w:rsid w:val="00AA772F"/>
    <w:rsid w:val="00AA7885"/>
    <w:rsid w:val="00AA7C7B"/>
    <w:rsid w:val="00AB01A2"/>
    <w:rsid w:val="00AB02C8"/>
    <w:rsid w:val="00AB07F7"/>
    <w:rsid w:val="00AB0DB0"/>
    <w:rsid w:val="00AB0DDF"/>
    <w:rsid w:val="00AB1C38"/>
    <w:rsid w:val="00AB251E"/>
    <w:rsid w:val="00AB3A04"/>
    <w:rsid w:val="00AB3FAE"/>
    <w:rsid w:val="00AB4083"/>
    <w:rsid w:val="00AB42CA"/>
    <w:rsid w:val="00AB47F8"/>
    <w:rsid w:val="00AB4E23"/>
    <w:rsid w:val="00AB5833"/>
    <w:rsid w:val="00AB58D9"/>
    <w:rsid w:val="00AB5BC5"/>
    <w:rsid w:val="00AB5C4E"/>
    <w:rsid w:val="00AB5C72"/>
    <w:rsid w:val="00AB5FB0"/>
    <w:rsid w:val="00AB6183"/>
    <w:rsid w:val="00AB66D2"/>
    <w:rsid w:val="00AB6EFE"/>
    <w:rsid w:val="00AC0CA3"/>
    <w:rsid w:val="00AC0D1C"/>
    <w:rsid w:val="00AC1479"/>
    <w:rsid w:val="00AC1BF1"/>
    <w:rsid w:val="00AC1C04"/>
    <w:rsid w:val="00AC1F18"/>
    <w:rsid w:val="00AC2240"/>
    <w:rsid w:val="00AC22EC"/>
    <w:rsid w:val="00AC28A1"/>
    <w:rsid w:val="00AC2C6B"/>
    <w:rsid w:val="00AC2FC1"/>
    <w:rsid w:val="00AC35F9"/>
    <w:rsid w:val="00AC42C4"/>
    <w:rsid w:val="00AC431A"/>
    <w:rsid w:val="00AC462A"/>
    <w:rsid w:val="00AC4832"/>
    <w:rsid w:val="00AC489A"/>
    <w:rsid w:val="00AC4B7F"/>
    <w:rsid w:val="00AC5A08"/>
    <w:rsid w:val="00AC5EA2"/>
    <w:rsid w:val="00AC5F34"/>
    <w:rsid w:val="00AC662C"/>
    <w:rsid w:val="00AC69DB"/>
    <w:rsid w:val="00AC6BE8"/>
    <w:rsid w:val="00AC6E19"/>
    <w:rsid w:val="00AD008E"/>
    <w:rsid w:val="00AD1AC4"/>
    <w:rsid w:val="00AD247A"/>
    <w:rsid w:val="00AD26FE"/>
    <w:rsid w:val="00AD29C1"/>
    <w:rsid w:val="00AD2EF8"/>
    <w:rsid w:val="00AD30AC"/>
    <w:rsid w:val="00AD332D"/>
    <w:rsid w:val="00AD3822"/>
    <w:rsid w:val="00AD433E"/>
    <w:rsid w:val="00AD47B3"/>
    <w:rsid w:val="00AD48F1"/>
    <w:rsid w:val="00AD49CC"/>
    <w:rsid w:val="00AD50EE"/>
    <w:rsid w:val="00AD5186"/>
    <w:rsid w:val="00AD54AA"/>
    <w:rsid w:val="00AD5617"/>
    <w:rsid w:val="00AD5C21"/>
    <w:rsid w:val="00AD613F"/>
    <w:rsid w:val="00AD6405"/>
    <w:rsid w:val="00AD6532"/>
    <w:rsid w:val="00AD67EA"/>
    <w:rsid w:val="00AD68E2"/>
    <w:rsid w:val="00AD6BFC"/>
    <w:rsid w:val="00AD6EE0"/>
    <w:rsid w:val="00AD6F14"/>
    <w:rsid w:val="00AD7107"/>
    <w:rsid w:val="00AD7887"/>
    <w:rsid w:val="00AD7DCC"/>
    <w:rsid w:val="00AE02B1"/>
    <w:rsid w:val="00AE02C7"/>
    <w:rsid w:val="00AE0396"/>
    <w:rsid w:val="00AE0CA2"/>
    <w:rsid w:val="00AE0DAA"/>
    <w:rsid w:val="00AE0F8E"/>
    <w:rsid w:val="00AE12DE"/>
    <w:rsid w:val="00AE1AA2"/>
    <w:rsid w:val="00AE1F75"/>
    <w:rsid w:val="00AE2521"/>
    <w:rsid w:val="00AE2533"/>
    <w:rsid w:val="00AE285F"/>
    <w:rsid w:val="00AE2F8D"/>
    <w:rsid w:val="00AE30B9"/>
    <w:rsid w:val="00AE3879"/>
    <w:rsid w:val="00AE48D2"/>
    <w:rsid w:val="00AE4A57"/>
    <w:rsid w:val="00AE4D72"/>
    <w:rsid w:val="00AE4E52"/>
    <w:rsid w:val="00AE5663"/>
    <w:rsid w:val="00AE5D65"/>
    <w:rsid w:val="00AE61A2"/>
    <w:rsid w:val="00AE62C9"/>
    <w:rsid w:val="00AE70B0"/>
    <w:rsid w:val="00AE7657"/>
    <w:rsid w:val="00AF0086"/>
    <w:rsid w:val="00AF0910"/>
    <w:rsid w:val="00AF09DD"/>
    <w:rsid w:val="00AF0B72"/>
    <w:rsid w:val="00AF202A"/>
    <w:rsid w:val="00AF26FF"/>
    <w:rsid w:val="00AF27C2"/>
    <w:rsid w:val="00AF2903"/>
    <w:rsid w:val="00AF2BEB"/>
    <w:rsid w:val="00AF3AA2"/>
    <w:rsid w:val="00AF42B9"/>
    <w:rsid w:val="00AF4422"/>
    <w:rsid w:val="00AF450E"/>
    <w:rsid w:val="00AF4841"/>
    <w:rsid w:val="00AF4DC9"/>
    <w:rsid w:val="00AF4FD0"/>
    <w:rsid w:val="00AF5930"/>
    <w:rsid w:val="00AF61C5"/>
    <w:rsid w:val="00AF6351"/>
    <w:rsid w:val="00AF63CE"/>
    <w:rsid w:val="00AF6759"/>
    <w:rsid w:val="00AF6804"/>
    <w:rsid w:val="00AF68FC"/>
    <w:rsid w:val="00AF77C7"/>
    <w:rsid w:val="00AF797D"/>
    <w:rsid w:val="00AF7C66"/>
    <w:rsid w:val="00B00B2F"/>
    <w:rsid w:val="00B00FA4"/>
    <w:rsid w:val="00B010A9"/>
    <w:rsid w:val="00B01158"/>
    <w:rsid w:val="00B01BF8"/>
    <w:rsid w:val="00B01EAA"/>
    <w:rsid w:val="00B01EF6"/>
    <w:rsid w:val="00B02B86"/>
    <w:rsid w:val="00B02ECF"/>
    <w:rsid w:val="00B0332D"/>
    <w:rsid w:val="00B03399"/>
    <w:rsid w:val="00B033F1"/>
    <w:rsid w:val="00B0372C"/>
    <w:rsid w:val="00B03748"/>
    <w:rsid w:val="00B038FE"/>
    <w:rsid w:val="00B03BD1"/>
    <w:rsid w:val="00B04218"/>
    <w:rsid w:val="00B04702"/>
    <w:rsid w:val="00B04A25"/>
    <w:rsid w:val="00B04D7C"/>
    <w:rsid w:val="00B0521C"/>
    <w:rsid w:val="00B056AB"/>
    <w:rsid w:val="00B0579D"/>
    <w:rsid w:val="00B057A0"/>
    <w:rsid w:val="00B05984"/>
    <w:rsid w:val="00B05CE2"/>
    <w:rsid w:val="00B05F7C"/>
    <w:rsid w:val="00B060AB"/>
    <w:rsid w:val="00B061C6"/>
    <w:rsid w:val="00B06328"/>
    <w:rsid w:val="00B0719B"/>
    <w:rsid w:val="00B0725F"/>
    <w:rsid w:val="00B0744A"/>
    <w:rsid w:val="00B0761E"/>
    <w:rsid w:val="00B07C32"/>
    <w:rsid w:val="00B07CF6"/>
    <w:rsid w:val="00B07F08"/>
    <w:rsid w:val="00B104A2"/>
    <w:rsid w:val="00B1061F"/>
    <w:rsid w:val="00B10D6D"/>
    <w:rsid w:val="00B1102A"/>
    <w:rsid w:val="00B11450"/>
    <w:rsid w:val="00B11A8E"/>
    <w:rsid w:val="00B11D4A"/>
    <w:rsid w:val="00B12175"/>
    <w:rsid w:val="00B125B7"/>
    <w:rsid w:val="00B12846"/>
    <w:rsid w:val="00B12CA5"/>
    <w:rsid w:val="00B12FCA"/>
    <w:rsid w:val="00B12FEC"/>
    <w:rsid w:val="00B1310C"/>
    <w:rsid w:val="00B13E1E"/>
    <w:rsid w:val="00B14618"/>
    <w:rsid w:val="00B14760"/>
    <w:rsid w:val="00B14EDD"/>
    <w:rsid w:val="00B14F2F"/>
    <w:rsid w:val="00B1527C"/>
    <w:rsid w:val="00B15308"/>
    <w:rsid w:val="00B1540C"/>
    <w:rsid w:val="00B1556E"/>
    <w:rsid w:val="00B1564C"/>
    <w:rsid w:val="00B15E89"/>
    <w:rsid w:val="00B15F29"/>
    <w:rsid w:val="00B16F15"/>
    <w:rsid w:val="00B17315"/>
    <w:rsid w:val="00B17C15"/>
    <w:rsid w:val="00B17EFF"/>
    <w:rsid w:val="00B202BD"/>
    <w:rsid w:val="00B202C0"/>
    <w:rsid w:val="00B20374"/>
    <w:rsid w:val="00B21B64"/>
    <w:rsid w:val="00B21C33"/>
    <w:rsid w:val="00B21FBD"/>
    <w:rsid w:val="00B22554"/>
    <w:rsid w:val="00B22880"/>
    <w:rsid w:val="00B22892"/>
    <w:rsid w:val="00B22B11"/>
    <w:rsid w:val="00B22C57"/>
    <w:rsid w:val="00B22D02"/>
    <w:rsid w:val="00B23066"/>
    <w:rsid w:val="00B23198"/>
    <w:rsid w:val="00B2356A"/>
    <w:rsid w:val="00B23788"/>
    <w:rsid w:val="00B23814"/>
    <w:rsid w:val="00B23A40"/>
    <w:rsid w:val="00B23A7C"/>
    <w:rsid w:val="00B23B7B"/>
    <w:rsid w:val="00B23E6A"/>
    <w:rsid w:val="00B240EA"/>
    <w:rsid w:val="00B241FE"/>
    <w:rsid w:val="00B242C9"/>
    <w:rsid w:val="00B24477"/>
    <w:rsid w:val="00B247AD"/>
    <w:rsid w:val="00B25B4A"/>
    <w:rsid w:val="00B26560"/>
    <w:rsid w:val="00B267B8"/>
    <w:rsid w:val="00B26807"/>
    <w:rsid w:val="00B2688B"/>
    <w:rsid w:val="00B26A52"/>
    <w:rsid w:val="00B270BA"/>
    <w:rsid w:val="00B275F7"/>
    <w:rsid w:val="00B27A81"/>
    <w:rsid w:val="00B27F2E"/>
    <w:rsid w:val="00B30089"/>
    <w:rsid w:val="00B3018D"/>
    <w:rsid w:val="00B303ED"/>
    <w:rsid w:val="00B30668"/>
    <w:rsid w:val="00B306B2"/>
    <w:rsid w:val="00B310A4"/>
    <w:rsid w:val="00B314D2"/>
    <w:rsid w:val="00B31892"/>
    <w:rsid w:val="00B31B78"/>
    <w:rsid w:val="00B31CCE"/>
    <w:rsid w:val="00B31EA8"/>
    <w:rsid w:val="00B32691"/>
    <w:rsid w:val="00B3298E"/>
    <w:rsid w:val="00B32E34"/>
    <w:rsid w:val="00B32F34"/>
    <w:rsid w:val="00B331D8"/>
    <w:rsid w:val="00B3338F"/>
    <w:rsid w:val="00B335E7"/>
    <w:rsid w:val="00B3387C"/>
    <w:rsid w:val="00B33F4F"/>
    <w:rsid w:val="00B33FB3"/>
    <w:rsid w:val="00B34409"/>
    <w:rsid w:val="00B346C0"/>
    <w:rsid w:val="00B34912"/>
    <w:rsid w:val="00B34A8C"/>
    <w:rsid w:val="00B34B35"/>
    <w:rsid w:val="00B34D48"/>
    <w:rsid w:val="00B34FE3"/>
    <w:rsid w:val="00B3504E"/>
    <w:rsid w:val="00B35283"/>
    <w:rsid w:val="00B35709"/>
    <w:rsid w:val="00B362AD"/>
    <w:rsid w:val="00B36410"/>
    <w:rsid w:val="00B36880"/>
    <w:rsid w:val="00B375A2"/>
    <w:rsid w:val="00B37906"/>
    <w:rsid w:val="00B37969"/>
    <w:rsid w:val="00B37DF1"/>
    <w:rsid w:val="00B40058"/>
    <w:rsid w:val="00B40676"/>
    <w:rsid w:val="00B40AE1"/>
    <w:rsid w:val="00B40B9E"/>
    <w:rsid w:val="00B41008"/>
    <w:rsid w:val="00B410EB"/>
    <w:rsid w:val="00B41A9C"/>
    <w:rsid w:val="00B41F19"/>
    <w:rsid w:val="00B42907"/>
    <w:rsid w:val="00B42D64"/>
    <w:rsid w:val="00B42F58"/>
    <w:rsid w:val="00B43A03"/>
    <w:rsid w:val="00B44097"/>
    <w:rsid w:val="00B44100"/>
    <w:rsid w:val="00B448A9"/>
    <w:rsid w:val="00B44C0F"/>
    <w:rsid w:val="00B45412"/>
    <w:rsid w:val="00B45419"/>
    <w:rsid w:val="00B457AA"/>
    <w:rsid w:val="00B45FE3"/>
    <w:rsid w:val="00B4662D"/>
    <w:rsid w:val="00B46AA2"/>
    <w:rsid w:val="00B4704B"/>
    <w:rsid w:val="00B47847"/>
    <w:rsid w:val="00B50747"/>
    <w:rsid w:val="00B508E1"/>
    <w:rsid w:val="00B50A0F"/>
    <w:rsid w:val="00B50B92"/>
    <w:rsid w:val="00B50C00"/>
    <w:rsid w:val="00B51069"/>
    <w:rsid w:val="00B512B0"/>
    <w:rsid w:val="00B51BF9"/>
    <w:rsid w:val="00B521A0"/>
    <w:rsid w:val="00B522C3"/>
    <w:rsid w:val="00B522CE"/>
    <w:rsid w:val="00B52501"/>
    <w:rsid w:val="00B5254C"/>
    <w:rsid w:val="00B5270C"/>
    <w:rsid w:val="00B52CAC"/>
    <w:rsid w:val="00B52E71"/>
    <w:rsid w:val="00B53163"/>
    <w:rsid w:val="00B5337F"/>
    <w:rsid w:val="00B537B0"/>
    <w:rsid w:val="00B53C79"/>
    <w:rsid w:val="00B53DDF"/>
    <w:rsid w:val="00B53FD4"/>
    <w:rsid w:val="00B53FDE"/>
    <w:rsid w:val="00B54219"/>
    <w:rsid w:val="00B5443E"/>
    <w:rsid w:val="00B54598"/>
    <w:rsid w:val="00B54D6D"/>
    <w:rsid w:val="00B55035"/>
    <w:rsid w:val="00B55425"/>
    <w:rsid w:val="00B5590A"/>
    <w:rsid w:val="00B55AF9"/>
    <w:rsid w:val="00B5603E"/>
    <w:rsid w:val="00B571D3"/>
    <w:rsid w:val="00B57368"/>
    <w:rsid w:val="00B57680"/>
    <w:rsid w:val="00B57766"/>
    <w:rsid w:val="00B57A4B"/>
    <w:rsid w:val="00B602A3"/>
    <w:rsid w:val="00B607BC"/>
    <w:rsid w:val="00B60B30"/>
    <w:rsid w:val="00B60BEE"/>
    <w:rsid w:val="00B60CF5"/>
    <w:rsid w:val="00B6192A"/>
    <w:rsid w:val="00B61EEE"/>
    <w:rsid w:val="00B62151"/>
    <w:rsid w:val="00B62A24"/>
    <w:rsid w:val="00B63BAB"/>
    <w:rsid w:val="00B63C77"/>
    <w:rsid w:val="00B63EE2"/>
    <w:rsid w:val="00B6435F"/>
    <w:rsid w:val="00B64A16"/>
    <w:rsid w:val="00B651C5"/>
    <w:rsid w:val="00B653D3"/>
    <w:rsid w:val="00B65465"/>
    <w:rsid w:val="00B65A01"/>
    <w:rsid w:val="00B65BAE"/>
    <w:rsid w:val="00B65CC1"/>
    <w:rsid w:val="00B662CE"/>
    <w:rsid w:val="00B66E0A"/>
    <w:rsid w:val="00B66F2C"/>
    <w:rsid w:val="00B672BB"/>
    <w:rsid w:val="00B67431"/>
    <w:rsid w:val="00B67F4F"/>
    <w:rsid w:val="00B7052F"/>
    <w:rsid w:val="00B70889"/>
    <w:rsid w:val="00B70D39"/>
    <w:rsid w:val="00B70D59"/>
    <w:rsid w:val="00B71425"/>
    <w:rsid w:val="00B714B0"/>
    <w:rsid w:val="00B716B5"/>
    <w:rsid w:val="00B71925"/>
    <w:rsid w:val="00B71B19"/>
    <w:rsid w:val="00B721DB"/>
    <w:rsid w:val="00B722F7"/>
    <w:rsid w:val="00B725EF"/>
    <w:rsid w:val="00B72E06"/>
    <w:rsid w:val="00B72F12"/>
    <w:rsid w:val="00B73102"/>
    <w:rsid w:val="00B73E71"/>
    <w:rsid w:val="00B73EED"/>
    <w:rsid w:val="00B74050"/>
    <w:rsid w:val="00B7413F"/>
    <w:rsid w:val="00B741BC"/>
    <w:rsid w:val="00B74440"/>
    <w:rsid w:val="00B74534"/>
    <w:rsid w:val="00B74CEB"/>
    <w:rsid w:val="00B753E0"/>
    <w:rsid w:val="00B75554"/>
    <w:rsid w:val="00B75731"/>
    <w:rsid w:val="00B75D0D"/>
    <w:rsid w:val="00B75DE0"/>
    <w:rsid w:val="00B75F44"/>
    <w:rsid w:val="00B7600A"/>
    <w:rsid w:val="00B7650C"/>
    <w:rsid w:val="00B76651"/>
    <w:rsid w:val="00B76657"/>
    <w:rsid w:val="00B76807"/>
    <w:rsid w:val="00B76A8D"/>
    <w:rsid w:val="00B76F78"/>
    <w:rsid w:val="00B76F8C"/>
    <w:rsid w:val="00B776FA"/>
    <w:rsid w:val="00B77F59"/>
    <w:rsid w:val="00B8039C"/>
    <w:rsid w:val="00B80969"/>
    <w:rsid w:val="00B80C98"/>
    <w:rsid w:val="00B810EC"/>
    <w:rsid w:val="00B811AB"/>
    <w:rsid w:val="00B811B6"/>
    <w:rsid w:val="00B8152A"/>
    <w:rsid w:val="00B81CB2"/>
    <w:rsid w:val="00B82822"/>
    <w:rsid w:val="00B82B9B"/>
    <w:rsid w:val="00B82DE7"/>
    <w:rsid w:val="00B83000"/>
    <w:rsid w:val="00B832FA"/>
    <w:rsid w:val="00B84173"/>
    <w:rsid w:val="00B85359"/>
    <w:rsid w:val="00B85526"/>
    <w:rsid w:val="00B85683"/>
    <w:rsid w:val="00B859FA"/>
    <w:rsid w:val="00B859FF"/>
    <w:rsid w:val="00B86837"/>
    <w:rsid w:val="00B86C2F"/>
    <w:rsid w:val="00B86E6B"/>
    <w:rsid w:val="00B876E4"/>
    <w:rsid w:val="00B87C5F"/>
    <w:rsid w:val="00B90BA5"/>
    <w:rsid w:val="00B90C8C"/>
    <w:rsid w:val="00B90CE9"/>
    <w:rsid w:val="00B90E73"/>
    <w:rsid w:val="00B91165"/>
    <w:rsid w:val="00B91169"/>
    <w:rsid w:val="00B91771"/>
    <w:rsid w:val="00B919D6"/>
    <w:rsid w:val="00B91D5D"/>
    <w:rsid w:val="00B91FE8"/>
    <w:rsid w:val="00B92621"/>
    <w:rsid w:val="00B927E8"/>
    <w:rsid w:val="00B92A65"/>
    <w:rsid w:val="00B92B57"/>
    <w:rsid w:val="00B92C9C"/>
    <w:rsid w:val="00B92CCC"/>
    <w:rsid w:val="00B92CFF"/>
    <w:rsid w:val="00B93123"/>
    <w:rsid w:val="00B93B4C"/>
    <w:rsid w:val="00B942E3"/>
    <w:rsid w:val="00B945AE"/>
    <w:rsid w:val="00B94A97"/>
    <w:rsid w:val="00B94B39"/>
    <w:rsid w:val="00B94BB2"/>
    <w:rsid w:val="00B94D71"/>
    <w:rsid w:val="00B94DA8"/>
    <w:rsid w:val="00B950CA"/>
    <w:rsid w:val="00B95730"/>
    <w:rsid w:val="00B95806"/>
    <w:rsid w:val="00B95916"/>
    <w:rsid w:val="00B95B22"/>
    <w:rsid w:val="00B95B3A"/>
    <w:rsid w:val="00B96063"/>
    <w:rsid w:val="00B963AE"/>
    <w:rsid w:val="00B96525"/>
    <w:rsid w:val="00B966EA"/>
    <w:rsid w:val="00B968C3"/>
    <w:rsid w:val="00B96937"/>
    <w:rsid w:val="00B969D7"/>
    <w:rsid w:val="00B96A84"/>
    <w:rsid w:val="00B96D11"/>
    <w:rsid w:val="00B96D34"/>
    <w:rsid w:val="00B96E15"/>
    <w:rsid w:val="00B96F37"/>
    <w:rsid w:val="00B96F6C"/>
    <w:rsid w:val="00B97143"/>
    <w:rsid w:val="00B97B61"/>
    <w:rsid w:val="00BA0B25"/>
    <w:rsid w:val="00BA0C5F"/>
    <w:rsid w:val="00BA18F5"/>
    <w:rsid w:val="00BA19AF"/>
    <w:rsid w:val="00BA19EC"/>
    <w:rsid w:val="00BA1DBB"/>
    <w:rsid w:val="00BA1EC4"/>
    <w:rsid w:val="00BA2276"/>
    <w:rsid w:val="00BA27D1"/>
    <w:rsid w:val="00BA2CE8"/>
    <w:rsid w:val="00BA35DA"/>
    <w:rsid w:val="00BA373C"/>
    <w:rsid w:val="00BA3A25"/>
    <w:rsid w:val="00BA3B79"/>
    <w:rsid w:val="00BA3EF6"/>
    <w:rsid w:val="00BA3F07"/>
    <w:rsid w:val="00BA3F90"/>
    <w:rsid w:val="00BA4580"/>
    <w:rsid w:val="00BA45A9"/>
    <w:rsid w:val="00BA4616"/>
    <w:rsid w:val="00BA499F"/>
    <w:rsid w:val="00BA4C32"/>
    <w:rsid w:val="00BA5143"/>
    <w:rsid w:val="00BA549B"/>
    <w:rsid w:val="00BA54FD"/>
    <w:rsid w:val="00BA58F1"/>
    <w:rsid w:val="00BA5D36"/>
    <w:rsid w:val="00BA5FE0"/>
    <w:rsid w:val="00BA61A9"/>
    <w:rsid w:val="00BA66F9"/>
    <w:rsid w:val="00BA6855"/>
    <w:rsid w:val="00BA69BE"/>
    <w:rsid w:val="00BA71BD"/>
    <w:rsid w:val="00BA7520"/>
    <w:rsid w:val="00BA7595"/>
    <w:rsid w:val="00BA7623"/>
    <w:rsid w:val="00BA785A"/>
    <w:rsid w:val="00BB0EDF"/>
    <w:rsid w:val="00BB103F"/>
    <w:rsid w:val="00BB1631"/>
    <w:rsid w:val="00BB16F7"/>
    <w:rsid w:val="00BB1A01"/>
    <w:rsid w:val="00BB1B4E"/>
    <w:rsid w:val="00BB1DFE"/>
    <w:rsid w:val="00BB230C"/>
    <w:rsid w:val="00BB23AA"/>
    <w:rsid w:val="00BB2608"/>
    <w:rsid w:val="00BB2FB0"/>
    <w:rsid w:val="00BB32EA"/>
    <w:rsid w:val="00BB3C99"/>
    <w:rsid w:val="00BB42D2"/>
    <w:rsid w:val="00BB4706"/>
    <w:rsid w:val="00BB4E76"/>
    <w:rsid w:val="00BB5E2A"/>
    <w:rsid w:val="00BB66E0"/>
    <w:rsid w:val="00BB67D0"/>
    <w:rsid w:val="00BB6B23"/>
    <w:rsid w:val="00BB6BA5"/>
    <w:rsid w:val="00BB723C"/>
    <w:rsid w:val="00BB73C7"/>
    <w:rsid w:val="00BB74FB"/>
    <w:rsid w:val="00BB7B95"/>
    <w:rsid w:val="00BB7BAF"/>
    <w:rsid w:val="00BB7CCE"/>
    <w:rsid w:val="00BB7D8F"/>
    <w:rsid w:val="00BC00FF"/>
    <w:rsid w:val="00BC0388"/>
    <w:rsid w:val="00BC03F7"/>
    <w:rsid w:val="00BC0416"/>
    <w:rsid w:val="00BC115F"/>
    <w:rsid w:val="00BC1A91"/>
    <w:rsid w:val="00BC31E2"/>
    <w:rsid w:val="00BC3209"/>
    <w:rsid w:val="00BC3591"/>
    <w:rsid w:val="00BC3BEA"/>
    <w:rsid w:val="00BC42AF"/>
    <w:rsid w:val="00BC42CF"/>
    <w:rsid w:val="00BC42F1"/>
    <w:rsid w:val="00BC4489"/>
    <w:rsid w:val="00BC454B"/>
    <w:rsid w:val="00BC456B"/>
    <w:rsid w:val="00BC4CF5"/>
    <w:rsid w:val="00BC4DE1"/>
    <w:rsid w:val="00BC5269"/>
    <w:rsid w:val="00BC5474"/>
    <w:rsid w:val="00BC55C8"/>
    <w:rsid w:val="00BC5B96"/>
    <w:rsid w:val="00BC5C77"/>
    <w:rsid w:val="00BC647A"/>
    <w:rsid w:val="00BC6864"/>
    <w:rsid w:val="00BC6EC8"/>
    <w:rsid w:val="00BC75AA"/>
    <w:rsid w:val="00BC77E5"/>
    <w:rsid w:val="00BC7BD6"/>
    <w:rsid w:val="00BC7EC3"/>
    <w:rsid w:val="00BD0364"/>
    <w:rsid w:val="00BD070C"/>
    <w:rsid w:val="00BD0B7F"/>
    <w:rsid w:val="00BD12CB"/>
    <w:rsid w:val="00BD1535"/>
    <w:rsid w:val="00BD1E48"/>
    <w:rsid w:val="00BD2086"/>
    <w:rsid w:val="00BD2458"/>
    <w:rsid w:val="00BD269B"/>
    <w:rsid w:val="00BD2E81"/>
    <w:rsid w:val="00BD2F13"/>
    <w:rsid w:val="00BD31C1"/>
    <w:rsid w:val="00BD326B"/>
    <w:rsid w:val="00BD3925"/>
    <w:rsid w:val="00BD4668"/>
    <w:rsid w:val="00BD4A22"/>
    <w:rsid w:val="00BD4A9D"/>
    <w:rsid w:val="00BD4BF5"/>
    <w:rsid w:val="00BD5347"/>
    <w:rsid w:val="00BD5409"/>
    <w:rsid w:val="00BD55EF"/>
    <w:rsid w:val="00BD5862"/>
    <w:rsid w:val="00BD5FAD"/>
    <w:rsid w:val="00BD622C"/>
    <w:rsid w:val="00BD6471"/>
    <w:rsid w:val="00BD67A6"/>
    <w:rsid w:val="00BD6AA7"/>
    <w:rsid w:val="00BD6CFD"/>
    <w:rsid w:val="00BD6EC6"/>
    <w:rsid w:val="00BD6F05"/>
    <w:rsid w:val="00BD7286"/>
    <w:rsid w:val="00BD77DA"/>
    <w:rsid w:val="00BD78D4"/>
    <w:rsid w:val="00BD7C66"/>
    <w:rsid w:val="00BE003C"/>
    <w:rsid w:val="00BE05C7"/>
    <w:rsid w:val="00BE07EE"/>
    <w:rsid w:val="00BE0D09"/>
    <w:rsid w:val="00BE0D13"/>
    <w:rsid w:val="00BE1037"/>
    <w:rsid w:val="00BE1A9C"/>
    <w:rsid w:val="00BE24FE"/>
    <w:rsid w:val="00BE288D"/>
    <w:rsid w:val="00BE2DB9"/>
    <w:rsid w:val="00BE2E8D"/>
    <w:rsid w:val="00BE2FCA"/>
    <w:rsid w:val="00BE315E"/>
    <w:rsid w:val="00BE32EE"/>
    <w:rsid w:val="00BE378F"/>
    <w:rsid w:val="00BE4934"/>
    <w:rsid w:val="00BE49D1"/>
    <w:rsid w:val="00BE5821"/>
    <w:rsid w:val="00BE5A5B"/>
    <w:rsid w:val="00BE60C8"/>
    <w:rsid w:val="00BE65F3"/>
    <w:rsid w:val="00BE6757"/>
    <w:rsid w:val="00BE6792"/>
    <w:rsid w:val="00BE67DE"/>
    <w:rsid w:val="00BE6C83"/>
    <w:rsid w:val="00BE6EF5"/>
    <w:rsid w:val="00BE73A7"/>
    <w:rsid w:val="00BE7C14"/>
    <w:rsid w:val="00BF02F9"/>
    <w:rsid w:val="00BF06DB"/>
    <w:rsid w:val="00BF0777"/>
    <w:rsid w:val="00BF0824"/>
    <w:rsid w:val="00BF0CCF"/>
    <w:rsid w:val="00BF0E52"/>
    <w:rsid w:val="00BF1C2D"/>
    <w:rsid w:val="00BF2733"/>
    <w:rsid w:val="00BF2A3D"/>
    <w:rsid w:val="00BF2A58"/>
    <w:rsid w:val="00BF3ED0"/>
    <w:rsid w:val="00BF4933"/>
    <w:rsid w:val="00BF4CEE"/>
    <w:rsid w:val="00BF4EB3"/>
    <w:rsid w:val="00BF520D"/>
    <w:rsid w:val="00BF52D0"/>
    <w:rsid w:val="00BF56D6"/>
    <w:rsid w:val="00BF58DA"/>
    <w:rsid w:val="00BF5DC5"/>
    <w:rsid w:val="00BF60B7"/>
    <w:rsid w:val="00BF633E"/>
    <w:rsid w:val="00BF714D"/>
    <w:rsid w:val="00BF71F0"/>
    <w:rsid w:val="00BF7969"/>
    <w:rsid w:val="00BF7FBF"/>
    <w:rsid w:val="00C00B65"/>
    <w:rsid w:val="00C00D70"/>
    <w:rsid w:val="00C00F02"/>
    <w:rsid w:val="00C01070"/>
    <w:rsid w:val="00C010C1"/>
    <w:rsid w:val="00C01524"/>
    <w:rsid w:val="00C01ABA"/>
    <w:rsid w:val="00C0282D"/>
    <w:rsid w:val="00C02E3F"/>
    <w:rsid w:val="00C02F33"/>
    <w:rsid w:val="00C0309F"/>
    <w:rsid w:val="00C03417"/>
    <w:rsid w:val="00C038E0"/>
    <w:rsid w:val="00C03D56"/>
    <w:rsid w:val="00C03EDC"/>
    <w:rsid w:val="00C04251"/>
    <w:rsid w:val="00C04746"/>
    <w:rsid w:val="00C048F7"/>
    <w:rsid w:val="00C0492A"/>
    <w:rsid w:val="00C0522B"/>
    <w:rsid w:val="00C0533B"/>
    <w:rsid w:val="00C05C5C"/>
    <w:rsid w:val="00C05CD6"/>
    <w:rsid w:val="00C05E89"/>
    <w:rsid w:val="00C06207"/>
    <w:rsid w:val="00C066BA"/>
    <w:rsid w:val="00C068A8"/>
    <w:rsid w:val="00C06A21"/>
    <w:rsid w:val="00C06F96"/>
    <w:rsid w:val="00C078B4"/>
    <w:rsid w:val="00C103B4"/>
    <w:rsid w:val="00C10C34"/>
    <w:rsid w:val="00C10CAB"/>
    <w:rsid w:val="00C10F1C"/>
    <w:rsid w:val="00C10F8C"/>
    <w:rsid w:val="00C112EF"/>
    <w:rsid w:val="00C11421"/>
    <w:rsid w:val="00C1145A"/>
    <w:rsid w:val="00C11588"/>
    <w:rsid w:val="00C1171F"/>
    <w:rsid w:val="00C11BB2"/>
    <w:rsid w:val="00C120C9"/>
    <w:rsid w:val="00C125B9"/>
    <w:rsid w:val="00C126FE"/>
    <w:rsid w:val="00C12D56"/>
    <w:rsid w:val="00C13074"/>
    <w:rsid w:val="00C133C3"/>
    <w:rsid w:val="00C13850"/>
    <w:rsid w:val="00C139F6"/>
    <w:rsid w:val="00C13B94"/>
    <w:rsid w:val="00C13FDF"/>
    <w:rsid w:val="00C140ED"/>
    <w:rsid w:val="00C14C5F"/>
    <w:rsid w:val="00C14F7A"/>
    <w:rsid w:val="00C15060"/>
    <w:rsid w:val="00C1513A"/>
    <w:rsid w:val="00C15382"/>
    <w:rsid w:val="00C156AA"/>
    <w:rsid w:val="00C15A25"/>
    <w:rsid w:val="00C15C5F"/>
    <w:rsid w:val="00C16EF2"/>
    <w:rsid w:val="00C17017"/>
    <w:rsid w:val="00C172F6"/>
    <w:rsid w:val="00C17A6A"/>
    <w:rsid w:val="00C17AF4"/>
    <w:rsid w:val="00C17E76"/>
    <w:rsid w:val="00C17FFB"/>
    <w:rsid w:val="00C201B7"/>
    <w:rsid w:val="00C2034C"/>
    <w:rsid w:val="00C2070B"/>
    <w:rsid w:val="00C20BB0"/>
    <w:rsid w:val="00C20BF2"/>
    <w:rsid w:val="00C2103D"/>
    <w:rsid w:val="00C21899"/>
    <w:rsid w:val="00C21AE5"/>
    <w:rsid w:val="00C21F9F"/>
    <w:rsid w:val="00C22636"/>
    <w:rsid w:val="00C22781"/>
    <w:rsid w:val="00C22BD9"/>
    <w:rsid w:val="00C22DAF"/>
    <w:rsid w:val="00C22DF3"/>
    <w:rsid w:val="00C23E3D"/>
    <w:rsid w:val="00C24399"/>
    <w:rsid w:val="00C248EA"/>
    <w:rsid w:val="00C24D37"/>
    <w:rsid w:val="00C24E90"/>
    <w:rsid w:val="00C25262"/>
    <w:rsid w:val="00C257CA"/>
    <w:rsid w:val="00C25AC3"/>
    <w:rsid w:val="00C2613D"/>
    <w:rsid w:val="00C2668B"/>
    <w:rsid w:val="00C26725"/>
    <w:rsid w:val="00C269AE"/>
    <w:rsid w:val="00C26C32"/>
    <w:rsid w:val="00C26C82"/>
    <w:rsid w:val="00C27598"/>
    <w:rsid w:val="00C27789"/>
    <w:rsid w:val="00C279C9"/>
    <w:rsid w:val="00C27F3D"/>
    <w:rsid w:val="00C30D9C"/>
    <w:rsid w:val="00C314DB"/>
    <w:rsid w:val="00C317F1"/>
    <w:rsid w:val="00C326B1"/>
    <w:rsid w:val="00C3303C"/>
    <w:rsid w:val="00C33221"/>
    <w:rsid w:val="00C33434"/>
    <w:rsid w:val="00C3376F"/>
    <w:rsid w:val="00C337C3"/>
    <w:rsid w:val="00C33A9D"/>
    <w:rsid w:val="00C33B0F"/>
    <w:rsid w:val="00C342CD"/>
    <w:rsid w:val="00C343CC"/>
    <w:rsid w:val="00C34821"/>
    <w:rsid w:val="00C34D39"/>
    <w:rsid w:val="00C34E09"/>
    <w:rsid w:val="00C34F2A"/>
    <w:rsid w:val="00C35C07"/>
    <w:rsid w:val="00C3645C"/>
    <w:rsid w:val="00C36DB3"/>
    <w:rsid w:val="00C378E8"/>
    <w:rsid w:val="00C37C1F"/>
    <w:rsid w:val="00C40179"/>
    <w:rsid w:val="00C404DB"/>
    <w:rsid w:val="00C40648"/>
    <w:rsid w:val="00C40D01"/>
    <w:rsid w:val="00C40DB2"/>
    <w:rsid w:val="00C41253"/>
    <w:rsid w:val="00C4170D"/>
    <w:rsid w:val="00C41AC4"/>
    <w:rsid w:val="00C42043"/>
    <w:rsid w:val="00C4204D"/>
    <w:rsid w:val="00C425E8"/>
    <w:rsid w:val="00C42630"/>
    <w:rsid w:val="00C426C5"/>
    <w:rsid w:val="00C42DFA"/>
    <w:rsid w:val="00C42EB8"/>
    <w:rsid w:val="00C4426E"/>
    <w:rsid w:val="00C4551C"/>
    <w:rsid w:val="00C4571A"/>
    <w:rsid w:val="00C45EF2"/>
    <w:rsid w:val="00C461E2"/>
    <w:rsid w:val="00C462F7"/>
    <w:rsid w:val="00C46735"/>
    <w:rsid w:val="00C46A2E"/>
    <w:rsid w:val="00C46AC4"/>
    <w:rsid w:val="00C46BBA"/>
    <w:rsid w:val="00C46CA0"/>
    <w:rsid w:val="00C46F03"/>
    <w:rsid w:val="00C4777F"/>
    <w:rsid w:val="00C47787"/>
    <w:rsid w:val="00C47A49"/>
    <w:rsid w:val="00C47B54"/>
    <w:rsid w:val="00C47D46"/>
    <w:rsid w:val="00C50463"/>
    <w:rsid w:val="00C507A8"/>
    <w:rsid w:val="00C50D6B"/>
    <w:rsid w:val="00C50EC9"/>
    <w:rsid w:val="00C51473"/>
    <w:rsid w:val="00C5151F"/>
    <w:rsid w:val="00C51BE6"/>
    <w:rsid w:val="00C51F34"/>
    <w:rsid w:val="00C51FEE"/>
    <w:rsid w:val="00C52352"/>
    <w:rsid w:val="00C529B1"/>
    <w:rsid w:val="00C52E58"/>
    <w:rsid w:val="00C53581"/>
    <w:rsid w:val="00C53CBC"/>
    <w:rsid w:val="00C541DB"/>
    <w:rsid w:val="00C549BB"/>
    <w:rsid w:val="00C54B4A"/>
    <w:rsid w:val="00C54B9C"/>
    <w:rsid w:val="00C5500E"/>
    <w:rsid w:val="00C555D9"/>
    <w:rsid w:val="00C55BD7"/>
    <w:rsid w:val="00C55C6E"/>
    <w:rsid w:val="00C56116"/>
    <w:rsid w:val="00C5644C"/>
    <w:rsid w:val="00C5645B"/>
    <w:rsid w:val="00C56FF7"/>
    <w:rsid w:val="00C57010"/>
    <w:rsid w:val="00C57165"/>
    <w:rsid w:val="00C573DC"/>
    <w:rsid w:val="00C57466"/>
    <w:rsid w:val="00C5746A"/>
    <w:rsid w:val="00C575AB"/>
    <w:rsid w:val="00C577C6"/>
    <w:rsid w:val="00C57DA6"/>
    <w:rsid w:val="00C57EA7"/>
    <w:rsid w:val="00C60052"/>
    <w:rsid w:val="00C6078C"/>
    <w:rsid w:val="00C609BD"/>
    <w:rsid w:val="00C60D64"/>
    <w:rsid w:val="00C60DA9"/>
    <w:rsid w:val="00C60DDB"/>
    <w:rsid w:val="00C61010"/>
    <w:rsid w:val="00C613D1"/>
    <w:rsid w:val="00C617F4"/>
    <w:rsid w:val="00C61910"/>
    <w:rsid w:val="00C61DBE"/>
    <w:rsid w:val="00C61DF7"/>
    <w:rsid w:val="00C62358"/>
    <w:rsid w:val="00C627AF"/>
    <w:rsid w:val="00C62BB9"/>
    <w:rsid w:val="00C62C78"/>
    <w:rsid w:val="00C62F44"/>
    <w:rsid w:val="00C632DD"/>
    <w:rsid w:val="00C63579"/>
    <w:rsid w:val="00C63603"/>
    <w:rsid w:val="00C63A93"/>
    <w:rsid w:val="00C643DC"/>
    <w:rsid w:val="00C64D7B"/>
    <w:rsid w:val="00C65096"/>
    <w:rsid w:val="00C65B3F"/>
    <w:rsid w:val="00C65DE0"/>
    <w:rsid w:val="00C66456"/>
    <w:rsid w:val="00C6698D"/>
    <w:rsid w:val="00C66E08"/>
    <w:rsid w:val="00C66FC8"/>
    <w:rsid w:val="00C670D2"/>
    <w:rsid w:val="00C67784"/>
    <w:rsid w:val="00C67A3F"/>
    <w:rsid w:val="00C7003A"/>
    <w:rsid w:val="00C709EC"/>
    <w:rsid w:val="00C70BBB"/>
    <w:rsid w:val="00C70D95"/>
    <w:rsid w:val="00C71839"/>
    <w:rsid w:val="00C71AAA"/>
    <w:rsid w:val="00C71DFF"/>
    <w:rsid w:val="00C722A6"/>
    <w:rsid w:val="00C72437"/>
    <w:rsid w:val="00C725ED"/>
    <w:rsid w:val="00C72D29"/>
    <w:rsid w:val="00C72D59"/>
    <w:rsid w:val="00C733B5"/>
    <w:rsid w:val="00C73634"/>
    <w:rsid w:val="00C73C21"/>
    <w:rsid w:val="00C73EC9"/>
    <w:rsid w:val="00C74305"/>
    <w:rsid w:val="00C7455E"/>
    <w:rsid w:val="00C74836"/>
    <w:rsid w:val="00C74D20"/>
    <w:rsid w:val="00C753CD"/>
    <w:rsid w:val="00C75BBA"/>
    <w:rsid w:val="00C76879"/>
    <w:rsid w:val="00C76C1E"/>
    <w:rsid w:val="00C76CAA"/>
    <w:rsid w:val="00C7706B"/>
    <w:rsid w:val="00C77602"/>
    <w:rsid w:val="00C7777F"/>
    <w:rsid w:val="00C77C02"/>
    <w:rsid w:val="00C80AC6"/>
    <w:rsid w:val="00C80D9B"/>
    <w:rsid w:val="00C8141F"/>
    <w:rsid w:val="00C817BD"/>
    <w:rsid w:val="00C817DC"/>
    <w:rsid w:val="00C81859"/>
    <w:rsid w:val="00C81CC3"/>
    <w:rsid w:val="00C81D21"/>
    <w:rsid w:val="00C81D8E"/>
    <w:rsid w:val="00C82580"/>
    <w:rsid w:val="00C82FF2"/>
    <w:rsid w:val="00C83243"/>
    <w:rsid w:val="00C832D6"/>
    <w:rsid w:val="00C832F0"/>
    <w:rsid w:val="00C83937"/>
    <w:rsid w:val="00C840CD"/>
    <w:rsid w:val="00C84312"/>
    <w:rsid w:val="00C857ED"/>
    <w:rsid w:val="00C85ED9"/>
    <w:rsid w:val="00C85FD0"/>
    <w:rsid w:val="00C86981"/>
    <w:rsid w:val="00C87428"/>
    <w:rsid w:val="00C87FB0"/>
    <w:rsid w:val="00C900BC"/>
    <w:rsid w:val="00C901AB"/>
    <w:rsid w:val="00C9109F"/>
    <w:rsid w:val="00C91AE4"/>
    <w:rsid w:val="00C91F67"/>
    <w:rsid w:val="00C921D6"/>
    <w:rsid w:val="00C92219"/>
    <w:rsid w:val="00C925EF"/>
    <w:rsid w:val="00C926F0"/>
    <w:rsid w:val="00C92C01"/>
    <w:rsid w:val="00C92EDE"/>
    <w:rsid w:val="00C932AD"/>
    <w:rsid w:val="00C93676"/>
    <w:rsid w:val="00C937A8"/>
    <w:rsid w:val="00C93B5E"/>
    <w:rsid w:val="00C93CB4"/>
    <w:rsid w:val="00C93E8F"/>
    <w:rsid w:val="00C94552"/>
    <w:rsid w:val="00C94BEC"/>
    <w:rsid w:val="00C953FB"/>
    <w:rsid w:val="00C9588A"/>
    <w:rsid w:val="00C9592E"/>
    <w:rsid w:val="00C95B25"/>
    <w:rsid w:val="00C964F7"/>
    <w:rsid w:val="00C969A0"/>
    <w:rsid w:val="00C970DA"/>
    <w:rsid w:val="00C97958"/>
    <w:rsid w:val="00C97B82"/>
    <w:rsid w:val="00C97E42"/>
    <w:rsid w:val="00CA01C8"/>
    <w:rsid w:val="00CA0400"/>
    <w:rsid w:val="00CA0700"/>
    <w:rsid w:val="00CA0D8A"/>
    <w:rsid w:val="00CA1B6F"/>
    <w:rsid w:val="00CA1F7C"/>
    <w:rsid w:val="00CA216C"/>
    <w:rsid w:val="00CA23E8"/>
    <w:rsid w:val="00CA2CA0"/>
    <w:rsid w:val="00CA304D"/>
    <w:rsid w:val="00CA3782"/>
    <w:rsid w:val="00CA3958"/>
    <w:rsid w:val="00CA4262"/>
    <w:rsid w:val="00CA43FE"/>
    <w:rsid w:val="00CA47F6"/>
    <w:rsid w:val="00CA49D8"/>
    <w:rsid w:val="00CA4BBC"/>
    <w:rsid w:val="00CA4CB0"/>
    <w:rsid w:val="00CA4E5B"/>
    <w:rsid w:val="00CA4F81"/>
    <w:rsid w:val="00CA4F95"/>
    <w:rsid w:val="00CA569A"/>
    <w:rsid w:val="00CA5964"/>
    <w:rsid w:val="00CA5D34"/>
    <w:rsid w:val="00CA5FA1"/>
    <w:rsid w:val="00CA5FEA"/>
    <w:rsid w:val="00CA6489"/>
    <w:rsid w:val="00CA651F"/>
    <w:rsid w:val="00CA65E5"/>
    <w:rsid w:val="00CA6741"/>
    <w:rsid w:val="00CA6A3A"/>
    <w:rsid w:val="00CA6AC3"/>
    <w:rsid w:val="00CA75DE"/>
    <w:rsid w:val="00CA7B8C"/>
    <w:rsid w:val="00CB0765"/>
    <w:rsid w:val="00CB0FD0"/>
    <w:rsid w:val="00CB1393"/>
    <w:rsid w:val="00CB139B"/>
    <w:rsid w:val="00CB1681"/>
    <w:rsid w:val="00CB16F4"/>
    <w:rsid w:val="00CB1F22"/>
    <w:rsid w:val="00CB2174"/>
    <w:rsid w:val="00CB2376"/>
    <w:rsid w:val="00CB2C60"/>
    <w:rsid w:val="00CB303E"/>
    <w:rsid w:val="00CB30E5"/>
    <w:rsid w:val="00CB3516"/>
    <w:rsid w:val="00CB3572"/>
    <w:rsid w:val="00CB392F"/>
    <w:rsid w:val="00CB3C25"/>
    <w:rsid w:val="00CB40EE"/>
    <w:rsid w:val="00CB4325"/>
    <w:rsid w:val="00CB45BF"/>
    <w:rsid w:val="00CB47F4"/>
    <w:rsid w:val="00CB4B4F"/>
    <w:rsid w:val="00CB4C47"/>
    <w:rsid w:val="00CB54C6"/>
    <w:rsid w:val="00CB5587"/>
    <w:rsid w:val="00CB5D97"/>
    <w:rsid w:val="00CB5ED8"/>
    <w:rsid w:val="00CB6042"/>
    <w:rsid w:val="00CB6299"/>
    <w:rsid w:val="00CB62CD"/>
    <w:rsid w:val="00CB6975"/>
    <w:rsid w:val="00CB6B74"/>
    <w:rsid w:val="00CB7225"/>
    <w:rsid w:val="00CB750C"/>
    <w:rsid w:val="00CC042A"/>
    <w:rsid w:val="00CC15F6"/>
    <w:rsid w:val="00CC18FB"/>
    <w:rsid w:val="00CC2730"/>
    <w:rsid w:val="00CC2A49"/>
    <w:rsid w:val="00CC2DDE"/>
    <w:rsid w:val="00CC33A8"/>
    <w:rsid w:val="00CC3733"/>
    <w:rsid w:val="00CC3D79"/>
    <w:rsid w:val="00CC3D92"/>
    <w:rsid w:val="00CC3DB6"/>
    <w:rsid w:val="00CC43A1"/>
    <w:rsid w:val="00CC4908"/>
    <w:rsid w:val="00CC491F"/>
    <w:rsid w:val="00CC4C0F"/>
    <w:rsid w:val="00CC4FF6"/>
    <w:rsid w:val="00CC510F"/>
    <w:rsid w:val="00CC53F5"/>
    <w:rsid w:val="00CC5739"/>
    <w:rsid w:val="00CC6307"/>
    <w:rsid w:val="00CC65AB"/>
    <w:rsid w:val="00CC6728"/>
    <w:rsid w:val="00CC6B88"/>
    <w:rsid w:val="00CC7082"/>
    <w:rsid w:val="00CC75C3"/>
    <w:rsid w:val="00CC7B67"/>
    <w:rsid w:val="00CD003A"/>
    <w:rsid w:val="00CD00CB"/>
    <w:rsid w:val="00CD08DB"/>
    <w:rsid w:val="00CD18EF"/>
    <w:rsid w:val="00CD1DF7"/>
    <w:rsid w:val="00CD2144"/>
    <w:rsid w:val="00CD2347"/>
    <w:rsid w:val="00CD2D1C"/>
    <w:rsid w:val="00CD2EB1"/>
    <w:rsid w:val="00CD377F"/>
    <w:rsid w:val="00CD3A02"/>
    <w:rsid w:val="00CD3A05"/>
    <w:rsid w:val="00CD3E4F"/>
    <w:rsid w:val="00CD4568"/>
    <w:rsid w:val="00CD45F6"/>
    <w:rsid w:val="00CD48CC"/>
    <w:rsid w:val="00CD492F"/>
    <w:rsid w:val="00CD4CA3"/>
    <w:rsid w:val="00CD5053"/>
    <w:rsid w:val="00CD5093"/>
    <w:rsid w:val="00CD53BF"/>
    <w:rsid w:val="00CD53C1"/>
    <w:rsid w:val="00CD54D4"/>
    <w:rsid w:val="00CD5752"/>
    <w:rsid w:val="00CD579B"/>
    <w:rsid w:val="00CD57C9"/>
    <w:rsid w:val="00CD57D0"/>
    <w:rsid w:val="00CD5CEA"/>
    <w:rsid w:val="00CD60CB"/>
    <w:rsid w:val="00CD6267"/>
    <w:rsid w:val="00CD637F"/>
    <w:rsid w:val="00CD7929"/>
    <w:rsid w:val="00CE0C0B"/>
    <w:rsid w:val="00CE0C44"/>
    <w:rsid w:val="00CE0E51"/>
    <w:rsid w:val="00CE129A"/>
    <w:rsid w:val="00CE182F"/>
    <w:rsid w:val="00CE1EE1"/>
    <w:rsid w:val="00CE225A"/>
    <w:rsid w:val="00CE2ACD"/>
    <w:rsid w:val="00CE2E60"/>
    <w:rsid w:val="00CE2F29"/>
    <w:rsid w:val="00CE3180"/>
    <w:rsid w:val="00CE355C"/>
    <w:rsid w:val="00CE3CCA"/>
    <w:rsid w:val="00CE44F3"/>
    <w:rsid w:val="00CE4586"/>
    <w:rsid w:val="00CE4C70"/>
    <w:rsid w:val="00CE4CA9"/>
    <w:rsid w:val="00CE583A"/>
    <w:rsid w:val="00CE5A98"/>
    <w:rsid w:val="00CE5FE3"/>
    <w:rsid w:val="00CE65E1"/>
    <w:rsid w:val="00CE6681"/>
    <w:rsid w:val="00CE6AD6"/>
    <w:rsid w:val="00CE6C47"/>
    <w:rsid w:val="00CE6EE5"/>
    <w:rsid w:val="00CE77C0"/>
    <w:rsid w:val="00CF14D7"/>
    <w:rsid w:val="00CF19F1"/>
    <w:rsid w:val="00CF23E9"/>
    <w:rsid w:val="00CF24F2"/>
    <w:rsid w:val="00CF25CC"/>
    <w:rsid w:val="00CF33E6"/>
    <w:rsid w:val="00CF389F"/>
    <w:rsid w:val="00CF485C"/>
    <w:rsid w:val="00CF500F"/>
    <w:rsid w:val="00CF5090"/>
    <w:rsid w:val="00CF515D"/>
    <w:rsid w:val="00CF53C9"/>
    <w:rsid w:val="00CF5469"/>
    <w:rsid w:val="00CF5EC8"/>
    <w:rsid w:val="00CF6114"/>
    <w:rsid w:val="00CF619C"/>
    <w:rsid w:val="00CF67E4"/>
    <w:rsid w:val="00CF686E"/>
    <w:rsid w:val="00CF6DCD"/>
    <w:rsid w:val="00CF7592"/>
    <w:rsid w:val="00CF76C6"/>
    <w:rsid w:val="00CF78DA"/>
    <w:rsid w:val="00CF7E3B"/>
    <w:rsid w:val="00D0035C"/>
    <w:rsid w:val="00D003A9"/>
    <w:rsid w:val="00D005D6"/>
    <w:rsid w:val="00D00AF0"/>
    <w:rsid w:val="00D00D93"/>
    <w:rsid w:val="00D00F8B"/>
    <w:rsid w:val="00D01201"/>
    <w:rsid w:val="00D01C86"/>
    <w:rsid w:val="00D01F0E"/>
    <w:rsid w:val="00D01F56"/>
    <w:rsid w:val="00D020E3"/>
    <w:rsid w:val="00D021D3"/>
    <w:rsid w:val="00D02366"/>
    <w:rsid w:val="00D0253B"/>
    <w:rsid w:val="00D02DB5"/>
    <w:rsid w:val="00D02F7E"/>
    <w:rsid w:val="00D03A34"/>
    <w:rsid w:val="00D03C7F"/>
    <w:rsid w:val="00D04D56"/>
    <w:rsid w:val="00D04E97"/>
    <w:rsid w:val="00D04EC4"/>
    <w:rsid w:val="00D05121"/>
    <w:rsid w:val="00D05289"/>
    <w:rsid w:val="00D0597A"/>
    <w:rsid w:val="00D05C7A"/>
    <w:rsid w:val="00D05ED3"/>
    <w:rsid w:val="00D05FBB"/>
    <w:rsid w:val="00D0615C"/>
    <w:rsid w:val="00D061C2"/>
    <w:rsid w:val="00D06489"/>
    <w:rsid w:val="00D06644"/>
    <w:rsid w:val="00D06AD1"/>
    <w:rsid w:val="00D071DB"/>
    <w:rsid w:val="00D074C6"/>
    <w:rsid w:val="00D07904"/>
    <w:rsid w:val="00D07FF5"/>
    <w:rsid w:val="00D102C6"/>
    <w:rsid w:val="00D10347"/>
    <w:rsid w:val="00D10882"/>
    <w:rsid w:val="00D10DB5"/>
    <w:rsid w:val="00D11035"/>
    <w:rsid w:val="00D1118C"/>
    <w:rsid w:val="00D1121D"/>
    <w:rsid w:val="00D11280"/>
    <w:rsid w:val="00D11848"/>
    <w:rsid w:val="00D11F27"/>
    <w:rsid w:val="00D128E6"/>
    <w:rsid w:val="00D12927"/>
    <w:rsid w:val="00D12A84"/>
    <w:rsid w:val="00D12D6B"/>
    <w:rsid w:val="00D13099"/>
    <w:rsid w:val="00D132F9"/>
    <w:rsid w:val="00D13575"/>
    <w:rsid w:val="00D136C7"/>
    <w:rsid w:val="00D140E0"/>
    <w:rsid w:val="00D14180"/>
    <w:rsid w:val="00D14349"/>
    <w:rsid w:val="00D14362"/>
    <w:rsid w:val="00D14470"/>
    <w:rsid w:val="00D14AA9"/>
    <w:rsid w:val="00D14C0A"/>
    <w:rsid w:val="00D14CEC"/>
    <w:rsid w:val="00D15073"/>
    <w:rsid w:val="00D1575B"/>
    <w:rsid w:val="00D15BBB"/>
    <w:rsid w:val="00D15BCB"/>
    <w:rsid w:val="00D15BDA"/>
    <w:rsid w:val="00D168E3"/>
    <w:rsid w:val="00D1742D"/>
    <w:rsid w:val="00D174F7"/>
    <w:rsid w:val="00D17618"/>
    <w:rsid w:val="00D179A7"/>
    <w:rsid w:val="00D17F2B"/>
    <w:rsid w:val="00D200DA"/>
    <w:rsid w:val="00D201CC"/>
    <w:rsid w:val="00D20306"/>
    <w:rsid w:val="00D20811"/>
    <w:rsid w:val="00D20FAE"/>
    <w:rsid w:val="00D219A0"/>
    <w:rsid w:val="00D21E6F"/>
    <w:rsid w:val="00D22030"/>
    <w:rsid w:val="00D22458"/>
    <w:rsid w:val="00D225AC"/>
    <w:rsid w:val="00D22622"/>
    <w:rsid w:val="00D22E4A"/>
    <w:rsid w:val="00D2315B"/>
    <w:rsid w:val="00D23376"/>
    <w:rsid w:val="00D2359C"/>
    <w:rsid w:val="00D24B55"/>
    <w:rsid w:val="00D25910"/>
    <w:rsid w:val="00D25A44"/>
    <w:rsid w:val="00D25FB3"/>
    <w:rsid w:val="00D2628A"/>
    <w:rsid w:val="00D262D8"/>
    <w:rsid w:val="00D26476"/>
    <w:rsid w:val="00D26751"/>
    <w:rsid w:val="00D27422"/>
    <w:rsid w:val="00D276EE"/>
    <w:rsid w:val="00D2784F"/>
    <w:rsid w:val="00D27C65"/>
    <w:rsid w:val="00D27CCA"/>
    <w:rsid w:val="00D27E71"/>
    <w:rsid w:val="00D300A9"/>
    <w:rsid w:val="00D30A20"/>
    <w:rsid w:val="00D31101"/>
    <w:rsid w:val="00D3150F"/>
    <w:rsid w:val="00D321EF"/>
    <w:rsid w:val="00D324FB"/>
    <w:rsid w:val="00D33262"/>
    <w:rsid w:val="00D33315"/>
    <w:rsid w:val="00D33321"/>
    <w:rsid w:val="00D3374D"/>
    <w:rsid w:val="00D33A3D"/>
    <w:rsid w:val="00D34A1A"/>
    <w:rsid w:val="00D35069"/>
    <w:rsid w:val="00D352D7"/>
    <w:rsid w:val="00D367E3"/>
    <w:rsid w:val="00D37038"/>
    <w:rsid w:val="00D370A1"/>
    <w:rsid w:val="00D37129"/>
    <w:rsid w:val="00D377D3"/>
    <w:rsid w:val="00D37924"/>
    <w:rsid w:val="00D37C14"/>
    <w:rsid w:val="00D4004A"/>
    <w:rsid w:val="00D404C8"/>
    <w:rsid w:val="00D40C1E"/>
    <w:rsid w:val="00D4110A"/>
    <w:rsid w:val="00D4139F"/>
    <w:rsid w:val="00D413EB"/>
    <w:rsid w:val="00D41A39"/>
    <w:rsid w:val="00D42A61"/>
    <w:rsid w:val="00D42BA2"/>
    <w:rsid w:val="00D43190"/>
    <w:rsid w:val="00D43FF6"/>
    <w:rsid w:val="00D454CE"/>
    <w:rsid w:val="00D455E6"/>
    <w:rsid w:val="00D457A6"/>
    <w:rsid w:val="00D459F0"/>
    <w:rsid w:val="00D45B3F"/>
    <w:rsid w:val="00D45EE9"/>
    <w:rsid w:val="00D468F5"/>
    <w:rsid w:val="00D4706C"/>
    <w:rsid w:val="00D470B1"/>
    <w:rsid w:val="00D47973"/>
    <w:rsid w:val="00D47F93"/>
    <w:rsid w:val="00D503A1"/>
    <w:rsid w:val="00D5071F"/>
    <w:rsid w:val="00D50A10"/>
    <w:rsid w:val="00D50F1C"/>
    <w:rsid w:val="00D51341"/>
    <w:rsid w:val="00D5203C"/>
    <w:rsid w:val="00D52171"/>
    <w:rsid w:val="00D52286"/>
    <w:rsid w:val="00D526A3"/>
    <w:rsid w:val="00D526BD"/>
    <w:rsid w:val="00D54012"/>
    <w:rsid w:val="00D54A09"/>
    <w:rsid w:val="00D54BA4"/>
    <w:rsid w:val="00D55023"/>
    <w:rsid w:val="00D55253"/>
    <w:rsid w:val="00D56150"/>
    <w:rsid w:val="00D5627F"/>
    <w:rsid w:val="00D567E7"/>
    <w:rsid w:val="00D570DE"/>
    <w:rsid w:val="00D5729E"/>
    <w:rsid w:val="00D57505"/>
    <w:rsid w:val="00D57665"/>
    <w:rsid w:val="00D5795F"/>
    <w:rsid w:val="00D57D29"/>
    <w:rsid w:val="00D57FE4"/>
    <w:rsid w:val="00D60460"/>
    <w:rsid w:val="00D606F0"/>
    <w:rsid w:val="00D6089F"/>
    <w:rsid w:val="00D60AC0"/>
    <w:rsid w:val="00D60BDA"/>
    <w:rsid w:val="00D60F74"/>
    <w:rsid w:val="00D61111"/>
    <w:rsid w:val="00D61229"/>
    <w:rsid w:val="00D612B9"/>
    <w:rsid w:val="00D61318"/>
    <w:rsid w:val="00D6153C"/>
    <w:rsid w:val="00D615DF"/>
    <w:rsid w:val="00D61855"/>
    <w:rsid w:val="00D61AD0"/>
    <w:rsid w:val="00D61C0A"/>
    <w:rsid w:val="00D61EA6"/>
    <w:rsid w:val="00D6215C"/>
    <w:rsid w:val="00D6314B"/>
    <w:rsid w:val="00D64A19"/>
    <w:rsid w:val="00D64CE7"/>
    <w:rsid w:val="00D659D9"/>
    <w:rsid w:val="00D65C21"/>
    <w:rsid w:val="00D65CC6"/>
    <w:rsid w:val="00D65F9C"/>
    <w:rsid w:val="00D66541"/>
    <w:rsid w:val="00D665CF"/>
    <w:rsid w:val="00D67134"/>
    <w:rsid w:val="00D67317"/>
    <w:rsid w:val="00D67568"/>
    <w:rsid w:val="00D67D27"/>
    <w:rsid w:val="00D67ED8"/>
    <w:rsid w:val="00D7019B"/>
    <w:rsid w:val="00D70560"/>
    <w:rsid w:val="00D707AB"/>
    <w:rsid w:val="00D70C4C"/>
    <w:rsid w:val="00D70FA8"/>
    <w:rsid w:val="00D722D4"/>
    <w:rsid w:val="00D7290C"/>
    <w:rsid w:val="00D73155"/>
    <w:rsid w:val="00D73386"/>
    <w:rsid w:val="00D739DE"/>
    <w:rsid w:val="00D740A7"/>
    <w:rsid w:val="00D74598"/>
    <w:rsid w:val="00D7466B"/>
    <w:rsid w:val="00D74758"/>
    <w:rsid w:val="00D75209"/>
    <w:rsid w:val="00D75560"/>
    <w:rsid w:val="00D755ED"/>
    <w:rsid w:val="00D75629"/>
    <w:rsid w:val="00D757AF"/>
    <w:rsid w:val="00D75920"/>
    <w:rsid w:val="00D759FB"/>
    <w:rsid w:val="00D75AFC"/>
    <w:rsid w:val="00D75D29"/>
    <w:rsid w:val="00D75F63"/>
    <w:rsid w:val="00D76026"/>
    <w:rsid w:val="00D760A1"/>
    <w:rsid w:val="00D76308"/>
    <w:rsid w:val="00D76774"/>
    <w:rsid w:val="00D774A8"/>
    <w:rsid w:val="00D774E9"/>
    <w:rsid w:val="00D77A21"/>
    <w:rsid w:val="00D77B1E"/>
    <w:rsid w:val="00D77B94"/>
    <w:rsid w:val="00D80452"/>
    <w:rsid w:val="00D807CB"/>
    <w:rsid w:val="00D80A69"/>
    <w:rsid w:val="00D80CBE"/>
    <w:rsid w:val="00D81471"/>
    <w:rsid w:val="00D82C72"/>
    <w:rsid w:val="00D8360F"/>
    <w:rsid w:val="00D83817"/>
    <w:rsid w:val="00D83974"/>
    <w:rsid w:val="00D83D40"/>
    <w:rsid w:val="00D841E3"/>
    <w:rsid w:val="00D8462A"/>
    <w:rsid w:val="00D84781"/>
    <w:rsid w:val="00D848A5"/>
    <w:rsid w:val="00D850B9"/>
    <w:rsid w:val="00D85119"/>
    <w:rsid w:val="00D853B4"/>
    <w:rsid w:val="00D856A7"/>
    <w:rsid w:val="00D857E7"/>
    <w:rsid w:val="00D859C6"/>
    <w:rsid w:val="00D85BDE"/>
    <w:rsid w:val="00D861F7"/>
    <w:rsid w:val="00D862D4"/>
    <w:rsid w:val="00D863CC"/>
    <w:rsid w:val="00D86816"/>
    <w:rsid w:val="00D86F9E"/>
    <w:rsid w:val="00D870E7"/>
    <w:rsid w:val="00D870FD"/>
    <w:rsid w:val="00D8750F"/>
    <w:rsid w:val="00D87656"/>
    <w:rsid w:val="00D87D4E"/>
    <w:rsid w:val="00D87D90"/>
    <w:rsid w:val="00D87E5E"/>
    <w:rsid w:val="00D90021"/>
    <w:rsid w:val="00D9018D"/>
    <w:rsid w:val="00D90334"/>
    <w:rsid w:val="00D903E5"/>
    <w:rsid w:val="00D903FB"/>
    <w:rsid w:val="00D9077B"/>
    <w:rsid w:val="00D90B0E"/>
    <w:rsid w:val="00D91351"/>
    <w:rsid w:val="00D9191B"/>
    <w:rsid w:val="00D91C69"/>
    <w:rsid w:val="00D91DA3"/>
    <w:rsid w:val="00D91FC1"/>
    <w:rsid w:val="00D9299D"/>
    <w:rsid w:val="00D930E1"/>
    <w:rsid w:val="00D934A4"/>
    <w:rsid w:val="00D93696"/>
    <w:rsid w:val="00D939AD"/>
    <w:rsid w:val="00D93B17"/>
    <w:rsid w:val="00D94287"/>
    <w:rsid w:val="00D94AF7"/>
    <w:rsid w:val="00D963A3"/>
    <w:rsid w:val="00D964C9"/>
    <w:rsid w:val="00D96694"/>
    <w:rsid w:val="00D96D34"/>
    <w:rsid w:val="00D97EAC"/>
    <w:rsid w:val="00D97F8A"/>
    <w:rsid w:val="00DA0069"/>
    <w:rsid w:val="00DA02B2"/>
    <w:rsid w:val="00DA0332"/>
    <w:rsid w:val="00DA054F"/>
    <w:rsid w:val="00DA07FC"/>
    <w:rsid w:val="00DA133F"/>
    <w:rsid w:val="00DA1630"/>
    <w:rsid w:val="00DA169A"/>
    <w:rsid w:val="00DA1BB7"/>
    <w:rsid w:val="00DA1BF4"/>
    <w:rsid w:val="00DA2063"/>
    <w:rsid w:val="00DA21DE"/>
    <w:rsid w:val="00DA2CB0"/>
    <w:rsid w:val="00DA2EAE"/>
    <w:rsid w:val="00DA3325"/>
    <w:rsid w:val="00DA3715"/>
    <w:rsid w:val="00DA3F15"/>
    <w:rsid w:val="00DA409F"/>
    <w:rsid w:val="00DA4613"/>
    <w:rsid w:val="00DA4615"/>
    <w:rsid w:val="00DA486D"/>
    <w:rsid w:val="00DA4F46"/>
    <w:rsid w:val="00DA516C"/>
    <w:rsid w:val="00DA51EB"/>
    <w:rsid w:val="00DA532D"/>
    <w:rsid w:val="00DA5571"/>
    <w:rsid w:val="00DA595A"/>
    <w:rsid w:val="00DA5BBC"/>
    <w:rsid w:val="00DA6106"/>
    <w:rsid w:val="00DA6195"/>
    <w:rsid w:val="00DA65A8"/>
    <w:rsid w:val="00DA6886"/>
    <w:rsid w:val="00DA7292"/>
    <w:rsid w:val="00DA7BF8"/>
    <w:rsid w:val="00DA7DAD"/>
    <w:rsid w:val="00DA7F2B"/>
    <w:rsid w:val="00DB0043"/>
    <w:rsid w:val="00DB0139"/>
    <w:rsid w:val="00DB04A9"/>
    <w:rsid w:val="00DB0CA7"/>
    <w:rsid w:val="00DB1039"/>
    <w:rsid w:val="00DB10B8"/>
    <w:rsid w:val="00DB2986"/>
    <w:rsid w:val="00DB31DF"/>
    <w:rsid w:val="00DB32C5"/>
    <w:rsid w:val="00DB3478"/>
    <w:rsid w:val="00DB37AA"/>
    <w:rsid w:val="00DB3E2A"/>
    <w:rsid w:val="00DB3E4A"/>
    <w:rsid w:val="00DB46CD"/>
    <w:rsid w:val="00DB4ACE"/>
    <w:rsid w:val="00DB4B6D"/>
    <w:rsid w:val="00DB4DBA"/>
    <w:rsid w:val="00DB5276"/>
    <w:rsid w:val="00DB5631"/>
    <w:rsid w:val="00DB56E8"/>
    <w:rsid w:val="00DB576E"/>
    <w:rsid w:val="00DB59B5"/>
    <w:rsid w:val="00DB5F3F"/>
    <w:rsid w:val="00DB60C0"/>
    <w:rsid w:val="00DB648A"/>
    <w:rsid w:val="00DB64C5"/>
    <w:rsid w:val="00DB679E"/>
    <w:rsid w:val="00DB686A"/>
    <w:rsid w:val="00DB7308"/>
    <w:rsid w:val="00DB73B5"/>
    <w:rsid w:val="00DB7490"/>
    <w:rsid w:val="00DB7D33"/>
    <w:rsid w:val="00DC031A"/>
    <w:rsid w:val="00DC0601"/>
    <w:rsid w:val="00DC097E"/>
    <w:rsid w:val="00DC13F5"/>
    <w:rsid w:val="00DC146B"/>
    <w:rsid w:val="00DC1812"/>
    <w:rsid w:val="00DC2324"/>
    <w:rsid w:val="00DC2371"/>
    <w:rsid w:val="00DC2807"/>
    <w:rsid w:val="00DC2AAC"/>
    <w:rsid w:val="00DC31D6"/>
    <w:rsid w:val="00DC33AF"/>
    <w:rsid w:val="00DC3936"/>
    <w:rsid w:val="00DC3D3E"/>
    <w:rsid w:val="00DC3EC7"/>
    <w:rsid w:val="00DC43F3"/>
    <w:rsid w:val="00DC49F8"/>
    <w:rsid w:val="00DC4E02"/>
    <w:rsid w:val="00DC5925"/>
    <w:rsid w:val="00DC5CF7"/>
    <w:rsid w:val="00DC6317"/>
    <w:rsid w:val="00DC6321"/>
    <w:rsid w:val="00DC652C"/>
    <w:rsid w:val="00DC68F3"/>
    <w:rsid w:val="00DC7149"/>
    <w:rsid w:val="00DC72D5"/>
    <w:rsid w:val="00DC7ADA"/>
    <w:rsid w:val="00DC7C3A"/>
    <w:rsid w:val="00DD005A"/>
    <w:rsid w:val="00DD11D0"/>
    <w:rsid w:val="00DD1472"/>
    <w:rsid w:val="00DD23D3"/>
    <w:rsid w:val="00DD24C6"/>
    <w:rsid w:val="00DD262B"/>
    <w:rsid w:val="00DD2680"/>
    <w:rsid w:val="00DD28F8"/>
    <w:rsid w:val="00DD298E"/>
    <w:rsid w:val="00DD377F"/>
    <w:rsid w:val="00DD38C5"/>
    <w:rsid w:val="00DD3B80"/>
    <w:rsid w:val="00DD459F"/>
    <w:rsid w:val="00DD4F60"/>
    <w:rsid w:val="00DD4F98"/>
    <w:rsid w:val="00DD502C"/>
    <w:rsid w:val="00DD50CF"/>
    <w:rsid w:val="00DD5646"/>
    <w:rsid w:val="00DD5AEB"/>
    <w:rsid w:val="00DD6030"/>
    <w:rsid w:val="00DD6095"/>
    <w:rsid w:val="00DD6130"/>
    <w:rsid w:val="00DD61EE"/>
    <w:rsid w:val="00DD6853"/>
    <w:rsid w:val="00DD77A7"/>
    <w:rsid w:val="00DD7D9F"/>
    <w:rsid w:val="00DD7FB5"/>
    <w:rsid w:val="00DE043B"/>
    <w:rsid w:val="00DE153B"/>
    <w:rsid w:val="00DE1BBF"/>
    <w:rsid w:val="00DE1D49"/>
    <w:rsid w:val="00DE2005"/>
    <w:rsid w:val="00DE2017"/>
    <w:rsid w:val="00DE25E5"/>
    <w:rsid w:val="00DE364A"/>
    <w:rsid w:val="00DE3A7E"/>
    <w:rsid w:val="00DE45D6"/>
    <w:rsid w:val="00DE497D"/>
    <w:rsid w:val="00DE4FB6"/>
    <w:rsid w:val="00DE5792"/>
    <w:rsid w:val="00DE5AA1"/>
    <w:rsid w:val="00DE6119"/>
    <w:rsid w:val="00DE6E98"/>
    <w:rsid w:val="00DE7407"/>
    <w:rsid w:val="00DE745D"/>
    <w:rsid w:val="00DE7B50"/>
    <w:rsid w:val="00DE7C32"/>
    <w:rsid w:val="00DE7FA3"/>
    <w:rsid w:val="00DF0F18"/>
    <w:rsid w:val="00DF0F51"/>
    <w:rsid w:val="00DF1424"/>
    <w:rsid w:val="00DF16BC"/>
    <w:rsid w:val="00DF19E4"/>
    <w:rsid w:val="00DF2144"/>
    <w:rsid w:val="00DF24F5"/>
    <w:rsid w:val="00DF26BA"/>
    <w:rsid w:val="00DF2813"/>
    <w:rsid w:val="00DF2CDD"/>
    <w:rsid w:val="00DF2E85"/>
    <w:rsid w:val="00DF362A"/>
    <w:rsid w:val="00DF3750"/>
    <w:rsid w:val="00DF39C2"/>
    <w:rsid w:val="00DF3B64"/>
    <w:rsid w:val="00DF3FF4"/>
    <w:rsid w:val="00DF401E"/>
    <w:rsid w:val="00DF4BC8"/>
    <w:rsid w:val="00DF5634"/>
    <w:rsid w:val="00DF571E"/>
    <w:rsid w:val="00DF6578"/>
    <w:rsid w:val="00DF66A4"/>
    <w:rsid w:val="00DF6C6D"/>
    <w:rsid w:val="00DF6DEB"/>
    <w:rsid w:val="00DF7090"/>
    <w:rsid w:val="00DF746D"/>
    <w:rsid w:val="00DF7729"/>
    <w:rsid w:val="00DF79BD"/>
    <w:rsid w:val="00DF7C3D"/>
    <w:rsid w:val="00DF7DD9"/>
    <w:rsid w:val="00E002A5"/>
    <w:rsid w:val="00E00839"/>
    <w:rsid w:val="00E009C3"/>
    <w:rsid w:val="00E009E1"/>
    <w:rsid w:val="00E00DBB"/>
    <w:rsid w:val="00E00EE9"/>
    <w:rsid w:val="00E01417"/>
    <w:rsid w:val="00E01558"/>
    <w:rsid w:val="00E01565"/>
    <w:rsid w:val="00E01807"/>
    <w:rsid w:val="00E01CA2"/>
    <w:rsid w:val="00E01CB2"/>
    <w:rsid w:val="00E01E3E"/>
    <w:rsid w:val="00E01FAF"/>
    <w:rsid w:val="00E026C8"/>
    <w:rsid w:val="00E02904"/>
    <w:rsid w:val="00E02FAC"/>
    <w:rsid w:val="00E034C4"/>
    <w:rsid w:val="00E0363A"/>
    <w:rsid w:val="00E04056"/>
    <w:rsid w:val="00E04111"/>
    <w:rsid w:val="00E047FC"/>
    <w:rsid w:val="00E04A96"/>
    <w:rsid w:val="00E04E0B"/>
    <w:rsid w:val="00E04EC5"/>
    <w:rsid w:val="00E050E7"/>
    <w:rsid w:val="00E05692"/>
    <w:rsid w:val="00E05C78"/>
    <w:rsid w:val="00E062CA"/>
    <w:rsid w:val="00E07229"/>
    <w:rsid w:val="00E072FA"/>
    <w:rsid w:val="00E074F6"/>
    <w:rsid w:val="00E079E4"/>
    <w:rsid w:val="00E07F50"/>
    <w:rsid w:val="00E07FB5"/>
    <w:rsid w:val="00E1023C"/>
    <w:rsid w:val="00E10241"/>
    <w:rsid w:val="00E1083E"/>
    <w:rsid w:val="00E109CC"/>
    <w:rsid w:val="00E109F0"/>
    <w:rsid w:val="00E10B53"/>
    <w:rsid w:val="00E10EC7"/>
    <w:rsid w:val="00E11037"/>
    <w:rsid w:val="00E11167"/>
    <w:rsid w:val="00E112B5"/>
    <w:rsid w:val="00E11DEB"/>
    <w:rsid w:val="00E1210C"/>
    <w:rsid w:val="00E12739"/>
    <w:rsid w:val="00E12C11"/>
    <w:rsid w:val="00E1306B"/>
    <w:rsid w:val="00E13186"/>
    <w:rsid w:val="00E13293"/>
    <w:rsid w:val="00E134FA"/>
    <w:rsid w:val="00E13CC7"/>
    <w:rsid w:val="00E13CEA"/>
    <w:rsid w:val="00E13F2B"/>
    <w:rsid w:val="00E14016"/>
    <w:rsid w:val="00E140EA"/>
    <w:rsid w:val="00E143DE"/>
    <w:rsid w:val="00E147DF"/>
    <w:rsid w:val="00E14D6A"/>
    <w:rsid w:val="00E15BC8"/>
    <w:rsid w:val="00E15C89"/>
    <w:rsid w:val="00E15CCC"/>
    <w:rsid w:val="00E15D06"/>
    <w:rsid w:val="00E15F68"/>
    <w:rsid w:val="00E1637F"/>
    <w:rsid w:val="00E16592"/>
    <w:rsid w:val="00E165BF"/>
    <w:rsid w:val="00E16C27"/>
    <w:rsid w:val="00E17026"/>
    <w:rsid w:val="00E17220"/>
    <w:rsid w:val="00E1751A"/>
    <w:rsid w:val="00E17612"/>
    <w:rsid w:val="00E17AB6"/>
    <w:rsid w:val="00E20171"/>
    <w:rsid w:val="00E2099C"/>
    <w:rsid w:val="00E21280"/>
    <w:rsid w:val="00E213FB"/>
    <w:rsid w:val="00E21460"/>
    <w:rsid w:val="00E218DF"/>
    <w:rsid w:val="00E21A7F"/>
    <w:rsid w:val="00E22064"/>
    <w:rsid w:val="00E22A7F"/>
    <w:rsid w:val="00E22C7F"/>
    <w:rsid w:val="00E22D0A"/>
    <w:rsid w:val="00E2366E"/>
    <w:rsid w:val="00E23CBF"/>
    <w:rsid w:val="00E23D82"/>
    <w:rsid w:val="00E2409B"/>
    <w:rsid w:val="00E24356"/>
    <w:rsid w:val="00E2572A"/>
    <w:rsid w:val="00E2592A"/>
    <w:rsid w:val="00E26053"/>
    <w:rsid w:val="00E26622"/>
    <w:rsid w:val="00E26A58"/>
    <w:rsid w:val="00E26FCF"/>
    <w:rsid w:val="00E276E2"/>
    <w:rsid w:val="00E30008"/>
    <w:rsid w:val="00E3017D"/>
    <w:rsid w:val="00E30242"/>
    <w:rsid w:val="00E302A1"/>
    <w:rsid w:val="00E30907"/>
    <w:rsid w:val="00E30D19"/>
    <w:rsid w:val="00E31244"/>
    <w:rsid w:val="00E31300"/>
    <w:rsid w:val="00E31757"/>
    <w:rsid w:val="00E31AA8"/>
    <w:rsid w:val="00E32242"/>
    <w:rsid w:val="00E3296A"/>
    <w:rsid w:val="00E32AFD"/>
    <w:rsid w:val="00E32C07"/>
    <w:rsid w:val="00E32E27"/>
    <w:rsid w:val="00E32E34"/>
    <w:rsid w:val="00E3306C"/>
    <w:rsid w:val="00E333C8"/>
    <w:rsid w:val="00E336E2"/>
    <w:rsid w:val="00E337C2"/>
    <w:rsid w:val="00E3386E"/>
    <w:rsid w:val="00E33A79"/>
    <w:rsid w:val="00E33AFA"/>
    <w:rsid w:val="00E33FBB"/>
    <w:rsid w:val="00E3453B"/>
    <w:rsid w:val="00E34625"/>
    <w:rsid w:val="00E34707"/>
    <w:rsid w:val="00E347C5"/>
    <w:rsid w:val="00E34E1D"/>
    <w:rsid w:val="00E352C5"/>
    <w:rsid w:val="00E35324"/>
    <w:rsid w:val="00E353BC"/>
    <w:rsid w:val="00E35669"/>
    <w:rsid w:val="00E3571B"/>
    <w:rsid w:val="00E3630A"/>
    <w:rsid w:val="00E36CCD"/>
    <w:rsid w:val="00E36D0A"/>
    <w:rsid w:val="00E36D52"/>
    <w:rsid w:val="00E36D71"/>
    <w:rsid w:val="00E37545"/>
    <w:rsid w:val="00E37648"/>
    <w:rsid w:val="00E37C3C"/>
    <w:rsid w:val="00E37CAA"/>
    <w:rsid w:val="00E37D65"/>
    <w:rsid w:val="00E37EEF"/>
    <w:rsid w:val="00E40042"/>
    <w:rsid w:val="00E402C8"/>
    <w:rsid w:val="00E40929"/>
    <w:rsid w:val="00E40AEF"/>
    <w:rsid w:val="00E40ECF"/>
    <w:rsid w:val="00E411CD"/>
    <w:rsid w:val="00E41BF1"/>
    <w:rsid w:val="00E41C86"/>
    <w:rsid w:val="00E41DD3"/>
    <w:rsid w:val="00E42BB6"/>
    <w:rsid w:val="00E43108"/>
    <w:rsid w:val="00E43523"/>
    <w:rsid w:val="00E4371F"/>
    <w:rsid w:val="00E438EB"/>
    <w:rsid w:val="00E439EA"/>
    <w:rsid w:val="00E43C0A"/>
    <w:rsid w:val="00E43C7C"/>
    <w:rsid w:val="00E43E43"/>
    <w:rsid w:val="00E43F5E"/>
    <w:rsid w:val="00E44790"/>
    <w:rsid w:val="00E44AD5"/>
    <w:rsid w:val="00E44E85"/>
    <w:rsid w:val="00E44ED3"/>
    <w:rsid w:val="00E45020"/>
    <w:rsid w:val="00E45E0C"/>
    <w:rsid w:val="00E45FE6"/>
    <w:rsid w:val="00E465A3"/>
    <w:rsid w:val="00E465E6"/>
    <w:rsid w:val="00E466AF"/>
    <w:rsid w:val="00E46857"/>
    <w:rsid w:val="00E46917"/>
    <w:rsid w:val="00E46BBF"/>
    <w:rsid w:val="00E46D2B"/>
    <w:rsid w:val="00E46E18"/>
    <w:rsid w:val="00E47650"/>
    <w:rsid w:val="00E47871"/>
    <w:rsid w:val="00E47949"/>
    <w:rsid w:val="00E47AAD"/>
    <w:rsid w:val="00E47E10"/>
    <w:rsid w:val="00E502D7"/>
    <w:rsid w:val="00E502EA"/>
    <w:rsid w:val="00E508B6"/>
    <w:rsid w:val="00E50B93"/>
    <w:rsid w:val="00E511B3"/>
    <w:rsid w:val="00E51654"/>
    <w:rsid w:val="00E51666"/>
    <w:rsid w:val="00E521A7"/>
    <w:rsid w:val="00E522D2"/>
    <w:rsid w:val="00E5232D"/>
    <w:rsid w:val="00E52481"/>
    <w:rsid w:val="00E527AF"/>
    <w:rsid w:val="00E52918"/>
    <w:rsid w:val="00E529BE"/>
    <w:rsid w:val="00E531CB"/>
    <w:rsid w:val="00E53989"/>
    <w:rsid w:val="00E54510"/>
    <w:rsid w:val="00E551D1"/>
    <w:rsid w:val="00E556E8"/>
    <w:rsid w:val="00E55AEC"/>
    <w:rsid w:val="00E5608C"/>
    <w:rsid w:val="00E5632C"/>
    <w:rsid w:val="00E57467"/>
    <w:rsid w:val="00E57A7D"/>
    <w:rsid w:val="00E57C83"/>
    <w:rsid w:val="00E57D63"/>
    <w:rsid w:val="00E57F19"/>
    <w:rsid w:val="00E605E1"/>
    <w:rsid w:val="00E60644"/>
    <w:rsid w:val="00E60811"/>
    <w:rsid w:val="00E609A6"/>
    <w:rsid w:val="00E61150"/>
    <w:rsid w:val="00E6130A"/>
    <w:rsid w:val="00E6165E"/>
    <w:rsid w:val="00E6168D"/>
    <w:rsid w:val="00E624A4"/>
    <w:rsid w:val="00E6279C"/>
    <w:rsid w:val="00E627A3"/>
    <w:rsid w:val="00E62867"/>
    <w:rsid w:val="00E628B0"/>
    <w:rsid w:val="00E628E2"/>
    <w:rsid w:val="00E62B88"/>
    <w:rsid w:val="00E63004"/>
    <w:rsid w:val="00E63344"/>
    <w:rsid w:val="00E6371A"/>
    <w:rsid w:val="00E6390F"/>
    <w:rsid w:val="00E639DC"/>
    <w:rsid w:val="00E6405A"/>
    <w:rsid w:val="00E64753"/>
    <w:rsid w:val="00E64839"/>
    <w:rsid w:val="00E64ECC"/>
    <w:rsid w:val="00E660E4"/>
    <w:rsid w:val="00E66780"/>
    <w:rsid w:val="00E6694D"/>
    <w:rsid w:val="00E669C1"/>
    <w:rsid w:val="00E67825"/>
    <w:rsid w:val="00E67B6D"/>
    <w:rsid w:val="00E67C1C"/>
    <w:rsid w:val="00E67DC7"/>
    <w:rsid w:val="00E70067"/>
    <w:rsid w:val="00E703FD"/>
    <w:rsid w:val="00E70A4B"/>
    <w:rsid w:val="00E71354"/>
    <w:rsid w:val="00E7146C"/>
    <w:rsid w:val="00E71699"/>
    <w:rsid w:val="00E71A74"/>
    <w:rsid w:val="00E71AFA"/>
    <w:rsid w:val="00E71B9C"/>
    <w:rsid w:val="00E71C16"/>
    <w:rsid w:val="00E72192"/>
    <w:rsid w:val="00E72451"/>
    <w:rsid w:val="00E726A9"/>
    <w:rsid w:val="00E72A0B"/>
    <w:rsid w:val="00E72C9A"/>
    <w:rsid w:val="00E734CC"/>
    <w:rsid w:val="00E7381D"/>
    <w:rsid w:val="00E7394F"/>
    <w:rsid w:val="00E73F43"/>
    <w:rsid w:val="00E7432D"/>
    <w:rsid w:val="00E744EC"/>
    <w:rsid w:val="00E745EA"/>
    <w:rsid w:val="00E7470F"/>
    <w:rsid w:val="00E749EC"/>
    <w:rsid w:val="00E74C1D"/>
    <w:rsid w:val="00E753BD"/>
    <w:rsid w:val="00E75863"/>
    <w:rsid w:val="00E758DA"/>
    <w:rsid w:val="00E75B38"/>
    <w:rsid w:val="00E75EE2"/>
    <w:rsid w:val="00E75F1B"/>
    <w:rsid w:val="00E7626B"/>
    <w:rsid w:val="00E764B2"/>
    <w:rsid w:val="00E769FB"/>
    <w:rsid w:val="00E76A2C"/>
    <w:rsid w:val="00E77335"/>
    <w:rsid w:val="00E77902"/>
    <w:rsid w:val="00E77BD9"/>
    <w:rsid w:val="00E77EA6"/>
    <w:rsid w:val="00E77F50"/>
    <w:rsid w:val="00E80792"/>
    <w:rsid w:val="00E80875"/>
    <w:rsid w:val="00E80D48"/>
    <w:rsid w:val="00E81171"/>
    <w:rsid w:val="00E812BE"/>
    <w:rsid w:val="00E81DC2"/>
    <w:rsid w:val="00E81E21"/>
    <w:rsid w:val="00E81F76"/>
    <w:rsid w:val="00E824DF"/>
    <w:rsid w:val="00E82853"/>
    <w:rsid w:val="00E82A25"/>
    <w:rsid w:val="00E82B3F"/>
    <w:rsid w:val="00E83058"/>
    <w:rsid w:val="00E8312D"/>
    <w:rsid w:val="00E8372F"/>
    <w:rsid w:val="00E83C24"/>
    <w:rsid w:val="00E8408A"/>
    <w:rsid w:val="00E842AC"/>
    <w:rsid w:val="00E842EB"/>
    <w:rsid w:val="00E8442C"/>
    <w:rsid w:val="00E84C0D"/>
    <w:rsid w:val="00E84C2C"/>
    <w:rsid w:val="00E85488"/>
    <w:rsid w:val="00E85790"/>
    <w:rsid w:val="00E858CD"/>
    <w:rsid w:val="00E85A36"/>
    <w:rsid w:val="00E85A7A"/>
    <w:rsid w:val="00E85BA8"/>
    <w:rsid w:val="00E85DB3"/>
    <w:rsid w:val="00E86032"/>
    <w:rsid w:val="00E86061"/>
    <w:rsid w:val="00E87934"/>
    <w:rsid w:val="00E90084"/>
    <w:rsid w:val="00E90C3A"/>
    <w:rsid w:val="00E91BA8"/>
    <w:rsid w:val="00E91DAD"/>
    <w:rsid w:val="00E9215A"/>
    <w:rsid w:val="00E9217E"/>
    <w:rsid w:val="00E9225A"/>
    <w:rsid w:val="00E922B7"/>
    <w:rsid w:val="00E92A76"/>
    <w:rsid w:val="00E92B4A"/>
    <w:rsid w:val="00E92C72"/>
    <w:rsid w:val="00E92DF6"/>
    <w:rsid w:val="00E92FAB"/>
    <w:rsid w:val="00E93178"/>
    <w:rsid w:val="00E932EE"/>
    <w:rsid w:val="00E93423"/>
    <w:rsid w:val="00E935F9"/>
    <w:rsid w:val="00E939F8"/>
    <w:rsid w:val="00E93A1D"/>
    <w:rsid w:val="00E94525"/>
    <w:rsid w:val="00E94689"/>
    <w:rsid w:val="00E94CC3"/>
    <w:rsid w:val="00E94FE5"/>
    <w:rsid w:val="00E96142"/>
    <w:rsid w:val="00E962D1"/>
    <w:rsid w:val="00E963A8"/>
    <w:rsid w:val="00E96558"/>
    <w:rsid w:val="00E9676A"/>
    <w:rsid w:val="00EA00A7"/>
    <w:rsid w:val="00EA0363"/>
    <w:rsid w:val="00EA093B"/>
    <w:rsid w:val="00EA10EA"/>
    <w:rsid w:val="00EA1ABF"/>
    <w:rsid w:val="00EA1C24"/>
    <w:rsid w:val="00EA205C"/>
    <w:rsid w:val="00EA2129"/>
    <w:rsid w:val="00EA28AD"/>
    <w:rsid w:val="00EA2AB5"/>
    <w:rsid w:val="00EA2EBD"/>
    <w:rsid w:val="00EA32A4"/>
    <w:rsid w:val="00EA373F"/>
    <w:rsid w:val="00EA3F3C"/>
    <w:rsid w:val="00EA3FE6"/>
    <w:rsid w:val="00EA4947"/>
    <w:rsid w:val="00EA5C66"/>
    <w:rsid w:val="00EA601B"/>
    <w:rsid w:val="00EA68EF"/>
    <w:rsid w:val="00EA6943"/>
    <w:rsid w:val="00EA6D2C"/>
    <w:rsid w:val="00EA777B"/>
    <w:rsid w:val="00EA799C"/>
    <w:rsid w:val="00EA7C6E"/>
    <w:rsid w:val="00EA7CFD"/>
    <w:rsid w:val="00EA7DE8"/>
    <w:rsid w:val="00EB018B"/>
    <w:rsid w:val="00EB01A7"/>
    <w:rsid w:val="00EB01B7"/>
    <w:rsid w:val="00EB0585"/>
    <w:rsid w:val="00EB0CF7"/>
    <w:rsid w:val="00EB0F29"/>
    <w:rsid w:val="00EB1525"/>
    <w:rsid w:val="00EB1DAF"/>
    <w:rsid w:val="00EB2206"/>
    <w:rsid w:val="00EB235E"/>
    <w:rsid w:val="00EB24DE"/>
    <w:rsid w:val="00EB257A"/>
    <w:rsid w:val="00EB283E"/>
    <w:rsid w:val="00EB2AA2"/>
    <w:rsid w:val="00EB2DF9"/>
    <w:rsid w:val="00EB332D"/>
    <w:rsid w:val="00EB3793"/>
    <w:rsid w:val="00EB37BC"/>
    <w:rsid w:val="00EB3B8B"/>
    <w:rsid w:val="00EB3BB5"/>
    <w:rsid w:val="00EB40EF"/>
    <w:rsid w:val="00EB42B6"/>
    <w:rsid w:val="00EB5033"/>
    <w:rsid w:val="00EB511F"/>
    <w:rsid w:val="00EB5178"/>
    <w:rsid w:val="00EB52CA"/>
    <w:rsid w:val="00EB5DBB"/>
    <w:rsid w:val="00EB5FBC"/>
    <w:rsid w:val="00EB6369"/>
    <w:rsid w:val="00EB6438"/>
    <w:rsid w:val="00EB6BAB"/>
    <w:rsid w:val="00EB6C9D"/>
    <w:rsid w:val="00EB6CB2"/>
    <w:rsid w:val="00EB73A9"/>
    <w:rsid w:val="00EB78DB"/>
    <w:rsid w:val="00EC0097"/>
    <w:rsid w:val="00EC0E94"/>
    <w:rsid w:val="00EC1506"/>
    <w:rsid w:val="00EC1685"/>
    <w:rsid w:val="00EC17D9"/>
    <w:rsid w:val="00EC1C0D"/>
    <w:rsid w:val="00EC1E06"/>
    <w:rsid w:val="00EC2954"/>
    <w:rsid w:val="00EC2EDC"/>
    <w:rsid w:val="00EC3741"/>
    <w:rsid w:val="00EC3958"/>
    <w:rsid w:val="00EC3C8D"/>
    <w:rsid w:val="00EC406B"/>
    <w:rsid w:val="00EC440B"/>
    <w:rsid w:val="00EC491E"/>
    <w:rsid w:val="00EC4A7C"/>
    <w:rsid w:val="00EC4BB3"/>
    <w:rsid w:val="00EC509F"/>
    <w:rsid w:val="00EC52A5"/>
    <w:rsid w:val="00EC54DC"/>
    <w:rsid w:val="00EC6034"/>
    <w:rsid w:val="00EC603F"/>
    <w:rsid w:val="00EC6347"/>
    <w:rsid w:val="00EC65EE"/>
    <w:rsid w:val="00EC66BB"/>
    <w:rsid w:val="00EC6945"/>
    <w:rsid w:val="00EC69C6"/>
    <w:rsid w:val="00EC711A"/>
    <w:rsid w:val="00EC7138"/>
    <w:rsid w:val="00EC7D2F"/>
    <w:rsid w:val="00ED08FF"/>
    <w:rsid w:val="00ED0DC5"/>
    <w:rsid w:val="00ED0F2D"/>
    <w:rsid w:val="00ED15C8"/>
    <w:rsid w:val="00ED193A"/>
    <w:rsid w:val="00ED2A87"/>
    <w:rsid w:val="00ED2B45"/>
    <w:rsid w:val="00ED2FDF"/>
    <w:rsid w:val="00ED3EE9"/>
    <w:rsid w:val="00ED3F4A"/>
    <w:rsid w:val="00ED41A4"/>
    <w:rsid w:val="00ED4523"/>
    <w:rsid w:val="00ED572C"/>
    <w:rsid w:val="00ED5F40"/>
    <w:rsid w:val="00ED6380"/>
    <w:rsid w:val="00ED672A"/>
    <w:rsid w:val="00ED6DFF"/>
    <w:rsid w:val="00ED6EE0"/>
    <w:rsid w:val="00ED6F3D"/>
    <w:rsid w:val="00ED708A"/>
    <w:rsid w:val="00ED7364"/>
    <w:rsid w:val="00ED7A5B"/>
    <w:rsid w:val="00ED7C3F"/>
    <w:rsid w:val="00ED7D09"/>
    <w:rsid w:val="00EE02A0"/>
    <w:rsid w:val="00EE0CB0"/>
    <w:rsid w:val="00EE1DFC"/>
    <w:rsid w:val="00EE2874"/>
    <w:rsid w:val="00EE2932"/>
    <w:rsid w:val="00EE2A72"/>
    <w:rsid w:val="00EE2CC8"/>
    <w:rsid w:val="00EE2FED"/>
    <w:rsid w:val="00EE3195"/>
    <w:rsid w:val="00EE3345"/>
    <w:rsid w:val="00EE3913"/>
    <w:rsid w:val="00EE3C10"/>
    <w:rsid w:val="00EE49E0"/>
    <w:rsid w:val="00EE4C05"/>
    <w:rsid w:val="00EE4DD4"/>
    <w:rsid w:val="00EE5471"/>
    <w:rsid w:val="00EE58DB"/>
    <w:rsid w:val="00EE5D48"/>
    <w:rsid w:val="00EE5F7F"/>
    <w:rsid w:val="00EE6057"/>
    <w:rsid w:val="00EE61F2"/>
    <w:rsid w:val="00EE629A"/>
    <w:rsid w:val="00EE6B57"/>
    <w:rsid w:val="00EE6F36"/>
    <w:rsid w:val="00EE704C"/>
    <w:rsid w:val="00EE717B"/>
    <w:rsid w:val="00EE71E4"/>
    <w:rsid w:val="00EE7971"/>
    <w:rsid w:val="00EE7D69"/>
    <w:rsid w:val="00EE7EA5"/>
    <w:rsid w:val="00EF09A3"/>
    <w:rsid w:val="00EF0A94"/>
    <w:rsid w:val="00EF0DC0"/>
    <w:rsid w:val="00EF108E"/>
    <w:rsid w:val="00EF11EB"/>
    <w:rsid w:val="00EF13DE"/>
    <w:rsid w:val="00EF159C"/>
    <w:rsid w:val="00EF2002"/>
    <w:rsid w:val="00EF28D5"/>
    <w:rsid w:val="00EF34D2"/>
    <w:rsid w:val="00EF40C4"/>
    <w:rsid w:val="00EF440B"/>
    <w:rsid w:val="00EF46FA"/>
    <w:rsid w:val="00EF576D"/>
    <w:rsid w:val="00EF6E5E"/>
    <w:rsid w:val="00EF7014"/>
    <w:rsid w:val="00EF78DF"/>
    <w:rsid w:val="00EF7CA3"/>
    <w:rsid w:val="00F006BE"/>
    <w:rsid w:val="00F0077D"/>
    <w:rsid w:val="00F00822"/>
    <w:rsid w:val="00F00886"/>
    <w:rsid w:val="00F00A0C"/>
    <w:rsid w:val="00F00C3F"/>
    <w:rsid w:val="00F012D8"/>
    <w:rsid w:val="00F01671"/>
    <w:rsid w:val="00F01ADB"/>
    <w:rsid w:val="00F01DB1"/>
    <w:rsid w:val="00F01DE9"/>
    <w:rsid w:val="00F02388"/>
    <w:rsid w:val="00F02497"/>
    <w:rsid w:val="00F0284B"/>
    <w:rsid w:val="00F02E52"/>
    <w:rsid w:val="00F03135"/>
    <w:rsid w:val="00F03E82"/>
    <w:rsid w:val="00F0408B"/>
    <w:rsid w:val="00F043F9"/>
    <w:rsid w:val="00F0456B"/>
    <w:rsid w:val="00F0505F"/>
    <w:rsid w:val="00F050BD"/>
    <w:rsid w:val="00F056DA"/>
    <w:rsid w:val="00F05870"/>
    <w:rsid w:val="00F0591F"/>
    <w:rsid w:val="00F05933"/>
    <w:rsid w:val="00F0626D"/>
    <w:rsid w:val="00F06745"/>
    <w:rsid w:val="00F0687F"/>
    <w:rsid w:val="00F07166"/>
    <w:rsid w:val="00F078DD"/>
    <w:rsid w:val="00F07ABD"/>
    <w:rsid w:val="00F07DA4"/>
    <w:rsid w:val="00F10137"/>
    <w:rsid w:val="00F107E6"/>
    <w:rsid w:val="00F10FB3"/>
    <w:rsid w:val="00F1117D"/>
    <w:rsid w:val="00F11184"/>
    <w:rsid w:val="00F11296"/>
    <w:rsid w:val="00F11520"/>
    <w:rsid w:val="00F11713"/>
    <w:rsid w:val="00F11B64"/>
    <w:rsid w:val="00F11C50"/>
    <w:rsid w:val="00F11EF4"/>
    <w:rsid w:val="00F120B0"/>
    <w:rsid w:val="00F1265A"/>
    <w:rsid w:val="00F13731"/>
    <w:rsid w:val="00F139C6"/>
    <w:rsid w:val="00F13EF2"/>
    <w:rsid w:val="00F13FFB"/>
    <w:rsid w:val="00F14126"/>
    <w:rsid w:val="00F14AD1"/>
    <w:rsid w:val="00F15A36"/>
    <w:rsid w:val="00F16359"/>
    <w:rsid w:val="00F163CF"/>
    <w:rsid w:val="00F167FD"/>
    <w:rsid w:val="00F17495"/>
    <w:rsid w:val="00F177F6"/>
    <w:rsid w:val="00F17838"/>
    <w:rsid w:val="00F17AE8"/>
    <w:rsid w:val="00F17F75"/>
    <w:rsid w:val="00F20333"/>
    <w:rsid w:val="00F210C0"/>
    <w:rsid w:val="00F211C5"/>
    <w:rsid w:val="00F213A7"/>
    <w:rsid w:val="00F217E2"/>
    <w:rsid w:val="00F219CD"/>
    <w:rsid w:val="00F21A46"/>
    <w:rsid w:val="00F21C64"/>
    <w:rsid w:val="00F2222D"/>
    <w:rsid w:val="00F2286A"/>
    <w:rsid w:val="00F2286F"/>
    <w:rsid w:val="00F22F38"/>
    <w:rsid w:val="00F23E61"/>
    <w:rsid w:val="00F23EDA"/>
    <w:rsid w:val="00F24219"/>
    <w:rsid w:val="00F24385"/>
    <w:rsid w:val="00F24399"/>
    <w:rsid w:val="00F2469B"/>
    <w:rsid w:val="00F246F2"/>
    <w:rsid w:val="00F2520B"/>
    <w:rsid w:val="00F26322"/>
    <w:rsid w:val="00F2657B"/>
    <w:rsid w:val="00F26755"/>
    <w:rsid w:val="00F26C16"/>
    <w:rsid w:val="00F274AF"/>
    <w:rsid w:val="00F27B09"/>
    <w:rsid w:val="00F303EF"/>
    <w:rsid w:val="00F30863"/>
    <w:rsid w:val="00F31454"/>
    <w:rsid w:val="00F3170B"/>
    <w:rsid w:val="00F31959"/>
    <w:rsid w:val="00F31F64"/>
    <w:rsid w:val="00F32127"/>
    <w:rsid w:val="00F3248E"/>
    <w:rsid w:val="00F324E8"/>
    <w:rsid w:val="00F3260D"/>
    <w:rsid w:val="00F32637"/>
    <w:rsid w:val="00F32717"/>
    <w:rsid w:val="00F32AE3"/>
    <w:rsid w:val="00F32C33"/>
    <w:rsid w:val="00F3315C"/>
    <w:rsid w:val="00F33260"/>
    <w:rsid w:val="00F335CE"/>
    <w:rsid w:val="00F33C51"/>
    <w:rsid w:val="00F34CEE"/>
    <w:rsid w:val="00F34F32"/>
    <w:rsid w:val="00F35377"/>
    <w:rsid w:val="00F35A56"/>
    <w:rsid w:val="00F366B1"/>
    <w:rsid w:val="00F37247"/>
    <w:rsid w:val="00F37302"/>
    <w:rsid w:val="00F3745C"/>
    <w:rsid w:val="00F379C0"/>
    <w:rsid w:val="00F37E8A"/>
    <w:rsid w:val="00F406FB"/>
    <w:rsid w:val="00F408FA"/>
    <w:rsid w:val="00F408FE"/>
    <w:rsid w:val="00F40A3B"/>
    <w:rsid w:val="00F40C24"/>
    <w:rsid w:val="00F40C53"/>
    <w:rsid w:val="00F40CAC"/>
    <w:rsid w:val="00F40CC7"/>
    <w:rsid w:val="00F40CDF"/>
    <w:rsid w:val="00F40E67"/>
    <w:rsid w:val="00F41623"/>
    <w:rsid w:val="00F41802"/>
    <w:rsid w:val="00F41D5A"/>
    <w:rsid w:val="00F41E68"/>
    <w:rsid w:val="00F4232E"/>
    <w:rsid w:val="00F4257F"/>
    <w:rsid w:val="00F42E0D"/>
    <w:rsid w:val="00F42FC1"/>
    <w:rsid w:val="00F4313A"/>
    <w:rsid w:val="00F4376D"/>
    <w:rsid w:val="00F43B74"/>
    <w:rsid w:val="00F4400C"/>
    <w:rsid w:val="00F444E7"/>
    <w:rsid w:val="00F44522"/>
    <w:rsid w:val="00F44640"/>
    <w:rsid w:val="00F448ED"/>
    <w:rsid w:val="00F44928"/>
    <w:rsid w:val="00F44DD1"/>
    <w:rsid w:val="00F452C2"/>
    <w:rsid w:val="00F4539B"/>
    <w:rsid w:val="00F4550D"/>
    <w:rsid w:val="00F4557E"/>
    <w:rsid w:val="00F45787"/>
    <w:rsid w:val="00F4582B"/>
    <w:rsid w:val="00F45944"/>
    <w:rsid w:val="00F461B3"/>
    <w:rsid w:val="00F4633C"/>
    <w:rsid w:val="00F46B35"/>
    <w:rsid w:val="00F47402"/>
    <w:rsid w:val="00F47619"/>
    <w:rsid w:val="00F47653"/>
    <w:rsid w:val="00F47654"/>
    <w:rsid w:val="00F478A8"/>
    <w:rsid w:val="00F47A58"/>
    <w:rsid w:val="00F47DE1"/>
    <w:rsid w:val="00F47DEC"/>
    <w:rsid w:val="00F47F05"/>
    <w:rsid w:val="00F5044E"/>
    <w:rsid w:val="00F5066E"/>
    <w:rsid w:val="00F509E1"/>
    <w:rsid w:val="00F50BE1"/>
    <w:rsid w:val="00F510E4"/>
    <w:rsid w:val="00F51556"/>
    <w:rsid w:val="00F515EA"/>
    <w:rsid w:val="00F517C3"/>
    <w:rsid w:val="00F51CA3"/>
    <w:rsid w:val="00F51DAB"/>
    <w:rsid w:val="00F52B51"/>
    <w:rsid w:val="00F550E4"/>
    <w:rsid w:val="00F553E8"/>
    <w:rsid w:val="00F55654"/>
    <w:rsid w:val="00F55AC1"/>
    <w:rsid w:val="00F5617B"/>
    <w:rsid w:val="00F561D2"/>
    <w:rsid w:val="00F562FC"/>
    <w:rsid w:val="00F5662D"/>
    <w:rsid w:val="00F56728"/>
    <w:rsid w:val="00F56A1C"/>
    <w:rsid w:val="00F56ED6"/>
    <w:rsid w:val="00F57168"/>
    <w:rsid w:val="00F57681"/>
    <w:rsid w:val="00F57696"/>
    <w:rsid w:val="00F57F7D"/>
    <w:rsid w:val="00F605EA"/>
    <w:rsid w:val="00F60C76"/>
    <w:rsid w:val="00F6154D"/>
    <w:rsid w:val="00F61CE6"/>
    <w:rsid w:val="00F6254A"/>
    <w:rsid w:val="00F628AF"/>
    <w:rsid w:val="00F62A10"/>
    <w:rsid w:val="00F62AE4"/>
    <w:rsid w:val="00F62CFB"/>
    <w:rsid w:val="00F62FE0"/>
    <w:rsid w:val="00F631B9"/>
    <w:rsid w:val="00F63755"/>
    <w:rsid w:val="00F6412A"/>
    <w:rsid w:val="00F64320"/>
    <w:rsid w:val="00F6443C"/>
    <w:rsid w:val="00F6467B"/>
    <w:rsid w:val="00F649F5"/>
    <w:rsid w:val="00F64C82"/>
    <w:rsid w:val="00F64CDE"/>
    <w:rsid w:val="00F64FCB"/>
    <w:rsid w:val="00F652C9"/>
    <w:rsid w:val="00F6557C"/>
    <w:rsid w:val="00F6599E"/>
    <w:rsid w:val="00F65F54"/>
    <w:rsid w:val="00F65FC4"/>
    <w:rsid w:val="00F66009"/>
    <w:rsid w:val="00F66127"/>
    <w:rsid w:val="00F6639C"/>
    <w:rsid w:val="00F665F3"/>
    <w:rsid w:val="00F66607"/>
    <w:rsid w:val="00F66A5A"/>
    <w:rsid w:val="00F66D74"/>
    <w:rsid w:val="00F671F6"/>
    <w:rsid w:val="00F67797"/>
    <w:rsid w:val="00F67B0E"/>
    <w:rsid w:val="00F7015B"/>
    <w:rsid w:val="00F701C1"/>
    <w:rsid w:val="00F705BD"/>
    <w:rsid w:val="00F7097A"/>
    <w:rsid w:val="00F7099F"/>
    <w:rsid w:val="00F710FF"/>
    <w:rsid w:val="00F71113"/>
    <w:rsid w:val="00F71227"/>
    <w:rsid w:val="00F716B9"/>
    <w:rsid w:val="00F71C16"/>
    <w:rsid w:val="00F71DA1"/>
    <w:rsid w:val="00F71F11"/>
    <w:rsid w:val="00F71F49"/>
    <w:rsid w:val="00F72767"/>
    <w:rsid w:val="00F729EB"/>
    <w:rsid w:val="00F72D13"/>
    <w:rsid w:val="00F72EC4"/>
    <w:rsid w:val="00F73B1E"/>
    <w:rsid w:val="00F73C30"/>
    <w:rsid w:val="00F73DAB"/>
    <w:rsid w:val="00F73E0E"/>
    <w:rsid w:val="00F741B1"/>
    <w:rsid w:val="00F7434F"/>
    <w:rsid w:val="00F74785"/>
    <w:rsid w:val="00F74ACB"/>
    <w:rsid w:val="00F74D4D"/>
    <w:rsid w:val="00F75DEF"/>
    <w:rsid w:val="00F75F3B"/>
    <w:rsid w:val="00F76DEC"/>
    <w:rsid w:val="00F77492"/>
    <w:rsid w:val="00F775C4"/>
    <w:rsid w:val="00F778F3"/>
    <w:rsid w:val="00F77B71"/>
    <w:rsid w:val="00F77E86"/>
    <w:rsid w:val="00F802C2"/>
    <w:rsid w:val="00F805FC"/>
    <w:rsid w:val="00F81353"/>
    <w:rsid w:val="00F81B72"/>
    <w:rsid w:val="00F81D8E"/>
    <w:rsid w:val="00F81F81"/>
    <w:rsid w:val="00F82236"/>
    <w:rsid w:val="00F8264B"/>
    <w:rsid w:val="00F827A6"/>
    <w:rsid w:val="00F82E68"/>
    <w:rsid w:val="00F839A5"/>
    <w:rsid w:val="00F83D06"/>
    <w:rsid w:val="00F83F3E"/>
    <w:rsid w:val="00F8419B"/>
    <w:rsid w:val="00F841D3"/>
    <w:rsid w:val="00F842CF"/>
    <w:rsid w:val="00F847D8"/>
    <w:rsid w:val="00F847DD"/>
    <w:rsid w:val="00F85AAF"/>
    <w:rsid w:val="00F86737"/>
    <w:rsid w:val="00F86E61"/>
    <w:rsid w:val="00F871CF"/>
    <w:rsid w:val="00F872E4"/>
    <w:rsid w:val="00F873DB"/>
    <w:rsid w:val="00F87444"/>
    <w:rsid w:val="00F879FD"/>
    <w:rsid w:val="00F87E3E"/>
    <w:rsid w:val="00F90790"/>
    <w:rsid w:val="00F90A0F"/>
    <w:rsid w:val="00F90A87"/>
    <w:rsid w:val="00F90F54"/>
    <w:rsid w:val="00F90F55"/>
    <w:rsid w:val="00F91A5F"/>
    <w:rsid w:val="00F91CE6"/>
    <w:rsid w:val="00F922E7"/>
    <w:rsid w:val="00F92A13"/>
    <w:rsid w:val="00F92BDA"/>
    <w:rsid w:val="00F935A3"/>
    <w:rsid w:val="00F93D9B"/>
    <w:rsid w:val="00F93E5F"/>
    <w:rsid w:val="00F9489F"/>
    <w:rsid w:val="00F94D98"/>
    <w:rsid w:val="00F94FE8"/>
    <w:rsid w:val="00F9654F"/>
    <w:rsid w:val="00F965F4"/>
    <w:rsid w:val="00F96F04"/>
    <w:rsid w:val="00F970D5"/>
    <w:rsid w:val="00F973A1"/>
    <w:rsid w:val="00F975AB"/>
    <w:rsid w:val="00F978C7"/>
    <w:rsid w:val="00F97A0D"/>
    <w:rsid w:val="00F97A3E"/>
    <w:rsid w:val="00FA0B16"/>
    <w:rsid w:val="00FA161F"/>
    <w:rsid w:val="00FA16D1"/>
    <w:rsid w:val="00FA186A"/>
    <w:rsid w:val="00FA1A81"/>
    <w:rsid w:val="00FA243D"/>
    <w:rsid w:val="00FA31A2"/>
    <w:rsid w:val="00FA3E8F"/>
    <w:rsid w:val="00FA46A2"/>
    <w:rsid w:val="00FA471A"/>
    <w:rsid w:val="00FA4CC7"/>
    <w:rsid w:val="00FA4FF3"/>
    <w:rsid w:val="00FA5137"/>
    <w:rsid w:val="00FA53DB"/>
    <w:rsid w:val="00FA5BC6"/>
    <w:rsid w:val="00FA5E48"/>
    <w:rsid w:val="00FA5F1D"/>
    <w:rsid w:val="00FA60CF"/>
    <w:rsid w:val="00FA6225"/>
    <w:rsid w:val="00FA6FDB"/>
    <w:rsid w:val="00FA748A"/>
    <w:rsid w:val="00FA74D4"/>
    <w:rsid w:val="00FA78AA"/>
    <w:rsid w:val="00FA7E50"/>
    <w:rsid w:val="00FA7F36"/>
    <w:rsid w:val="00FB02AF"/>
    <w:rsid w:val="00FB0475"/>
    <w:rsid w:val="00FB0A8C"/>
    <w:rsid w:val="00FB0C80"/>
    <w:rsid w:val="00FB1626"/>
    <w:rsid w:val="00FB185C"/>
    <w:rsid w:val="00FB1AB9"/>
    <w:rsid w:val="00FB1E83"/>
    <w:rsid w:val="00FB2201"/>
    <w:rsid w:val="00FB2311"/>
    <w:rsid w:val="00FB2ED2"/>
    <w:rsid w:val="00FB2F0E"/>
    <w:rsid w:val="00FB32BA"/>
    <w:rsid w:val="00FB342C"/>
    <w:rsid w:val="00FB3571"/>
    <w:rsid w:val="00FB3583"/>
    <w:rsid w:val="00FB3703"/>
    <w:rsid w:val="00FB3BD4"/>
    <w:rsid w:val="00FB3D6C"/>
    <w:rsid w:val="00FB3F57"/>
    <w:rsid w:val="00FB45B3"/>
    <w:rsid w:val="00FB4B26"/>
    <w:rsid w:val="00FB4B8D"/>
    <w:rsid w:val="00FB4BBA"/>
    <w:rsid w:val="00FB4BE2"/>
    <w:rsid w:val="00FB4EEF"/>
    <w:rsid w:val="00FB5356"/>
    <w:rsid w:val="00FB5B0A"/>
    <w:rsid w:val="00FB5E29"/>
    <w:rsid w:val="00FB5EA3"/>
    <w:rsid w:val="00FB6813"/>
    <w:rsid w:val="00FB6A68"/>
    <w:rsid w:val="00FB707E"/>
    <w:rsid w:val="00FB7142"/>
    <w:rsid w:val="00FB7743"/>
    <w:rsid w:val="00FC0366"/>
    <w:rsid w:val="00FC0518"/>
    <w:rsid w:val="00FC059E"/>
    <w:rsid w:val="00FC0749"/>
    <w:rsid w:val="00FC0CFF"/>
    <w:rsid w:val="00FC0E46"/>
    <w:rsid w:val="00FC0E70"/>
    <w:rsid w:val="00FC0EE7"/>
    <w:rsid w:val="00FC1290"/>
    <w:rsid w:val="00FC21A0"/>
    <w:rsid w:val="00FC2305"/>
    <w:rsid w:val="00FC264C"/>
    <w:rsid w:val="00FC2D41"/>
    <w:rsid w:val="00FC2E81"/>
    <w:rsid w:val="00FC30C3"/>
    <w:rsid w:val="00FC32CF"/>
    <w:rsid w:val="00FC32FF"/>
    <w:rsid w:val="00FC43BA"/>
    <w:rsid w:val="00FC476D"/>
    <w:rsid w:val="00FC4953"/>
    <w:rsid w:val="00FC4BC7"/>
    <w:rsid w:val="00FC4CF6"/>
    <w:rsid w:val="00FC5110"/>
    <w:rsid w:val="00FC54A7"/>
    <w:rsid w:val="00FC5DEA"/>
    <w:rsid w:val="00FC5E88"/>
    <w:rsid w:val="00FC5F09"/>
    <w:rsid w:val="00FC60A0"/>
    <w:rsid w:val="00FC6673"/>
    <w:rsid w:val="00FC6AA8"/>
    <w:rsid w:val="00FC786A"/>
    <w:rsid w:val="00FD0055"/>
    <w:rsid w:val="00FD0378"/>
    <w:rsid w:val="00FD109B"/>
    <w:rsid w:val="00FD11E6"/>
    <w:rsid w:val="00FD1B5F"/>
    <w:rsid w:val="00FD209A"/>
    <w:rsid w:val="00FD23D2"/>
    <w:rsid w:val="00FD29DA"/>
    <w:rsid w:val="00FD2BA0"/>
    <w:rsid w:val="00FD3306"/>
    <w:rsid w:val="00FD36A0"/>
    <w:rsid w:val="00FD3EEE"/>
    <w:rsid w:val="00FD3FAF"/>
    <w:rsid w:val="00FD4074"/>
    <w:rsid w:val="00FD4133"/>
    <w:rsid w:val="00FD43DC"/>
    <w:rsid w:val="00FD4682"/>
    <w:rsid w:val="00FD4970"/>
    <w:rsid w:val="00FD4ADD"/>
    <w:rsid w:val="00FD4D1A"/>
    <w:rsid w:val="00FD5197"/>
    <w:rsid w:val="00FD551F"/>
    <w:rsid w:val="00FD5A38"/>
    <w:rsid w:val="00FD5A8D"/>
    <w:rsid w:val="00FD5D79"/>
    <w:rsid w:val="00FD5E84"/>
    <w:rsid w:val="00FD68B6"/>
    <w:rsid w:val="00FD6EC9"/>
    <w:rsid w:val="00FD746B"/>
    <w:rsid w:val="00FD74CB"/>
    <w:rsid w:val="00FD7680"/>
    <w:rsid w:val="00FD7D85"/>
    <w:rsid w:val="00FD7E51"/>
    <w:rsid w:val="00FD7F1D"/>
    <w:rsid w:val="00FE097C"/>
    <w:rsid w:val="00FE0EFE"/>
    <w:rsid w:val="00FE1313"/>
    <w:rsid w:val="00FE143D"/>
    <w:rsid w:val="00FE148C"/>
    <w:rsid w:val="00FE15ED"/>
    <w:rsid w:val="00FE23B0"/>
    <w:rsid w:val="00FE2B7E"/>
    <w:rsid w:val="00FE2CCC"/>
    <w:rsid w:val="00FE2D52"/>
    <w:rsid w:val="00FE2E42"/>
    <w:rsid w:val="00FE2E85"/>
    <w:rsid w:val="00FE32D4"/>
    <w:rsid w:val="00FE3564"/>
    <w:rsid w:val="00FE38DB"/>
    <w:rsid w:val="00FE4866"/>
    <w:rsid w:val="00FE4F1F"/>
    <w:rsid w:val="00FE61AE"/>
    <w:rsid w:val="00FE6D34"/>
    <w:rsid w:val="00FE70AC"/>
    <w:rsid w:val="00FE71AC"/>
    <w:rsid w:val="00FE7278"/>
    <w:rsid w:val="00FE7B8B"/>
    <w:rsid w:val="00FE7BBB"/>
    <w:rsid w:val="00FF02E8"/>
    <w:rsid w:val="00FF02F9"/>
    <w:rsid w:val="00FF0355"/>
    <w:rsid w:val="00FF05AF"/>
    <w:rsid w:val="00FF06D0"/>
    <w:rsid w:val="00FF073E"/>
    <w:rsid w:val="00FF0E45"/>
    <w:rsid w:val="00FF12D8"/>
    <w:rsid w:val="00FF1403"/>
    <w:rsid w:val="00FF1EA2"/>
    <w:rsid w:val="00FF2075"/>
    <w:rsid w:val="00FF297C"/>
    <w:rsid w:val="00FF2B7A"/>
    <w:rsid w:val="00FF30B2"/>
    <w:rsid w:val="00FF32DC"/>
    <w:rsid w:val="00FF3C7E"/>
    <w:rsid w:val="00FF3DD4"/>
    <w:rsid w:val="00FF4196"/>
    <w:rsid w:val="00FF42A0"/>
    <w:rsid w:val="00FF4733"/>
    <w:rsid w:val="00FF4995"/>
    <w:rsid w:val="00FF49B5"/>
    <w:rsid w:val="00FF4DA9"/>
    <w:rsid w:val="00FF5C43"/>
    <w:rsid w:val="00FF5F93"/>
    <w:rsid w:val="00FF60E0"/>
    <w:rsid w:val="00FF7039"/>
    <w:rsid w:val="00FF755A"/>
    <w:rsid w:val="00FF79E9"/>
    <w:rsid w:val="00FF7E54"/>
    <w:rsid w:val="02C4333A"/>
    <w:rsid w:val="040C28FB"/>
    <w:rsid w:val="04EE47A7"/>
    <w:rsid w:val="054C413C"/>
    <w:rsid w:val="06B356AD"/>
    <w:rsid w:val="06EF7AE3"/>
    <w:rsid w:val="07712B58"/>
    <w:rsid w:val="07F9130C"/>
    <w:rsid w:val="084A3496"/>
    <w:rsid w:val="0AE6490D"/>
    <w:rsid w:val="0CD41B81"/>
    <w:rsid w:val="0D6479CB"/>
    <w:rsid w:val="0E63317A"/>
    <w:rsid w:val="11E47814"/>
    <w:rsid w:val="13932BA6"/>
    <w:rsid w:val="149F73F2"/>
    <w:rsid w:val="15370E68"/>
    <w:rsid w:val="18216105"/>
    <w:rsid w:val="1ACF55E3"/>
    <w:rsid w:val="1AFD4242"/>
    <w:rsid w:val="1C85066F"/>
    <w:rsid w:val="1E854186"/>
    <w:rsid w:val="1EB07C04"/>
    <w:rsid w:val="1F275368"/>
    <w:rsid w:val="1F9A2C8B"/>
    <w:rsid w:val="204B1B23"/>
    <w:rsid w:val="209B7934"/>
    <w:rsid w:val="21C74FD3"/>
    <w:rsid w:val="22172B38"/>
    <w:rsid w:val="222D2030"/>
    <w:rsid w:val="22C978F7"/>
    <w:rsid w:val="238B5FA1"/>
    <w:rsid w:val="258F57FB"/>
    <w:rsid w:val="26A443A9"/>
    <w:rsid w:val="29FC08B2"/>
    <w:rsid w:val="2A1C75A3"/>
    <w:rsid w:val="2A293243"/>
    <w:rsid w:val="2BE24E2B"/>
    <w:rsid w:val="2CDB7DCF"/>
    <w:rsid w:val="2F2C426C"/>
    <w:rsid w:val="33AA41F2"/>
    <w:rsid w:val="33E60A0D"/>
    <w:rsid w:val="35AE07A3"/>
    <w:rsid w:val="36082E9D"/>
    <w:rsid w:val="37F01252"/>
    <w:rsid w:val="3ACE7DE0"/>
    <w:rsid w:val="3D826686"/>
    <w:rsid w:val="3FA72DF7"/>
    <w:rsid w:val="3FDC303B"/>
    <w:rsid w:val="43470CE2"/>
    <w:rsid w:val="459A6B03"/>
    <w:rsid w:val="472A5BA6"/>
    <w:rsid w:val="4B531817"/>
    <w:rsid w:val="4E5147FF"/>
    <w:rsid w:val="4ECB3C4F"/>
    <w:rsid w:val="50D42195"/>
    <w:rsid w:val="52996167"/>
    <w:rsid w:val="54133290"/>
    <w:rsid w:val="577A1DFD"/>
    <w:rsid w:val="5931475E"/>
    <w:rsid w:val="5DF50923"/>
    <w:rsid w:val="5EA11963"/>
    <w:rsid w:val="615923C0"/>
    <w:rsid w:val="63441DDA"/>
    <w:rsid w:val="642B492C"/>
    <w:rsid w:val="659D12AE"/>
    <w:rsid w:val="67B97D2A"/>
    <w:rsid w:val="685F798F"/>
    <w:rsid w:val="69E42390"/>
    <w:rsid w:val="69EF7256"/>
    <w:rsid w:val="6AA47679"/>
    <w:rsid w:val="6BD95752"/>
    <w:rsid w:val="6C8F42EA"/>
    <w:rsid w:val="6DD86B54"/>
    <w:rsid w:val="6F1834C8"/>
    <w:rsid w:val="6F837B43"/>
    <w:rsid w:val="71182826"/>
    <w:rsid w:val="74405A05"/>
    <w:rsid w:val="744B1BB2"/>
    <w:rsid w:val="756C3FB2"/>
    <w:rsid w:val="758A29DF"/>
    <w:rsid w:val="7660173E"/>
    <w:rsid w:val="76A47548"/>
    <w:rsid w:val="76F51071"/>
    <w:rsid w:val="7A3A6285"/>
    <w:rsid w:val="7A3E4C04"/>
    <w:rsid w:val="7B011DA9"/>
    <w:rsid w:val="7EED0E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0" w:semiHidden="0" w:name="Date"/>
    <w:lsdException w:qFormat="1" w:uiPriority="99"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00" w:after="100"/>
      <w:outlineLvl w:val="0"/>
    </w:pPr>
    <w:rPr>
      <w:b/>
      <w:kern w:val="44"/>
      <w:sz w:val="32"/>
    </w:rPr>
  </w:style>
  <w:style w:type="paragraph" w:styleId="4">
    <w:name w:val="heading 2"/>
    <w:basedOn w:val="1"/>
    <w:next w:val="1"/>
    <w:link w:val="47"/>
    <w:unhideWhenUsed/>
    <w:qFormat/>
    <w:uiPriority w:val="0"/>
    <w:pPr>
      <w:keepNext/>
      <w:keepLines/>
      <w:spacing w:before="100" w:after="100"/>
      <w:outlineLvl w:val="1"/>
    </w:pPr>
    <w:rPr>
      <w:rFonts w:ascii="宋体" w:hAnsi="宋体"/>
      <w:b/>
      <w:bCs/>
      <w:sz w:val="28"/>
      <w:szCs w:val="32"/>
    </w:rPr>
  </w:style>
  <w:style w:type="paragraph" w:styleId="5">
    <w:name w:val="heading 3"/>
    <w:basedOn w:val="1"/>
    <w:next w:val="1"/>
    <w:unhideWhenUsed/>
    <w:qFormat/>
    <w:uiPriority w:val="0"/>
    <w:pPr>
      <w:keepNext/>
      <w:keepLines/>
      <w:spacing w:before="100" w:after="100"/>
      <w:outlineLvl w:val="2"/>
    </w:pPr>
    <w:rPr>
      <w:rFonts w:ascii="Times New Roman" w:hAnsi="Times New Roman" w:cs="Times New Roman"/>
      <w:b/>
      <w:bCs/>
      <w:kern w:val="0"/>
      <w:sz w:val="24"/>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pPr>
      <w:spacing w:line="320" w:lineRule="exact"/>
      <w:jc w:val="center"/>
    </w:pPr>
    <w:rPr>
      <w:rFonts w:ascii="仿宋_GB2312" w:hAnsi="Times New Roman" w:eastAsia="仿宋_GB2312" w:cs="Times New Roman"/>
      <w:sz w:val="28"/>
    </w:rPr>
  </w:style>
  <w:style w:type="paragraph" w:styleId="6">
    <w:name w:val="Normal Indent"/>
    <w:basedOn w:val="1"/>
    <w:semiHidden/>
    <w:unhideWhenUsed/>
    <w:qFormat/>
    <w:uiPriority w:val="0"/>
    <w:pPr>
      <w:ind w:firstLine="420" w:firstLineChars="200"/>
    </w:pPr>
  </w:style>
  <w:style w:type="paragraph" w:styleId="7">
    <w:name w:val="caption"/>
    <w:basedOn w:val="1"/>
    <w:next w:val="1"/>
    <w:qFormat/>
    <w:uiPriority w:val="0"/>
    <w:rPr>
      <w:rFonts w:ascii="Arial" w:hAnsi="Arial" w:eastAsia="黑体" w:cs="Arial"/>
      <w:sz w:val="20"/>
      <w:szCs w:val="20"/>
    </w:rPr>
  </w:style>
  <w:style w:type="paragraph" w:styleId="8">
    <w:name w:val="annotation text"/>
    <w:basedOn w:val="1"/>
    <w:link w:val="33"/>
    <w:qFormat/>
    <w:uiPriority w:val="0"/>
    <w:pPr>
      <w:jc w:val="left"/>
    </w:pPr>
  </w:style>
  <w:style w:type="paragraph" w:styleId="9">
    <w:name w:val="Body Text 3"/>
    <w:basedOn w:val="1"/>
    <w:link w:val="61"/>
    <w:qFormat/>
    <w:uiPriority w:val="0"/>
    <w:pPr>
      <w:spacing w:after="120"/>
    </w:pPr>
    <w:rPr>
      <w:rFonts w:ascii="Times New Roman" w:hAnsi="Times New Roman" w:eastAsia="宋体" w:cs="Times New Roman"/>
      <w:sz w:val="16"/>
      <w:szCs w:val="16"/>
    </w:rPr>
  </w:style>
  <w:style w:type="paragraph" w:styleId="10">
    <w:name w:val="Body Text Indent"/>
    <w:basedOn w:val="1"/>
    <w:link w:val="51"/>
    <w:qFormat/>
    <w:uiPriority w:val="0"/>
    <w:pPr>
      <w:spacing w:after="120"/>
      <w:ind w:left="420" w:leftChars="200"/>
    </w:pPr>
    <w:rPr>
      <w:rFonts w:ascii="Times New Roman" w:hAnsi="Times New Roman" w:eastAsia="宋体" w:cs="Times New Roman"/>
    </w:rPr>
  </w:style>
  <w:style w:type="paragraph" w:styleId="11">
    <w:name w:val="Block Text"/>
    <w:basedOn w:val="1"/>
    <w:qFormat/>
    <w:uiPriority w:val="0"/>
    <w:pPr>
      <w:spacing w:line="320" w:lineRule="exact"/>
      <w:ind w:left="113" w:right="113"/>
      <w:jc w:val="center"/>
    </w:pPr>
    <w:rPr>
      <w:rFonts w:ascii="Calibri" w:hAnsi="Calibri" w:eastAsia="宋体"/>
      <w:sz w:val="24"/>
      <w:szCs w:val="15"/>
    </w:rPr>
  </w:style>
  <w:style w:type="paragraph" w:styleId="12">
    <w:name w:val="Plain Text"/>
    <w:basedOn w:val="1"/>
    <w:link w:val="39"/>
    <w:qFormat/>
    <w:uiPriority w:val="99"/>
    <w:rPr>
      <w:rFonts w:ascii="宋体" w:hAnsi="Courier New" w:cs="Courier New"/>
      <w:szCs w:val="21"/>
    </w:rPr>
  </w:style>
  <w:style w:type="paragraph" w:styleId="13">
    <w:name w:val="Date"/>
    <w:basedOn w:val="1"/>
    <w:next w:val="1"/>
    <w:link w:val="44"/>
    <w:unhideWhenUsed/>
    <w:qFormat/>
    <w:uiPriority w:val="0"/>
    <w:rPr>
      <w:rFonts w:ascii="Times New Roman" w:hAnsi="Times New Roman" w:eastAsia="宋体" w:cs="Times New Roman"/>
      <w:szCs w:val="20"/>
    </w:rPr>
  </w:style>
  <w:style w:type="paragraph" w:styleId="14">
    <w:name w:val="Body Text Indent 2"/>
    <w:basedOn w:val="1"/>
    <w:qFormat/>
    <w:uiPriority w:val="0"/>
    <w:pPr>
      <w:spacing w:after="120"/>
      <w:ind w:left="200" w:leftChars="200" w:firstLine="200" w:firstLineChars="200"/>
    </w:pPr>
    <w:rPr>
      <w:sz w:val="24"/>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jc w:val="left"/>
    </w:pPr>
    <w:rPr>
      <w:szCs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39"/>
    <w:pPr>
      <w:spacing w:line="360" w:lineRule="auto"/>
    </w:pPr>
    <w:rPr>
      <w:rFonts w:ascii="Times New Roman" w:hAnsi="Times New Roman" w:eastAsia="宋体" w:cs="黑体"/>
      <w:szCs w:val="22"/>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1">
    <w:name w:val="annotation subject"/>
    <w:basedOn w:val="8"/>
    <w:next w:val="8"/>
    <w:link w:val="34"/>
    <w:qFormat/>
    <w:uiPriority w:val="0"/>
    <w:rPr>
      <w:b/>
      <w:bCs/>
    </w:rPr>
  </w:style>
  <w:style w:type="paragraph" w:styleId="22">
    <w:name w:val="Body Text First Indent"/>
    <w:basedOn w:val="2"/>
    <w:unhideWhenUsed/>
    <w:qFormat/>
    <w:uiPriority w:val="99"/>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0"/>
    <w:rPr>
      <w:color w:val="3366CC"/>
      <w:u w:val="single"/>
    </w:rPr>
  </w:style>
  <w:style w:type="character" w:styleId="27">
    <w:name w:val="annotation reference"/>
    <w:basedOn w:val="25"/>
    <w:qFormat/>
    <w:uiPriority w:val="0"/>
    <w:rPr>
      <w:sz w:val="21"/>
      <w:szCs w:val="21"/>
    </w:rPr>
  </w:style>
  <w:style w:type="paragraph" w:customStyle="1" w:styleId="28">
    <w:name w:val="样式1"/>
    <w:basedOn w:val="1"/>
    <w:qFormat/>
    <w:uiPriority w:val="0"/>
  </w:style>
  <w:style w:type="paragraph" w:customStyle="1" w:styleId="29">
    <w:name w:val="赵1"/>
    <w:basedOn w:val="1"/>
    <w:qFormat/>
    <w:uiPriority w:val="0"/>
    <w:rPr>
      <w:rFonts w:ascii="Calibri" w:hAnsi="Calibri" w:eastAsia="宋体" w:cs="黑体"/>
      <w:b/>
      <w:sz w:val="32"/>
      <w:szCs w:val="22"/>
    </w:rPr>
  </w:style>
  <w:style w:type="paragraph" w:customStyle="1" w:styleId="30">
    <w:name w:val="正文1"/>
    <w:basedOn w:val="14"/>
    <w:qFormat/>
    <w:uiPriority w:val="0"/>
    <w:pPr>
      <w:spacing w:line="312" w:lineRule="auto"/>
      <w:ind w:left="0" w:leftChars="0"/>
    </w:pPr>
  </w:style>
  <w:style w:type="paragraph" w:customStyle="1" w:styleId="31">
    <w:name w:val="正文01"/>
    <w:basedOn w:val="1"/>
    <w:qFormat/>
    <w:uiPriority w:val="0"/>
    <w:pPr>
      <w:adjustRightInd w:val="0"/>
      <w:snapToGrid w:val="0"/>
      <w:spacing w:before="60" w:line="460" w:lineRule="exact"/>
      <w:ind w:firstLine="200" w:firstLineChars="200"/>
    </w:pPr>
    <w:rPr>
      <w:sz w:val="24"/>
    </w:rPr>
  </w:style>
  <w:style w:type="paragraph" w:customStyle="1" w:styleId="32">
    <w:name w:val="表单1"/>
    <w:basedOn w:val="1"/>
    <w:qFormat/>
    <w:uiPriority w:val="0"/>
    <w:pPr>
      <w:jc w:val="center"/>
    </w:pPr>
    <w:rPr>
      <w:b/>
      <w:sz w:val="24"/>
    </w:rPr>
  </w:style>
  <w:style w:type="character" w:customStyle="1" w:styleId="33">
    <w:name w:val="批注文字 Char"/>
    <w:basedOn w:val="25"/>
    <w:link w:val="8"/>
    <w:qFormat/>
    <w:uiPriority w:val="0"/>
    <w:rPr>
      <w:rFonts w:asciiTheme="minorHAnsi" w:hAnsiTheme="minorHAnsi" w:eastAsiaTheme="minorEastAsia" w:cstheme="minorBidi"/>
      <w:kern w:val="2"/>
      <w:sz w:val="21"/>
      <w:szCs w:val="24"/>
    </w:rPr>
  </w:style>
  <w:style w:type="character" w:customStyle="1" w:styleId="34">
    <w:name w:val="批注主题 Char"/>
    <w:basedOn w:val="33"/>
    <w:link w:val="21"/>
    <w:qFormat/>
    <w:uiPriority w:val="0"/>
    <w:rPr>
      <w:rFonts w:asciiTheme="minorHAnsi" w:hAnsiTheme="minorHAnsi" w:eastAsiaTheme="minorEastAsia" w:cstheme="minorBidi"/>
      <w:b/>
      <w:bCs/>
      <w:kern w:val="2"/>
      <w:sz w:val="21"/>
      <w:szCs w:val="24"/>
    </w:rPr>
  </w:style>
  <w:style w:type="character" w:customStyle="1" w:styleId="35">
    <w:name w:val="批注框文本 Char"/>
    <w:basedOn w:val="25"/>
    <w:link w:val="15"/>
    <w:qFormat/>
    <w:uiPriority w:val="0"/>
    <w:rPr>
      <w:rFonts w:asciiTheme="minorHAnsi" w:hAnsiTheme="minorHAnsi" w:eastAsiaTheme="minorEastAsia" w:cstheme="minorBidi"/>
      <w:kern w:val="2"/>
      <w:sz w:val="18"/>
      <w:szCs w:val="18"/>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样式 表格文字 + Char"/>
    <w:link w:val="38"/>
    <w:qFormat/>
    <w:uiPriority w:val="0"/>
    <w:rPr>
      <w:rFonts w:ascii="宋体" w:hAnsi="宋体"/>
      <w:sz w:val="24"/>
      <w:szCs w:val="24"/>
    </w:rPr>
  </w:style>
  <w:style w:type="paragraph" w:customStyle="1" w:styleId="38">
    <w:name w:val="样式 表格文字 +"/>
    <w:basedOn w:val="1"/>
    <w:link w:val="37"/>
    <w:qFormat/>
    <w:uiPriority w:val="0"/>
    <w:pPr>
      <w:jc w:val="center"/>
    </w:pPr>
    <w:rPr>
      <w:rFonts w:ascii="宋体" w:hAnsi="宋体" w:eastAsia="宋体" w:cs="Times New Roman"/>
      <w:kern w:val="0"/>
      <w:sz w:val="24"/>
    </w:rPr>
  </w:style>
  <w:style w:type="character" w:customStyle="1" w:styleId="39">
    <w:name w:val="纯文本 Char"/>
    <w:basedOn w:val="25"/>
    <w:link w:val="12"/>
    <w:qFormat/>
    <w:uiPriority w:val="99"/>
    <w:rPr>
      <w:rFonts w:ascii="宋体" w:hAnsi="Courier New" w:cs="Courier New" w:eastAsiaTheme="minorEastAsia"/>
      <w:kern w:val="2"/>
      <w:sz w:val="21"/>
      <w:szCs w:val="21"/>
    </w:rPr>
  </w:style>
  <w:style w:type="character" w:customStyle="1" w:styleId="40">
    <w:name w:val="表格 Char Char"/>
    <w:link w:val="41"/>
    <w:qFormat/>
    <w:locked/>
    <w:uiPriority w:val="0"/>
    <w:rPr>
      <w:rFonts w:ascii="昆仑仿宋" w:eastAsia="昆仑仿宋"/>
      <w:sz w:val="24"/>
    </w:rPr>
  </w:style>
  <w:style w:type="paragraph" w:customStyle="1" w:styleId="41">
    <w:name w:val="表格"/>
    <w:basedOn w:val="1"/>
    <w:link w:val="40"/>
    <w:qFormat/>
    <w:uiPriority w:val="0"/>
    <w:pPr>
      <w:autoSpaceDE w:val="0"/>
      <w:autoSpaceDN w:val="0"/>
      <w:adjustRightInd w:val="0"/>
      <w:spacing w:before="40" w:after="40"/>
    </w:pPr>
    <w:rPr>
      <w:rFonts w:ascii="昆仑仿宋" w:hAnsi="Times New Roman" w:eastAsia="昆仑仿宋" w:cs="Times New Roman"/>
      <w:kern w:val="0"/>
      <w:sz w:val="24"/>
      <w:szCs w:val="20"/>
    </w:rPr>
  </w:style>
  <w:style w:type="table" w:customStyle="1" w:styleId="42">
    <w:name w:val="网格型1"/>
    <w:basedOn w:val="23"/>
    <w:qFormat/>
    <w:uiPriority w:val="59"/>
    <w:rPr>
      <w:rFonts w:ascii="Calibri" w:hAnsi="Calibri" w:eastAsia="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43">
    <w:name w:val="日期 Char"/>
    <w:basedOn w:val="25"/>
    <w:qFormat/>
    <w:uiPriority w:val="0"/>
    <w:rPr>
      <w:rFonts w:asciiTheme="minorHAnsi" w:hAnsiTheme="minorHAnsi" w:eastAsiaTheme="minorEastAsia" w:cstheme="minorBidi"/>
      <w:kern w:val="2"/>
      <w:sz w:val="21"/>
      <w:szCs w:val="24"/>
    </w:rPr>
  </w:style>
  <w:style w:type="character" w:customStyle="1" w:styleId="44">
    <w:name w:val="日期 Char1"/>
    <w:basedOn w:val="25"/>
    <w:link w:val="13"/>
    <w:qFormat/>
    <w:locked/>
    <w:uiPriority w:val="0"/>
    <w:rPr>
      <w:kern w:val="2"/>
      <w:sz w:val="21"/>
    </w:rPr>
  </w:style>
  <w:style w:type="character" w:customStyle="1" w:styleId="45">
    <w:name w:val="报告表正文 Char"/>
    <w:link w:val="46"/>
    <w:qFormat/>
    <w:uiPriority w:val="0"/>
    <w:rPr>
      <w:sz w:val="24"/>
    </w:rPr>
  </w:style>
  <w:style w:type="paragraph" w:customStyle="1" w:styleId="46">
    <w:name w:val="报告表正文"/>
    <w:basedOn w:val="1"/>
    <w:link w:val="45"/>
    <w:qFormat/>
    <w:uiPriority w:val="0"/>
    <w:pPr>
      <w:adjustRightInd w:val="0"/>
      <w:spacing w:line="312" w:lineRule="auto"/>
      <w:ind w:left="113" w:right="113" w:firstLine="482"/>
      <w:jc w:val="left"/>
      <w:textAlignment w:val="baseline"/>
    </w:pPr>
    <w:rPr>
      <w:rFonts w:ascii="Times New Roman" w:hAnsi="Times New Roman" w:eastAsia="宋体" w:cs="Times New Roman"/>
      <w:kern w:val="0"/>
      <w:sz w:val="24"/>
      <w:szCs w:val="20"/>
    </w:rPr>
  </w:style>
  <w:style w:type="character" w:customStyle="1" w:styleId="47">
    <w:name w:val="标题 2 Char"/>
    <w:basedOn w:val="25"/>
    <w:link w:val="4"/>
    <w:qFormat/>
    <w:uiPriority w:val="0"/>
    <w:rPr>
      <w:rFonts w:ascii="宋体" w:hAnsi="宋体" w:eastAsiaTheme="minorEastAsia" w:cstheme="minorBidi"/>
      <w:b/>
      <w:bCs/>
      <w:kern w:val="2"/>
      <w:sz w:val="28"/>
      <w:szCs w:val="32"/>
    </w:rPr>
  </w:style>
  <w:style w:type="paragraph" w:customStyle="1" w:styleId="48">
    <w:name w:val="表格内正文"/>
    <w:basedOn w:val="1"/>
    <w:qFormat/>
    <w:uiPriority w:val="0"/>
    <w:pPr>
      <w:jc w:val="center"/>
    </w:pPr>
    <w:rPr>
      <w:rFonts w:ascii="Times New Roman" w:hAnsi="Times New Roman" w:eastAsia="宋体" w:cs="Times New Roman"/>
      <w:spacing w:val="4"/>
      <w:kern w:val="18"/>
      <w:szCs w:val="21"/>
    </w:rPr>
  </w:style>
  <w:style w:type="paragraph" w:customStyle="1" w:styleId="49">
    <w:name w:val="表格文字2"/>
    <w:basedOn w:val="1"/>
    <w:qFormat/>
    <w:uiPriority w:val="0"/>
    <w:pPr>
      <w:adjustRightInd w:val="0"/>
      <w:spacing w:before="60"/>
      <w:jc w:val="center"/>
      <w:textAlignment w:val="baseline"/>
    </w:pPr>
    <w:rPr>
      <w:rFonts w:ascii="宋体" w:hAnsi="Times New Roman" w:eastAsia="宋体" w:cs="Times New Roman"/>
      <w:kern w:val="0"/>
      <w:sz w:val="24"/>
      <w:szCs w:val="20"/>
    </w:rPr>
  </w:style>
  <w:style w:type="paragraph" w:customStyle="1" w:styleId="50">
    <w:name w:val="报告表格"/>
    <w:basedOn w:val="1"/>
    <w:qFormat/>
    <w:uiPriority w:val="0"/>
    <w:pPr>
      <w:autoSpaceDE w:val="0"/>
      <w:autoSpaceDN w:val="0"/>
      <w:adjustRightInd w:val="0"/>
      <w:spacing w:before="20" w:after="20"/>
      <w:jc w:val="center"/>
      <w:textAlignment w:val="center"/>
    </w:pPr>
    <w:rPr>
      <w:rFonts w:ascii="Times New Roman" w:hAnsi="Times New Roman" w:eastAsia="宋体" w:cs="Times New Roman"/>
      <w:kern w:val="0"/>
      <w:szCs w:val="20"/>
    </w:rPr>
  </w:style>
  <w:style w:type="character" w:customStyle="1" w:styleId="51">
    <w:name w:val="正文文本缩进 Char"/>
    <w:basedOn w:val="25"/>
    <w:link w:val="10"/>
    <w:qFormat/>
    <w:uiPriority w:val="0"/>
    <w:rPr>
      <w:kern w:val="2"/>
      <w:sz w:val="21"/>
      <w:szCs w:val="24"/>
    </w:rPr>
  </w:style>
  <w:style w:type="character" w:customStyle="1" w:styleId="52">
    <w:name w:val="表格内容 Char"/>
    <w:link w:val="53"/>
    <w:qFormat/>
    <w:uiPriority w:val="0"/>
    <w:rPr>
      <w:rFonts w:ascii="Arial" w:hAnsi="Arial" w:eastAsia="仿宋_GB2312" w:cs="Arial"/>
      <w:kern w:val="2"/>
      <w:sz w:val="24"/>
      <w:szCs w:val="24"/>
    </w:rPr>
  </w:style>
  <w:style w:type="paragraph" w:customStyle="1" w:styleId="53">
    <w:name w:val="表格内容"/>
    <w:basedOn w:val="6"/>
    <w:next w:val="6"/>
    <w:link w:val="52"/>
    <w:qFormat/>
    <w:uiPriority w:val="0"/>
    <w:pPr>
      <w:adjustRightInd w:val="0"/>
      <w:snapToGrid w:val="0"/>
      <w:ind w:left="-108" w:right="-108" w:firstLine="43" w:firstLineChars="18"/>
      <w:jc w:val="center"/>
    </w:pPr>
    <w:rPr>
      <w:rFonts w:ascii="Arial" w:hAnsi="Arial" w:eastAsia="仿宋_GB2312" w:cs="Arial"/>
      <w:sz w:val="24"/>
    </w:rPr>
  </w:style>
  <w:style w:type="character" w:customStyle="1" w:styleId="54">
    <w:name w:val="bt11"/>
    <w:qFormat/>
    <w:uiPriority w:val="0"/>
    <w:rPr>
      <w:rFonts w:hint="eastAsia" w:ascii="黑体" w:eastAsia="黑体"/>
      <w:color w:val="000000"/>
      <w:sz w:val="28"/>
      <w:szCs w:val="28"/>
    </w:rPr>
  </w:style>
  <w:style w:type="character" w:customStyle="1" w:styleId="55">
    <w:name w:val="正文文本 Char"/>
    <w:basedOn w:val="25"/>
    <w:link w:val="2"/>
    <w:qFormat/>
    <w:uiPriority w:val="0"/>
    <w:rPr>
      <w:rFonts w:ascii="仿宋_GB2312" w:eastAsia="仿宋_GB2312"/>
      <w:kern w:val="2"/>
      <w:sz w:val="28"/>
      <w:szCs w:val="24"/>
    </w:rPr>
  </w:style>
  <w:style w:type="character" w:customStyle="1" w:styleId="56">
    <w:name w:val="报告正文 Char"/>
    <w:link w:val="57"/>
    <w:qFormat/>
    <w:uiPriority w:val="0"/>
    <w:rPr>
      <w:color w:val="000000"/>
      <w:sz w:val="24"/>
      <w:szCs w:val="24"/>
    </w:rPr>
  </w:style>
  <w:style w:type="paragraph" w:customStyle="1" w:styleId="57">
    <w:name w:val="报告正文"/>
    <w:basedOn w:val="1"/>
    <w:link w:val="56"/>
    <w:qFormat/>
    <w:uiPriority w:val="0"/>
    <w:pPr>
      <w:tabs>
        <w:tab w:val="left" w:pos="0"/>
      </w:tabs>
      <w:spacing w:line="360" w:lineRule="auto"/>
      <w:ind w:firstLine="200" w:firstLineChars="200"/>
    </w:pPr>
    <w:rPr>
      <w:rFonts w:ascii="Times New Roman" w:hAnsi="Times New Roman" w:eastAsia="宋体" w:cs="Times New Roman"/>
      <w:color w:val="000000"/>
      <w:kern w:val="0"/>
      <w:sz w:val="24"/>
    </w:rPr>
  </w:style>
  <w:style w:type="paragraph" w:styleId="58">
    <w:name w:val="List Paragraph"/>
    <w:basedOn w:val="1"/>
    <w:qFormat/>
    <w:uiPriority w:val="99"/>
    <w:pPr>
      <w:ind w:firstLine="420" w:firstLineChars="200"/>
    </w:pPr>
  </w:style>
  <w:style w:type="character" w:customStyle="1" w:styleId="59">
    <w:name w:val="文本 Char Char"/>
    <w:link w:val="60"/>
    <w:qFormat/>
    <w:uiPriority w:val="0"/>
    <w:rPr>
      <w:kern w:val="2"/>
      <w:sz w:val="24"/>
      <w:szCs w:val="24"/>
    </w:rPr>
  </w:style>
  <w:style w:type="paragraph" w:customStyle="1" w:styleId="60">
    <w:name w:val="文本"/>
    <w:basedOn w:val="1"/>
    <w:next w:val="14"/>
    <w:link w:val="59"/>
    <w:qFormat/>
    <w:uiPriority w:val="0"/>
    <w:pPr>
      <w:spacing w:line="360" w:lineRule="auto"/>
      <w:ind w:firstLine="495"/>
    </w:pPr>
    <w:rPr>
      <w:rFonts w:ascii="Times New Roman" w:hAnsi="Times New Roman" w:eastAsia="宋体" w:cs="Times New Roman"/>
      <w:sz w:val="24"/>
    </w:rPr>
  </w:style>
  <w:style w:type="character" w:customStyle="1" w:styleId="61">
    <w:name w:val="正文文本 3 Char"/>
    <w:link w:val="9"/>
    <w:qFormat/>
    <w:uiPriority w:val="0"/>
    <w:rPr>
      <w:kern w:val="2"/>
      <w:sz w:val="16"/>
      <w:szCs w:val="16"/>
    </w:rPr>
  </w:style>
  <w:style w:type="character" w:customStyle="1" w:styleId="62">
    <w:name w:val="正文文本 3 字符"/>
    <w:basedOn w:val="25"/>
    <w:semiHidden/>
    <w:qFormat/>
    <w:uiPriority w:val="0"/>
    <w:rPr>
      <w:rFonts w:asciiTheme="minorHAnsi" w:hAnsiTheme="minorHAnsi" w:eastAsiaTheme="minorEastAsia" w:cstheme="minorBidi"/>
      <w:kern w:val="2"/>
      <w:sz w:val="16"/>
      <w:szCs w:val="16"/>
    </w:rPr>
  </w:style>
  <w:style w:type="paragraph" w:customStyle="1" w:styleId="63">
    <w:name w:val="表题注"/>
    <w:basedOn w:val="7"/>
    <w:qFormat/>
    <w:uiPriority w:val="0"/>
    <w:pPr>
      <w:jc w:val="center"/>
    </w:pPr>
    <w:rPr>
      <w:rFonts w:ascii="宋体" w:hAnsi="宋体" w:eastAsia="宋体" w:cs="宋体"/>
      <w:b/>
      <w:bCs/>
      <w:sz w:val="24"/>
    </w:rPr>
  </w:style>
  <w:style w:type="paragraph" w:customStyle="1" w:styleId="64">
    <w:name w:val="正文格式"/>
    <w:basedOn w:val="1"/>
    <w:qFormat/>
    <w:uiPriority w:val="0"/>
    <w:pPr>
      <w:spacing w:line="360" w:lineRule="auto"/>
      <w:ind w:firstLine="480" w:firstLineChars="200"/>
    </w:pPr>
    <w:rPr>
      <w:rFonts w:cs="宋体"/>
      <w:szCs w:val="20"/>
    </w:rPr>
  </w:style>
  <w:style w:type="paragraph" w:customStyle="1" w:styleId="65">
    <w:name w:val="样式 小四 加粗 行距: 1.5 倍行距"/>
    <w:basedOn w:val="1"/>
    <w:qFormat/>
    <w:uiPriority w:val="0"/>
    <w:pPr>
      <w:spacing w:line="360" w:lineRule="auto"/>
      <w:ind w:firstLine="482" w:firstLineChars="200"/>
    </w:pPr>
    <w:rPr>
      <w:rFonts w:cs="宋体"/>
      <w:b/>
      <w:bCs/>
      <w:sz w:val="24"/>
      <w:szCs w:val="20"/>
    </w:rPr>
  </w:style>
  <w:style w:type="paragraph" w:customStyle="1" w:styleId="66">
    <w:name w:val="君邦正文"/>
    <w:qFormat/>
    <w:uiPriority w:val="0"/>
    <w:pPr>
      <w:spacing w:line="360" w:lineRule="auto"/>
      <w:ind w:left="-4" w:leftChars="-2" w:firstLine="480" w:firstLineChars="200"/>
      <w:jc w:val="both"/>
    </w:pPr>
    <w:rPr>
      <w:rFonts w:ascii="宋体" w:hAnsi="宋体" w:eastAsia="宋体" w:cs="Times New Roman"/>
      <w:kern w:val="2"/>
      <w:sz w:val="24"/>
      <w:lang w:val="en-US" w:eastAsia="zh-CN" w:bidi="ar-SA"/>
    </w:rPr>
  </w:style>
  <w:style w:type="paragraph" w:customStyle="1" w:styleId="67">
    <w:name w:val="Table Paragraph"/>
    <w:basedOn w:val="1"/>
    <w:qFormat/>
    <w:uiPriority w:val="1"/>
    <w:pPr>
      <w:jc w:val="center"/>
    </w:pPr>
    <w:rPr>
      <w:rFonts w:ascii="Times New Roman" w:hAnsi="Times New Roman" w:eastAsia="Times New Roman" w:cs="Times New Roman"/>
    </w:rPr>
  </w:style>
  <w:style w:type="paragraph" w:customStyle="1" w:styleId="68">
    <w:name w:val="表头2"/>
    <w:basedOn w:val="69"/>
    <w:qFormat/>
    <w:uiPriority w:val="99"/>
  </w:style>
  <w:style w:type="paragraph" w:customStyle="1" w:styleId="69">
    <w:name w:val="表头x-"/>
    <w:basedOn w:val="14"/>
    <w:qFormat/>
    <w:uiPriority w:val="99"/>
    <w:pPr>
      <w:widowControl/>
      <w:spacing w:line="440" w:lineRule="exact"/>
      <w:jc w:val="center"/>
    </w:pPr>
  </w:style>
  <w:style w:type="paragraph" w:customStyle="1" w:styleId="70">
    <w:name w:val="表内文字"/>
    <w:basedOn w:val="1"/>
    <w:qFormat/>
    <w:uiPriority w:val="0"/>
    <w:pPr>
      <w:spacing w:line="240" w:lineRule="auto"/>
      <w:ind w:firstLine="0" w:firstLineChars="0"/>
      <w:jc w:val="center"/>
    </w:pPr>
    <w:rPr>
      <w:kern w:val="0"/>
      <w:sz w:val="21"/>
      <w:szCs w:val="24"/>
    </w:rPr>
  </w:style>
  <w:style w:type="paragraph" w:styleId="71">
    <w:name w:val="No Spacing"/>
    <w:qFormat/>
    <w:uiPriority w:val="1"/>
    <w:pPr>
      <w:widowControl w:val="0"/>
      <w:jc w:val="center"/>
    </w:pPr>
    <w:rPr>
      <w:rFonts w:ascii="Times New Roman" w:hAnsi="Times New Roman" w:eastAsia="宋体" w:cs="Times New Roman"/>
      <w:kern w:val="2"/>
      <w:sz w:val="22"/>
      <w:szCs w:val="22"/>
      <w:lang w:val="en-US" w:eastAsia="zh-CN" w:bidi="ar-SA"/>
    </w:rPr>
  </w:style>
  <w:style w:type="paragraph" w:customStyle="1" w:styleId="72">
    <w:name w:val="1表格标题"/>
    <w:basedOn w:val="1"/>
    <w:qFormat/>
    <w:uiPriority w:val="0"/>
    <w:pPr>
      <w:adjustRightInd w:val="0"/>
      <w:ind w:firstLine="0" w:firstLineChars="0"/>
      <w:jc w:val="center"/>
      <w:textAlignment w:val="baseline"/>
    </w:pPr>
    <w:rPr>
      <w:b/>
      <w:kern w:val="0"/>
      <w:sz w:val="21"/>
    </w:rPr>
  </w:style>
  <w:style w:type="paragraph" w:customStyle="1" w:styleId="73">
    <w:name w:val="表内l"/>
    <w:basedOn w:val="1"/>
    <w:qFormat/>
    <w:uiPriority w:val="0"/>
    <w:pPr>
      <w:spacing w:line="240" w:lineRule="auto"/>
      <w:ind w:firstLine="0" w:firstLineChars="0"/>
      <w:jc w:val="center"/>
    </w:pPr>
    <w:rPr>
      <w:rFonts w:ascii="Times New Roman" w:hAnsi="Times New Roman"/>
      <w:bCs/>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8B3F23-13FF-44AE-8713-CA208FF5EDC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15498</Words>
  <Characters>17441</Characters>
  <Lines>170</Lines>
  <Paragraphs>48</Paragraphs>
  <TotalTime>1</TotalTime>
  <ScaleCrop>false</ScaleCrop>
  <LinksUpToDate>false</LinksUpToDate>
  <CharactersWithSpaces>18042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2019-10-23T11:13:00Z</dcterms:created>
  <dc:creator>Administrator</dc:creator>
  <cp:lastModifiedBy>阿祥。</cp:lastModifiedBy>
  <dcterms:modified xsi:type="dcterms:W3CDTF">2022-07-27T07:58:42Z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F28FD72A629C4F4FB18BF7D91B0C5347</vt:lpwstr>
  </property>
</Properties>
</file>