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ordWrap w:val="0"/>
        <w:topLinePunct/>
        <w:spacing w:line="480" w:lineRule="auto"/>
        <w:ind w:left="0" w:leftChars="0" w:right="-358" w:rightChars="-128" w:firstLine="0" w:firstLineChars="0"/>
        <w:jc w:val="center"/>
        <w:rPr>
          <w:b/>
          <w:bCs/>
          <w:sz w:val="32"/>
          <w:szCs w:val="32"/>
        </w:rPr>
      </w:pPr>
    </w:p>
    <w:p>
      <w:pPr>
        <w:wordWrap w:val="0"/>
        <w:topLinePunct/>
        <w:spacing w:line="480" w:lineRule="auto"/>
        <w:ind w:left="0" w:leftChars="0" w:right="-358" w:rightChars="-128" w:firstLine="0" w:firstLineChars="0"/>
        <w:jc w:val="center"/>
        <w:rPr>
          <w:rFonts w:hint="eastAsia" w:eastAsia="宋体"/>
          <w:b/>
          <w:bCs/>
          <w:sz w:val="32"/>
          <w:szCs w:val="32"/>
          <w:lang w:eastAsia="zh-CN"/>
        </w:rPr>
      </w:pPr>
      <w:r>
        <mc:AlternateContent>
          <mc:Choice Requires="wps">
            <w:drawing>
              <wp:anchor distT="0" distB="0" distL="114300" distR="114300" simplePos="0" relativeHeight="251659264" behindDoc="0" locked="0" layoutInCell="1" allowOverlap="1">
                <wp:simplePos x="0" y="0"/>
                <wp:positionH relativeFrom="column">
                  <wp:posOffset>-2879090</wp:posOffset>
                </wp:positionH>
                <wp:positionV relativeFrom="paragraph">
                  <wp:posOffset>-899795</wp:posOffset>
                </wp:positionV>
                <wp:extent cx="635" cy="635"/>
                <wp:effectExtent l="0" t="0" r="0" b="0"/>
                <wp:wrapNone/>
                <wp:docPr id="1" name="直线 304"/>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04" o:spid="_x0000_s1026" o:spt="20" style="position:absolute;left:0pt;margin-left:-226.7pt;margin-top:-70.85pt;height:0.05pt;width:0.05pt;z-index:251659264;mso-width-relative:page;mso-height-relative:page;" filled="f" stroked="t" coordsize="21600,21600" o:gfxdata="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shReg&#10;2gAAAA8BAAAPAAAAAAAAAAEAIAAAACIAAABkcnMvZG93bnJldi54bWxQSwECFAAUAAAACACHTuJA&#10;3mzv+eYBAADbAwAADgAAAAAAAAABACAAAAApAQAAZHJzL2Uyb0RvYy54bWxQSwUGAAAAAAYABgBZ&#10;AQAAgQUAAAAA&#10;">
                <v:fill on="f" focussize="0,0"/>
                <v:stroke color="#000000" joinstyle="round"/>
                <v:imagedata o:title=""/>
                <o:lock v:ext="edit" aspectratio="f"/>
              </v:line>
            </w:pict>
          </mc:Fallback>
        </mc:AlternateContent>
      </w:r>
      <w:r>
        <w:rPr>
          <w:rFonts w:hint="eastAsia"/>
          <w:b/>
          <w:bCs/>
          <w:sz w:val="32"/>
          <w:szCs w:val="32"/>
          <w:lang w:eastAsia="zh-CN"/>
        </w:rPr>
        <w:t>绵竹装备制造产业园污水处理厂项目（一期）</w:t>
      </w:r>
    </w:p>
    <w:p>
      <w:pPr>
        <w:wordWrap w:val="0"/>
        <w:topLinePunct/>
        <w:spacing w:line="480" w:lineRule="auto"/>
        <w:ind w:left="0" w:leftChars="0" w:right="-358" w:rightChars="-128" w:firstLine="0" w:firstLineChars="0"/>
        <w:jc w:val="center"/>
        <w:rPr>
          <w:b/>
          <w:bCs/>
          <w:sz w:val="32"/>
          <w:szCs w:val="32"/>
        </w:rPr>
      </w:pPr>
      <w:r>
        <w:rPr>
          <w:b/>
          <w:bCs/>
          <w:sz w:val="32"/>
          <w:szCs w:val="32"/>
        </w:rPr>
        <w:t>竣工环境保护验收监测报告</w:t>
      </w:r>
    </w:p>
    <w:p>
      <w:pPr>
        <w:wordWrap w:val="0"/>
        <w:topLinePunct/>
        <w:spacing w:line="600" w:lineRule="auto"/>
        <w:ind w:firstLine="0" w:firstLineChars="0"/>
        <w:jc w:val="center"/>
        <w:rPr>
          <w:sz w:val="30"/>
          <w:szCs w:val="30"/>
        </w:rPr>
      </w:pPr>
    </w:p>
    <w:p>
      <w:pPr>
        <w:spacing w:line="480" w:lineRule="auto"/>
        <w:ind w:firstLine="2100" w:firstLineChars="700"/>
        <w:rPr>
          <w:sz w:val="30"/>
          <w:szCs w:val="30"/>
        </w:rPr>
      </w:pPr>
      <w:r>
        <w:rPr>
          <w:sz w:val="30"/>
          <w:szCs w:val="30"/>
        </w:rPr>
        <w:t xml:space="preserve">    </w:t>
      </w:r>
    </w:p>
    <w:p>
      <w:pPr>
        <w:spacing w:line="480" w:lineRule="auto"/>
        <w:ind w:firstLine="2240" w:firstLineChars="700"/>
        <w:rPr>
          <w:sz w:val="32"/>
        </w:rPr>
      </w:pPr>
      <w:r>
        <w:rPr>
          <w:sz w:val="32"/>
        </w:rPr>
        <w:t xml:space="preserve">                             </w:t>
      </w:r>
    </w:p>
    <w:p>
      <w:pPr>
        <w:spacing w:line="480" w:lineRule="auto"/>
        <w:ind w:firstLine="2240" w:firstLineChars="700"/>
        <w:rPr>
          <w:sz w:val="32"/>
        </w:rPr>
      </w:pPr>
    </w:p>
    <w:p>
      <w:pPr>
        <w:spacing w:line="480" w:lineRule="auto"/>
        <w:ind w:firstLine="2240" w:firstLineChars="700"/>
        <w:rPr>
          <w:sz w:val="32"/>
        </w:rPr>
      </w:pPr>
    </w:p>
    <w:p>
      <w:pPr>
        <w:spacing w:line="480" w:lineRule="auto"/>
        <w:ind w:firstLine="2240" w:firstLineChars="700"/>
        <w:rPr>
          <w:sz w:val="32"/>
        </w:rPr>
      </w:pPr>
    </w:p>
    <w:p>
      <w:pPr>
        <w:spacing w:line="480" w:lineRule="auto"/>
        <w:ind w:firstLine="2240" w:firstLineChars="700"/>
        <w:rPr>
          <w:sz w:val="32"/>
        </w:rPr>
      </w:pPr>
    </w:p>
    <w:p>
      <w:pPr>
        <w:spacing w:line="480" w:lineRule="auto"/>
        <w:ind w:firstLine="0" w:firstLineChars="0"/>
        <w:rPr>
          <w:sz w:val="32"/>
        </w:rPr>
      </w:pPr>
    </w:p>
    <w:p>
      <w:pPr>
        <w:ind w:firstLine="0" w:firstLineChars="0"/>
        <w:jc w:val="center"/>
        <w:rPr>
          <w:sz w:val="32"/>
        </w:rPr>
      </w:pPr>
    </w:p>
    <w:p>
      <w:pPr>
        <w:ind w:firstLine="0" w:firstLineChars="0"/>
        <w:jc w:val="center"/>
        <w:rPr>
          <w:sz w:val="32"/>
        </w:rPr>
      </w:pPr>
    </w:p>
    <w:p>
      <w:pPr>
        <w:ind w:firstLine="0" w:firstLineChars="0"/>
        <w:jc w:val="center"/>
        <w:rPr>
          <w:rFonts w:hint="eastAsia" w:eastAsia="宋体"/>
          <w:sz w:val="32"/>
          <w:lang w:eastAsia="zh-CN"/>
        </w:rPr>
      </w:pPr>
      <w:r>
        <w:rPr>
          <w:sz w:val="32"/>
        </w:rPr>
        <w:t>建设单位：</w:t>
      </w:r>
      <w:r>
        <w:rPr>
          <w:rFonts w:hint="eastAsia"/>
          <w:sz w:val="32"/>
          <w:lang w:eastAsia="zh-CN"/>
        </w:rPr>
        <w:t>绵竹国润排水有限公司</w:t>
      </w:r>
    </w:p>
    <w:p>
      <w:pPr>
        <w:spacing w:line="480" w:lineRule="auto"/>
        <w:ind w:left="0" w:leftChars="0" w:firstLine="0" w:firstLineChars="0"/>
        <w:jc w:val="center"/>
        <w:rPr>
          <w:sz w:val="32"/>
          <w:szCs w:val="32"/>
        </w:rPr>
      </w:pPr>
      <w:r>
        <w:rPr>
          <w:sz w:val="32"/>
        </w:rPr>
        <w:t>编制时间：202</w:t>
      </w:r>
      <w:r>
        <w:rPr>
          <w:rFonts w:hint="eastAsia"/>
          <w:sz w:val="32"/>
          <w:lang w:val="en-US" w:eastAsia="zh-CN"/>
        </w:rPr>
        <w:t>2</w:t>
      </w:r>
      <w:r>
        <w:rPr>
          <w:sz w:val="32"/>
        </w:rPr>
        <w:t>年</w:t>
      </w:r>
      <w:r>
        <w:rPr>
          <w:rFonts w:hint="eastAsia"/>
          <w:sz w:val="32"/>
          <w:szCs w:val="32"/>
          <w:lang w:val="en-US" w:eastAsia="zh-CN"/>
        </w:rPr>
        <w:t>8</w:t>
      </w:r>
      <w:r>
        <w:rPr>
          <w:sz w:val="32"/>
          <w:szCs w:val="32"/>
        </w:rPr>
        <w:t>月</w:t>
      </w:r>
    </w:p>
    <w:p>
      <w:pPr>
        <w:tabs>
          <w:tab w:val="left" w:pos="1785"/>
        </w:tabs>
        <w:wordWrap w:val="0"/>
        <w:topLinePunct/>
        <w:spacing w:line="480" w:lineRule="auto"/>
        <w:ind w:firstLine="0" w:firstLineChars="0"/>
        <w:sectPr>
          <w:headerReference r:id="rId9" w:type="first"/>
          <w:footerReference r:id="rId12" w:type="first"/>
          <w:headerReference r:id="rId7" w:type="default"/>
          <w:footerReference r:id="rId10" w:type="default"/>
          <w:headerReference r:id="rId8" w:type="even"/>
          <w:footerReference r:id="rId11" w:type="even"/>
          <w:pgSz w:w="11906" w:h="16838"/>
          <w:pgMar w:top="1134" w:right="1417" w:bottom="1134" w:left="1417" w:header="850" w:footer="850" w:gutter="0"/>
          <w:pgBorders>
            <w:top w:val="none" w:sz="0" w:space="0"/>
            <w:left w:val="none" w:sz="0" w:space="0"/>
            <w:bottom w:val="none" w:sz="0" w:space="0"/>
            <w:right w:val="none" w:sz="0" w:space="0"/>
          </w:pgBorders>
          <w:cols w:space="720" w:num="1"/>
          <w:titlePg/>
          <w:docGrid w:type="lines" w:linePitch="416" w:charSpace="0"/>
        </w:sectPr>
      </w:pPr>
    </w:p>
    <w:p>
      <w:pPr>
        <w:tabs>
          <w:tab w:val="left" w:pos="1785"/>
        </w:tabs>
        <w:wordWrap w:val="0"/>
        <w:topLinePunct/>
        <w:ind w:firstLine="0" w:firstLineChars="0"/>
        <w:rPr>
          <w:rFonts w:eastAsia="仿宋"/>
          <w:sz w:val="32"/>
          <w:szCs w:val="32"/>
        </w:rPr>
      </w:pPr>
      <w:r>
        <w:rPr>
          <w:rFonts w:eastAsia="仿宋"/>
          <w:sz w:val="32"/>
          <w:szCs w:val="32"/>
        </w:rPr>
        <w:t>建设单位：</w:t>
      </w:r>
      <w:r>
        <w:rPr>
          <w:rFonts w:hint="eastAsia" w:eastAsia="仿宋"/>
          <w:sz w:val="32"/>
          <w:szCs w:val="32"/>
        </w:rPr>
        <w:t>绵竹国润排水有限公司</w:t>
      </w:r>
    </w:p>
    <w:p>
      <w:pPr>
        <w:tabs>
          <w:tab w:val="left" w:pos="1785"/>
        </w:tabs>
        <w:wordWrap w:val="0"/>
        <w:topLinePunct/>
        <w:ind w:firstLine="0" w:firstLineChars="0"/>
        <w:rPr>
          <w:rFonts w:eastAsia="仿宋"/>
          <w:sz w:val="32"/>
          <w:szCs w:val="32"/>
        </w:rPr>
      </w:pPr>
      <w:r>
        <w:rPr>
          <w:rFonts w:eastAsia="仿宋"/>
          <w:sz w:val="32"/>
          <w:szCs w:val="32"/>
        </w:rPr>
        <w:t>编制单位：</w:t>
      </w:r>
      <w:r>
        <w:rPr>
          <w:rFonts w:hint="eastAsia" w:eastAsia="仿宋"/>
          <w:sz w:val="32"/>
          <w:szCs w:val="32"/>
        </w:rPr>
        <w:t>绵竹国润排水有限公司</w:t>
      </w:r>
    </w:p>
    <w:p>
      <w:pPr>
        <w:tabs>
          <w:tab w:val="left" w:pos="1785"/>
        </w:tabs>
        <w:wordWrap w:val="0"/>
        <w:topLinePunct/>
        <w:ind w:firstLine="0" w:firstLineChars="0"/>
        <w:rPr>
          <w:rFonts w:eastAsia="仿宋"/>
          <w:sz w:val="32"/>
          <w:szCs w:val="32"/>
        </w:rPr>
      </w:pPr>
      <w:r>
        <w:rPr>
          <w:rFonts w:eastAsia="仿宋"/>
          <w:sz w:val="32"/>
          <w:szCs w:val="32"/>
        </w:rPr>
        <w:t>法人代表：</w:t>
      </w:r>
    </w:p>
    <w:p>
      <w:pPr>
        <w:rPr>
          <w:rFonts w:eastAsia="仿宋"/>
        </w:rPr>
      </w:pPr>
    </w:p>
    <w:p>
      <w:pPr>
        <w:tabs>
          <w:tab w:val="left" w:pos="1785"/>
        </w:tabs>
        <w:wordWrap w:val="0"/>
        <w:topLinePunct/>
        <w:ind w:firstLine="0" w:firstLineChars="0"/>
        <w:rPr>
          <w:rFonts w:eastAsia="仿宋"/>
          <w:sz w:val="32"/>
          <w:szCs w:val="32"/>
        </w:rPr>
      </w:pPr>
    </w:p>
    <w:p>
      <w:pPr>
        <w:tabs>
          <w:tab w:val="left" w:pos="6659"/>
        </w:tabs>
        <w:wordWrap w:val="0"/>
        <w:topLinePunct/>
        <w:ind w:firstLine="640"/>
        <w:rPr>
          <w:rFonts w:eastAsia="仿宋"/>
          <w:sz w:val="32"/>
          <w:szCs w:val="32"/>
        </w:rPr>
      </w:pPr>
      <w:r>
        <w:rPr>
          <w:rFonts w:eastAsia="仿宋"/>
          <w:sz w:val="32"/>
          <w:szCs w:val="32"/>
        </w:rPr>
        <w:t xml:space="preserve"> </w:t>
      </w:r>
    </w:p>
    <w:p>
      <w:pPr>
        <w:tabs>
          <w:tab w:val="left" w:pos="6659"/>
        </w:tabs>
        <w:wordWrap w:val="0"/>
        <w:topLinePunct/>
        <w:ind w:firstLine="640"/>
        <w:rPr>
          <w:rFonts w:eastAsia="仿宋"/>
          <w:sz w:val="32"/>
          <w:szCs w:val="32"/>
        </w:rPr>
      </w:pPr>
      <w:r>
        <w:rPr>
          <w:rFonts w:eastAsia="仿宋"/>
          <w:sz w:val="32"/>
          <w:szCs w:val="32"/>
        </w:rPr>
        <w:tab/>
      </w:r>
    </w:p>
    <w:p>
      <w:pPr>
        <w:tabs>
          <w:tab w:val="left" w:pos="1365"/>
        </w:tabs>
        <w:wordWrap w:val="0"/>
        <w:topLinePunct/>
        <w:ind w:firstLine="0" w:firstLineChars="0"/>
        <w:rPr>
          <w:color w:val="000000"/>
          <w:szCs w:val="28"/>
        </w:rPr>
      </w:pPr>
    </w:p>
    <w:p>
      <w:pPr>
        <w:tabs>
          <w:tab w:val="left" w:pos="1365"/>
        </w:tabs>
        <w:wordWrap w:val="0"/>
        <w:topLinePunct/>
        <w:ind w:firstLine="0" w:firstLineChars="0"/>
        <w:rPr>
          <w:color w:val="000000"/>
          <w:szCs w:val="28"/>
        </w:rPr>
      </w:pPr>
    </w:p>
    <w:p>
      <w:pPr>
        <w:tabs>
          <w:tab w:val="left" w:pos="1365"/>
        </w:tabs>
        <w:wordWrap w:val="0"/>
        <w:topLinePunct/>
        <w:ind w:firstLine="0" w:firstLineChars="0"/>
        <w:rPr>
          <w:color w:val="000000"/>
          <w:szCs w:val="28"/>
        </w:rPr>
        <w:sectPr>
          <w:headerReference r:id="rId13" w:type="default"/>
          <w:footerReference r:id="rId14" w:type="default"/>
          <w:pgSz w:w="11906" w:h="16838"/>
          <w:pgMar w:top="1134" w:right="1417" w:bottom="1134" w:left="1417"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wordWrap w:val="0"/>
        <w:topLinePunct/>
        <w:ind w:firstLine="0" w:firstLineChars="0"/>
        <w:jc w:val="center"/>
        <w:rPr>
          <w:b/>
          <w:bCs/>
          <w:sz w:val="32"/>
          <w:szCs w:val="32"/>
        </w:rPr>
      </w:pPr>
      <w:r>
        <w:rPr>
          <w:b/>
          <w:bCs/>
          <w:sz w:val="32"/>
          <w:szCs w:val="32"/>
        </w:rPr>
        <w:t>目  录</w:t>
      </w:r>
    </w:p>
    <w:p>
      <w:pPr>
        <w:pStyle w:val="15"/>
        <w:tabs>
          <w:tab w:val="right" w:leader="dot" w:pos="9072"/>
        </w:tabs>
      </w:pPr>
      <w:r>
        <w:rPr>
          <w:sz w:val="22"/>
        </w:rPr>
        <w:fldChar w:fldCharType="begin"/>
      </w:r>
      <w:r>
        <w:rPr>
          <w:sz w:val="22"/>
        </w:rPr>
        <w:instrText xml:space="preserve">TOC \o "1-2" \h \u </w:instrText>
      </w:r>
      <w:r>
        <w:rPr>
          <w:sz w:val="22"/>
        </w:rPr>
        <w:fldChar w:fldCharType="separate"/>
      </w:r>
      <w:r>
        <w:fldChar w:fldCharType="begin"/>
      </w:r>
      <w:r>
        <w:instrText xml:space="preserve"> HYPERLINK \l _Toc22123 </w:instrText>
      </w:r>
      <w:r>
        <w:fldChar w:fldCharType="separate"/>
      </w:r>
      <w:r>
        <w:rPr>
          <w:rFonts w:hint="default"/>
        </w:rPr>
        <w:t>1项目概况</w:t>
      </w:r>
      <w:r>
        <w:tab/>
      </w:r>
      <w:r>
        <w:fldChar w:fldCharType="begin"/>
      </w:r>
      <w:r>
        <w:instrText xml:space="preserve"> PAGEREF _Toc22123 \h </w:instrText>
      </w:r>
      <w:r>
        <w:fldChar w:fldCharType="separate"/>
      </w:r>
      <w:r>
        <w:t>1</w:t>
      </w:r>
      <w:r>
        <w:fldChar w:fldCharType="end"/>
      </w:r>
      <w:r>
        <w:fldChar w:fldCharType="end"/>
      </w:r>
    </w:p>
    <w:p>
      <w:pPr>
        <w:pStyle w:val="15"/>
        <w:tabs>
          <w:tab w:val="right" w:leader="dot" w:pos="9072"/>
        </w:tabs>
      </w:pPr>
      <w:r>
        <w:fldChar w:fldCharType="begin"/>
      </w:r>
      <w:r>
        <w:instrText xml:space="preserve"> HYPERLINK \l _Toc22114 </w:instrText>
      </w:r>
      <w:r>
        <w:fldChar w:fldCharType="separate"/>
      </w:r>
      <w:r>
        <w:rPr>
          <w:rFonts w:hint="default"/>
        </w:rPr>
        <w:t>2验收依据</w:t>
      </w:r>
      <w:r>
        <w:tab/>
      </w:r>
      <w:r>
        <w:fldChar w:fldCharType="begin"/>
      </w:r>
      <w:r>
        <w:instrText xml:space="preserve"> PAGEREF _Toc22114 \h </w:instrText>
      </w:r>
      <w:r>
        <w:fldChar w:fldCharType="separate"/>
      </w:r>
      <w:r>
        <w:t>2</w:t>
      </w:r>
      <w:r>
        <w:fldChar w:fldCharType="end"/>
      </w:r>
      <w:r>
        <w:fldChar w:fldCharType="end"/>
      </w:r>
    </w:p>
    <w:p>
      <w:pPr>
        <w:pStyle w:val="17"/>
        <w:tabs>
          <w:tab w:val="right" w:leader="dot" w:pos="9072"/>
        </w:tabs>
      </w:pPr>
      <w:r>
        <w:fldChar w:fldCharType="begin"/>
      </w:r>
      <w:r>
        <w:instrText xml:space="preserve"> HYPERLINK \l _Toc19822 </w:instrText>
      </w:r>
      <w:r>
        <w:fldChar w:fldCharType="separate"/>
      </w:r>
      <w:r>
        <w:t>2.1建设项目环境保护相关法律、法规和规章制度</w:t>
      </w:r>
      <w:r>
        <w:tab/>
      </w:r>
      <w:r>
        <w:fldChar w:fldCharType="begin"/>
      </w:r>
      <w:r>
        <w:instrText xml:space="preserve"> PAGEREF _Toc19822 \h </w:instrText>
      </w:r>
      <w:r>
        <w:fldChar w:fldCharType="separate"/>
      </w:r>
      <w:r>
        <w:t>2</w:t>
      </w:r>
      <w:r>
        <w:fldChar w:fldCharType="end"/>
      </w:r>
      <w:r>
        <w:fldChar w:fldCharType="end"/>
      </w:r>
    </w:p>
    <w:p>
      <w:pPr>
        <w:pStyle w:val="17"/>
        <w:tabs>
          <w:tab w:val="right" w:leader="dot" w:pos="9072"/>
        </w:tabs>
      </w:pPr>
      <w:r>
        <w:fldChar w:fldCharType="begin"/>
      </w:r>
      <w:r>
        <w:instrText xml:space="preserve"> HYPERLINK \l _Toc13285 </w:instrText>
      </w:r>
      <w:r>
        <w:fldChar w:fldCharType="separate"/>
      </w:r>
      <w:r>
        <w:t>2.2 建设项目竣工环境保护验收技术规范</w:t>
      </w:r>
      <w:r>
        <w:tab/>
      </w:r>
      <w:r>
        <w:fldChar w:fldCharType="begin"/>
      </w:r>
      <w:r>
        <w:instrText xml:space="preserve"> PAGEREF _Toc13285 \h </w:instrText>
      </w:r>
      <w:r>
        <w:fldChar w:fldCharType="separate"/>
      </w:r>
      <w:r>
        <w:t>2</w:t>
      </w:r>
      <w:r>
        <w:fldChar w:fldCharType="end"/>
      </w:r>
      <w:r>
        <w:fldChar w:fldCharType="end"/>
      </w:r>
    </w:p>
    <w:p>
      <w:pPr>
        <w:pStyle w:val="17"/>
        <w:tabs>
          <w:tab w:val="right" w:leader="dot" w:pos="9072"/>
        </w:tabs>
      </w:pPr>
      <w:r>
        <w:fldChar w:fldCharType="begin"/>
      </w:r>
      <w:r>
        <w:instrText xml:space="preserve"> HYPERLINK \l _Toc19549 </w:instrText>
      </w:r>
      <w:r>
        <w:fldChar w:fldCharType="separate"/>
      </w:r>
      <w:r>
        <w:t>2.3建设项目</w:t>
      </w:r>
      <w:r>
        <w:rPr>
          <w:rFonts w:hint="eastAsia"/>
          <w:lang w:eastAsia="zh-CN"/>
        </w:rPr>
        <w:t>环境影响报告书</w:t>
      </w:r>
      <w:r>
        <w:t>及审批部门审批决定</w:t>
      </w:r>
      <w:r>
        <w:tab/>
      </w:r>
      <w:r>
        <w:fldChar w:fldCharType="begin"/>
      </w:r>
      <w:r>
        <w:instrText xml:space="preserve"> PAGEREF _Toc19549 \h </w:instrText>
      </w:r>
      <w:r>
        <w:fldChar w:fldCharType="separate"/>
      </w:r>
      <w:r>
        <w:t>2</w:t>
      </w:r>
      <w:r>
        <w:fldChar w:fldCharType="end"/>
      </w:r>
      <w:r>
        <w:fldChar w:fldCharType="end"/>
      </w:r>
    </w:p>
    <w:p>
      <w:pPr>
        <w:pStyle w:val="17"/>
        <w:tabs>
          <w:tab w:val="right" w:leader="dot" w:pos="9072"/>
        </w:tabs>
      </w:pPr>
      <w:r>
        <w:fldChar w:fldCharType="begin"/>
      </w:r>
      <w:r>
        <w:instrText xml:space="preserve"> HYPERLINK \l _Toc21326 </w:instrText>
      </w:r>
      <w:r>
        <w:fldChar w:fldCharType="separate"/>
      </w:r>
      <w:r>
        <w:t>2.4其他相关文件</w:t>
      </w:r>
      <w:r>
        <w:tab/>
      </w:r>
      <w:r>
        <w:fldChar w:fldCharType="begin"/>
      </w:r>
      <w:r>
        <w:instrText xml:space="preserve"> PAGEREF _Toc21326 \h </w:instrText>
      </w:r>
      <w:r>
        <w:fldChar w:fldCharType="separate"/>
      </w:r>
      <w:r>
        <w:t>3</w:t>
      </w:r>
      <w:r>
        <w:fldChar w:fldCharType="end"/>
      </w:r>
      <w:r>
        <w:fldChar w:fldCharType="end"/>
      </w:r>
    </w:p>
    <w:p>
      <w:pPr>
        <w:pStyle w:val="15"/>
        <w:tabs>
          <w:tab w:val="right" w:leader="dot" w:pos="9072"/>
        </w:tabs>
      </w:pPr>
      <w:r>
        <w:fldChar w:fldCharType="begin"/>
      </w:r>
      <w:r>
        <w:instrText xml:space="preserve"> HYPERLINK \l _Toc29082 </w:instrText>
      </w:r>
      <w:r>
        <w:fldChar w:fldCharType="separate"/>
      </w:r>
      <w:r>
        <w:rPr>
          <w:rFonts w:hint="default"/>
        </w:rPr>
        <w:t>3工程建设情况</w:t>
      </w:r>
      <w:r>
        <w:tab/>
      </w:r>
      <w:r>
        <w:fldChar w:fldCharType="begin"/>
      </w:r>
      <w:r>
        <w:instrText xml:space="preserve"> PAGEREF _Toc29082 \h </w:instrText>
      </w:r>
      <w:r>
        <w:fldChar w:fldCharType="separate"/>
      </w:r>
      <w:r>
        <w:t>4</w:t>
      </w:r>
      <w:r>
        <w:fldChar w:fldCharType="end"/>
      </w:r>
      <w:r>
        <w:fldChar w:fldCharType="end"/>
      </w:r>
    </w:p>
    <w:p>
      <w:pPr>
        <w:pStyle w:val="17"/>
        <w:tabs>
          <w:tab w:val="right" w:leader="dot" w:pos="9072"/>
        </w:tabs>
      </w:pPr>
      <w:r>
        <w:fldChar w:fldCharType="begin"/>
      </w:r>
      <w:r>
        <w:instrText xml:space="preserve"> HYPERLINK \l _Toc20683 </w:instrText>
      </w:r>
      <w:r>
        <w:fldChar w:fldCharType="separate"/>
      </w:r>
      <w:r>
        <w:t>3.1地理位置、平面布置及外环境关系</w:t>
      </w:r>
      <w:r>
        <w:tab/>
      </w:r>
      <w:r>
        <w:fldChar w:fldCharType="begin"/>
      </w:r>
      <w:r>
        <w:instrText xml:space="preserve"> PAGEREF _Toc20683 \h </w:instrText>
      </w:r>
      <w:r>
        <w:fldChar w:fldCharType="separate"/>
      </w:r>
      <w:r>
        <w:t>4</w:t>
      </w:r>
      <w:r>
        <w:fldChar w:fldCharType="end"/>
      </w:r>
      <w:r>
        <w:fldChar w:fldCharType="end"/>
      </w:r>
    </w:p>
    <w:p>
      <w:pPr>
        <w:pStyle w:val="17"/>
        <w:tabs>
          <w:tab w:val="right" w:leader="dot" w:pos="9072"/>
        </w:tabs>
      </w:pPr>
      <w:r>
        <w:fldChar w:fldCharType="begin"/>
      </w:r>
      <w:r>
        <w:instrText xml:space="preserve"> HYPERLINK \l _Toc19112 </w:instrText>
      </w:r>
      <w:r>
        <w:fldChar w:fldCharType="separate"/>
      </w:r>
      <w:r>
        <w:rPr>
          <w:bCs/>
          <w:szCs w:val="30"/>
        </w:rPr>
        <w:t>3.2建设内容</w:t>
      </w:r>
      <w:r>
        <w:tab/>
      </w:r>
      <w:r>
        <w:fldChar w:fldCharType="begin"/>
      </w:r>
      <w:r>
        <w:instrText xml:space="preserve"> PAGEREF _Toc19112 \h </w:instrText>
      </w:r>
      <w:r>
        <w:fldChar w:fldCharType="separate"/>
      </w:r>
      <w:r>
        <w:t>11</w:t>
      </w:r>
      <w:r>
        <w:fldChar w:fldCharType="end"/>
      </w:r>
      <w:r>
        <w:fldChar w:fldCharType="end"/>
      </w:r>
    </w:p>
    <w:p>
      <w:pPr>
        <w:pStyle w:val="17"/>
        <w:tabs>
          <w:tab w:val="right" w:leader="dot" w:pos="9072"/>
        </w:tabs>
      </w:pPr>
      <w:r>
        <w:fldChar w:fldCharType="begin"/>
      </w:r>
      <w:r>
        <w:instrText xml:space="preserve"> HYPERLINK \l _Toc1460 </w:instrText>
      </w:r>
      <w:r>
        <w:fldChar w:fldCharType="separate"/>
      </w:r>
      <w:r>
        <w:rPr>
          <w:bCs/>
          <w:szCs w:val="30"/>
        </w:rPr>
        <w:t>3.3主要原辅材料及燃料</w:t>
      </w:r>
      <w:r>
        <w:tab/>
      </w:r>
      <w:r>
        <w:fldChar w:fldCharType="begin"/>
      </w:r>
      <w:r>
        <w:instrText xml:space="preserve"> PAGEREF _Toc1460 \h </w:instrText>
      </w:r>
      <w:r>
        <w:fldChar w:fldCharType="separate"/>
      </w:r>
      <w:r>
        <w:t>17</w:t>
      </w:r>
      <w:r>
        <w:fldChar w:fldCharType="end"/>
      </w:r>
      <w:r>
        <w:fldChar w:fldCharType="end"/>
      </w:r>
    </w:p>
    <w:p>
      <w:pPr>
        <w:pStyle w:val="17"/>
        <w:tabs>
          <w:tab w:val="right" w:leader="dot" w:pos="9072"/>
        </w:tabs>
      </w:pPr>
      <w:r>
        <w:fldChar w:fldCharType="begin"/>
      </w:r>
      <w:r>
        <w:instrText xml:space="preserve"> HYPERLINK \l _Toc19926 </w:instrText>
      </w:r>
      <w:r>
        <w:fldChar w:fldCharType="separate"/>
      </w:r>
      <w:r>
        <w:rPr>
          <w:bCs/>
          <w:szCs w:val="30"/>
        </w:rPr>
        <w:t>3.4水平衡分析</w:t>
      </w:r>
      <w:r>
        <w:tab/>
      </w:r>
      <w:r>
        <w:fldChar w:fldCharType="begin"/>
      </w:r>
      <w:r>
        <w:instrText xml:space="preserve"> PAGEREF _Toc19926 \h </w:instrText>
      </w:r>
      <w:r>
        <w:fldChar w:fldCharType="separate"/>
      </w:r>
      <w:r>
        <w:t>18</w:t>
      </w:r>
      <w:r>
        <w:fldChar w:fldCharType="end"/>
      </w:r>
      <w:r>
        <w:fldChar w:fldCharType="end"/>
      </w:r>
    </w:p>
    <w:p>
      <w:pPr>
        <w:pStyle w:val="17"/>
        <w:tabs>
          <w:tab w:val="right" w:leader="dot" w:pos="9072"/>
        </w:tabs>
      </w:pPr>
      <w:r>
        <w:fldChar w:fldCharType="begin"/>
      </w:r>
      <w:r>
        <w:instrText xml:space="preserve"> HYPERLINK \l _Toc28685 </w:instrText>
      </w:r>
      <w:r>
        <w:fldChar w:fldCharType="separate"/>
      </w:r>
      <w:r>
        <w:rPr>
          <w:bCs/>
          <w:szCs w:val="30"/>
        </w:rPr>
        <w:t>3.5生产工艺</w:t>
      </w:r>
      <w:r>
        <w:tab/>
      </w:r>
      <w:r>
        <w:fldChar w:fldCharType="begin"/>
      </w:r>
      <w:r>
        <w:instrText xml:space="preserve"> PAGEREF _Toc28685 \h </w:instrText>
      </w:r>
      <w:r>
        <w:fldChar w:fldCharType="separate"/>
      </w:r>
      <w:r>
        <w:t>18</w:t>
      </w:r>
      <w:r>
        <w:fldChar w:fldCharType="end"/>
      </w:r>
      <w:r>
        <w:fldChar w:fldCharType="end"/>
      </w:r>
    </w:p>
    <w:p>
      <w:pPr>
        <w:pStyle w:val="17"/>
        <w:tabs>
          <w:tab w:val="right" w:leader="dot" w:pos="9072"/>
        </w:tabs>
      </w:pPr>
      <w:r>
        <w:fldChar w:fldCharType="begin"/>
      </w:r>
      <w:r>
        <w:instrText xml:space="preserve"> HYPERLINK \l _Toc9796 </w:instrText>
      </w:r>
      <w:r>
        <w:fldChar w:fldCharType="separate"/>
      </w:r>
      <w:r>
        <w:rPr>
          <w:bCs/>
          <w:szCs w:val="30"/>
        </w:rPr>
        <w:t>3.6项目变动情况</w:t>
      </w:r>
      <w:r>
        <w:tab/>
      </w:r>
      <w:r>
        <w:fldChar w:fldCharType="begin"/>
      </w:r>
      <w:r>
        <w:instrText xml:space="preserve"> PAGEREF _Toc9796 \h </w:instrText>
      </w:r>
      <w:r>
        <w:fldChar w:fldCharType="separate"/>
      </w:r>
      <w:r>
        <w:t>25</w:t>
      </w:r>
      <w:r>
        <w:fldChar w:fldCharType="end"/>
      </w:r>
      <w:r>
        <w:fldChar w:fldCharType="end"/>
      </w:r>
    </w:p>
    <w:p>
      <w:pPr>
        <w:pStyle w:val="15"/>
        <w:tabs>
          <w:tab w:val="right" w:leader="dot" w:pos="9072"/>
        </w:tabs>
      </w:pPr>
      <w:r>
        <w:fldChar w:fldCharType="begin"/>
      </w:r>
      <w:r>
        <w:instrText xml:space="preserve"> HYPERLINK \l _Toc18167 </w:instrText>
      </w:r>
      <w:r>
        <w:fldChar w:fldCharType="separate"/>
      </w:r>
      <w:r>
        <w:rPr>
          <w:rFonts w:hint="default"/>
          <w:bCs/>
          <w:szCs w:val="32"/>
        </w:rPr>
        <w:t>4环境保护设施</w:t>
      </w:r>
      <w:r>
        <w:tab/>
      </w:r>
      <w:r>
        <w:fldChar w:fldCharType="begin"/>
      </w:r>
      <w:r>
        <w:instrText xml:space="preserve"> PAGEREF _Toc18167 \h </w:instrText>
      </w:r>
      <w:r>
        <w:fldChar w:fldCharType="separate"/>
      </w:r>
      <w:r>
        <w:t>26</w:t>
      </w:r>
      <w:r>
        <w:fldChar w:fldCharType="end"/>
      </w:r>
      <w:r>
        <w:fldChar w:fldCharType="end"/>
      </w:r>
    </w:p>
    <w:p>
      <w:pPr>
        <w:pStyle w:val="17"/>
        <w:tabs>
          <w:tab w:val="right" w:leader="dot" w:pos="9072"/>
        </w:tabs>
      </w:pPr>
      <w:r>
        <w:fldChar w:fldCharType="begin"/>
      </w:r>
      <w:r>
        <w:instrText xml:space="preserve"> HYPERLINK \l _Toc3336 </w:instrText>
      </w:r>
      <w:r>
        <w:fldChar w:fldCharType="separate"/>
      </w:r>
      <w:r>
        <w:rPr>
          <w:bCs/>
          <w:szCs w:val="30"/>
        </w:rPr>
        <w:t>4.1污染物处置设施</w:t>
      </w:r>
      <w:r>
        <w:tab/>
      </w:r>
      <w:r>
        <w:fldChar w:fldCharType="begin"/>
      </w:r>
      <w:r>
        <w:instrText xml:space="preserve"> PAGEREF _Toc3336 \h </w:instrText>
      </w:r>
      <w:r>
        <w:fldChar w:fldCharType="separate"/>
      </w:r>
      <w:r>
        <w:t>26</w:t>
      </w:r>
      <w:r>
        <w:fldChar w:fldCharType="end"/>
      </w:r>
      <w:r>
        <w:fldChar w:fldCharType="end"/>
      </w:r>
    </w:p>
    <w:p>
      <w:pPr>
        <w:pStyle w:val="17"/>
        <w:tabs>
          <w:tab w:val="right" w:leader="dot" w:pos="9072"/>
        </w:tabs>
      </w:pPr>
      <w:r>
        <w:fldChar w:fldCharType="begin"/>
      </w:r>
      <w:r>
        <w:instrText xml:space="preserve"> HYPERLINK \l _Toc11202 </w:instrText>
      </w:r>
      <w:r>
        <w:fldChar w:fldCharType="separate"/>
      </w:r>
      <w:r>
        <w:rPr>
          <w:bCs/>
          <w:szCs w:val="30"/>
        </w:rPr>
        <w:t>4.2其他环境保护设施及措施</w:t>
      </w:r>
      <w:r>
        <w:tab/>
      </w:r>
      <w:r>
        <w:fldChar w:fldCharType="begin"/>
      </w:r>
      <w:r>
        <w:instrText xml:space="preserve"> PAGEREF _Toc11202 \h </w:instrText>
      </w:r>
      <w:r>
        <w:fldChar w:fldCharType="separate"/>
      </w:r>
      <w:r>
        <w:t>29</w:t>
      </w:r>
      <w:r>
        <w:fldChar w:fldCharType="end"/>
      </w:r>
      <w:r>
        <w:fldChar w:fldCharType="end"/>
      </w:r>
    </w:p>
    <w:p>
      <w:pPr>
        <w:pStyle w:val="17"/>
        <w:tabs>
          <w:tab w:val="right" w:leader="dot" w:pos="9072"/>
        </w:tabs>
      </w:pPr>
      <w:r>
        <w:fldChar w:fldCharType="begin"/>
      </w:r>
      <w:r>
        <w:instrText xml:space="preserve"> HYPERLINK \l _Toc125 </w:instrText>
      </w:r>
      <w:r>
        <w:fldChar w:fldCharType="separate"/>
      </w:r>
      <w:r>
        <w:rPr>
          <w:bCs/>
          <w:szCs w:val="30"/>
        </w:rPr>
        <w:t>4.3环保设施投资及“三同时”落实情况</w:t>
      </w:r>
      <w:r>
        <w:tab/>
      </w:r>
      <w:r>
        <w:fldChar w:fldCharType="begin"/>
      </w:r>
      <w:r>
        <w:instrText xml:space="preserve"> PAGEREF _Toc125 \h </w:instrText>
      </w:r>
      <w:r>
        <w:fldChar w:fldCharType="separate"/>
      </w:r>
      <w:r>
        <w:t>32</w:t>
      </w:r>
      <w:r>
        <w:fldChar w:fldCharType="end"/>
      </w:r>
      <w:r>
        <w:fldChar w:fldCharType="end"/>
      </w:r>
    </w:p>
    <w:p>
      <w:pPr>
        <w:pStyle w:val="15"/>
        <w:tabs>
          <w:tab w:val="right" w:leader="dot" w:pos="9072"/>
        </w:tabs>
      </w:pPr>
      <w:r>
        <w:fldChar w:fldCharType="begin"/>
      </w:r>
      <w:r>
        <w:instrText xml:space="preserve"> HYPERLINK \l _Toc9347 </w:instrText>
      </w:r>
      <w:r>
        <w:fldChar w:fldCharType="separate"/>
      </w:r>
      <w:r>
        <w:t>5建设项目</w:t>
      </w:r>
      <w:r>
        <w:rPr>
          <w:rFonts w:hint="eastAsia"/>
          <w:lang w:eastAsia="zh-CN"/>
        </w:rPr>
        <w:t>环评报告书</w:t>
      </w:r>
      <w:r>
        <w:t>的主要结论与建议及审批部门审批决定</w:t>
      </w:r>
      <w:r>
        <w:tab/>
      </w:r>
      <w:r>
        <w:fldChar w:fldCharType="begin"/>
      </w:r>
      <w:r>
        <w:instrText xml:space="preserve"> PAGEREF _Toc9347 \h </w:instrText>
      </w:r>
      <w:r>
        <w:fldChar w:fldCharType="separate"/>
      </w:r>
      <w:r>
        <w:t>37</w:t>
      </w:r>
      <w:r>
        <w:fldChar w:fldCharType="end"/>
      </w:r>
      <w:r>
        <w:fldChar w:fldCharType="end"/>
      </w:r>
    </w:p>
    <w:p>
      <w:pPr>
        <w:pStyle w:val="17"/>
        <w:tabs>
          <w:tab w:val="right" w:leader="dot" w:pos="9072"/>
        </w:tabs>
      </w:pPr>
      <w:r>
        <w:fldChar w:fldCharType="begin"/>
      </w:r>
      <w:r>
        <w:instrText xml:space="preserve"> HYPERLINK \l _Toc29440 </w:instrText>
      </w:r>
      <w:r>
        <w:fldChar w:fldCharType="separate"/>
      </w:r>
      <w:r>
        <w:t>5.1建设项目</w:t>
      </w:r>
      <w:r>
        <w:rPr>
          <w:rFonts w:hint="eastAsia"/>
          <w:lang w:eastAsia="zh-CN"/>
        </w:rPr>
        <w:t>环评报告书</w:t>
      </w:r>
      <w:r>
        <w:t>的主要结论与建议</w:t>
      </w:r>
      <w:r>
        <w:tab/>
      </w:r>
      <w:r>
        <w:fldChar w:fldCharType="begin"/>
      </w:r>
      <w:r>
        <w:instrText xml:space="preserve"> PAGEREF _Toc29440 \h </w:instrText>
      </w:r>
      <w:r>
        <w:fldChar w:fldCharType="separate"/>
      </w:r>
      <w:r>
        <w:t>37</w:t>
      </w:r>
      <w:r>
        <w:fldChar w:fldCharType="end"/>
      </w:r>
      <w:r>
        <w:fldChar w:fldCharType="end"/>
      </w:r>
    </w:p>
    <w:p>
      <w:pPr>
        <w:pStyle w:val="17"/>
        <w:tabs>
          <w:tab w:val="right" w:leader="dot" w:pos="9072"/>
        </w:tabs>
      </w:pPr>
      <w:r>
        <w:fldChar w:fldCharType="begin"/>
      </w:r>
      <w:r>
        <w:instrText xml:space="preserve"> HYPERLINK \l _Toc13395 </w:instrText>
      </w:r>
      <w:r>
        <w:fldChar w:fldCharType="separate"/>
      </w:r>
      <w:r>
        <w:t>5.2审批部门审批决定</w:t>
      </w:r>
      <w:r>
        <w:tab/>
      </w:r>
      <w:r>
        <w:fldChar w:fldCharType="begin"/>
      </w:r>
      <w:r>
        <w:instrText xml:space="preserve"> PAGEREF _Toc13395 \h </w:instrText>
      </w:r>
      <w:r>
        <w:fldChar w:fldCharType="separate"/>
      </w:r>
      <w:r>
        <w:t>38</w:t>
      </w:r>
      <w:r>
        <w:fldChar w:fldCharType="end"/>
      </w:r>
      <w:r>
        <w:fldChar w:fldCharType="end"/>
      </w:r>
    </w:p>
    <w:p>
      <w:pPr>
        <w:pStyle w:val="15"/>
        <w:tabs>
          <w:tab w:val="right" w:leader="dot" w:pos="9072"/>
        </w:tabs>
      </w:pPr>
      <w:r>
        <w:fldChar w:fldCharType="begin"/>
      </w:r>
      <w:r>
        <w:instrText xml:space="preserve"> HYPERLINK \l _Toc5287 </w:instrText>
      </w:r>
      <w:r>
        <w:fldChar w:fldCharType="separate"/>
      </w:r>
      <w:r>
        <w:rPr>
          <w:szCs w:val="32"/>
        </w:rPr>
        <w:t>6验收执行标准及总量控制指标</w:t>
      </w:r>
      <w:r>
        <w:tab/>
      </w:r>
      <w:r>
        <w:fldChar w:fldCharType="begin"/>
      </w:r>
      <w:r>
        <w:instrText xml:space="preserve"> PAGEREF _Toc5287 \h </w:instrText>
      </w:r>
      <w:r>
        <w:fldChar w:fldCharType="separate"/>
      </w:r>
      <w:r>
        <w:t>42</w:t>
      </w:r>
      <w:r>
        <w:fldChar w:fldCharType="end"/>
      </w:r>
      <w:r>
        <w:fldChar w:fldCharType="end"/>
      </w:r>
    </w:p>
    <w:p>
      <w:pPr>
        <w:pStyle w:val="17"/>
        <w:tabs>
          <w:tab w:val="right" w:leader="dot" w:pos="9072"/>
        </w:tabs>
      </w:pPr>
      <w:r>
        <w:fldChar w:fldCharType="begin"/>
      </w:r>
      <w:r>
        <w:instrText xml:space="preserve"> HYPERLINK \l _Toc18095 </w:instrText>
      </w:r>
      <w:r>
        <w:fldChar w:fldCharType="separate"/>
      </w:r>
      <w:r>
        <w:rPr>
          <w:bCs/>
          <w:szCs w:val="30"/>
        </w:rPr>
        <w:t>6.1验收执行标准</w:t>
      </w:r>
      <w:r>
        <w:tab/>
      </w:r>
      <w:r>
        <w:fldChar w:fldCharType="begin"/>
      </w:r>
      <w:r>
        <w:instrText xml:space="preserve"> PAGEREF _Toc18095 \h </w:instrText>
      </w:r>
      <w:r>
        <w:fldChar w:fldCharType="separate"/>
      </w:r>
      <w:r>
        <w:t>42</w:t>
      </w:r>
      <w:r>
        <w:fldChar w:fldCharType="end"/>
      </w:r>
      <w:r>
        <w:fldChar w:fldCharType="end"/>
      </w:r>
    </w:p>
    <w:p>
      <w:pPr>
        <w:pStyle w:val="17"/>
        <w:tabs>
          <w:tab w:val="right" w:leader="dot" w:pos="9072"/>
        </w:tabs>
      </w:pPr>
      <w:r>
        <w:fldChar w:fldCharType="begin"/>
      </w:r>
      <w:r>
        <w:instrText xml:space="preserve"> HYPERLINK \l _Toc14272 </w:instrText>
      </w:r>
      <w:r>
        <w:fldChar w:fldCharType="separate"/>
      </w:r>
      <w:r>
        <w:rPr>
          <w:bCs/>
          <w:szCs w:val="30"/>
        </w:rPr>
        <w:t>6.2污染物总量控制指标</w:t>
      </w:r>
      <w:r>
        <w:tab/>
      </w:r>
      <w:r>
        <w:fldChar w:fldCharType="begin"/>
      </w:r>
      <w:r>
        <w:instrText xml:space="preserve"> PAGEREF _Toc14272 \h </w:instrText>
      </w:r>
      <w:r>
        <w:fldChar w:fldCharType="separate"/>
      </w:r>
      <w:r>
        <w:t>43</w:t>
      </w:r>
      <w:r>
        <w:fldChar w:fldCharType="end"/>
      </w:r>
      <w:r>
        <w:fldChar w:fldCharType="end"/>
      </w:r>
    </w:p>
    <w:p>
      <w:pPr>
        <w:pStyle w:val="15"/>
        <w:tabs>
          <w:tab w:val="right" w:leader="dot" w:pos="9072"/>
        </w:tabs>
      </w:pPr>
      <w:r>
        <w:fldChar w:fldCharType="begin"/>
      </w:r>
      <w:r>
        <w:instrText xml:space="preserve"> HYPERLINK \l _Toc3714 </w:instrText>
      </w:r>
      <w:r>
        <w:fldChar w:fldCharType="separate"/>
      </w:r>
      <w:r>
        <w:rPr>
          <w:szCs w:val="32"/>
        </w:rPr>
        <w:t>7验收监测内容</w:t>
      </w:r>
      <w:r>
        <w:tab/>
      </w:r>
      <w:r>
        <w:fldChar w:fldCharType="begin"/>
      </w:r>
      <w:r>
        <w:instrText xml:space="preserve"> PAGEREF _Toc3714 \h </w:instrText>
      </w:r>
      <w:r>
        <w:fldChar w:fldCharType="separate"/>
      </w:r>
      <w:r>
        <w:t>44</w:t>
      </w:r>
      <w:r>
        <w:fldChar w:fldCharType="end"/>
      </w:r>
      <w:r>
        <w:fldChar w:fldCharType="end"/>
      </w:r>
    </w:p>
    <w:p>
      <w:pPr>
        <w:pStyle w:val="17"/>
        <w:tabs>
          <w:tab w:val="right" w:leader="dot" w:pos="9072"/>
        </w:tabs>
      </w:pPr>
      <w:r>
        <w:fldChar w:fldCharType="begin"/>
      </w:r>
      <w:r>
        <w:instrText xml:space="preserve"> HYPERLINK \l _Toc3597 </w:instrText>
      </w:r>
      <w:r>
        <w:fldChar w:fldCharType="separate"/>
      </w:r>
      <w:r>
        <w:rPr>
          <w:bCs/>
          <w:szCs w:val="30"/>
        </w:rPr>
        <w:t>7.1废水监测内容</w:t>
      </w:r>
      <w:r>
        <w:tab/>
      </w:r>
      <w:r>
        <w:fldChar w:fldCharType="begin"/>
      </w:r>
      <w:r>
        <w:instrText xml:space="preserve"> PAGEREF _Toc3597 \h </w:instrText>
      </w:r>
      <w:r>
        <w:fldChar w:fldCharType="separate"/>
      </w:r>
      <w:r>
        <w:t>44</w:t>
      </w:r>
      <w:r>
        <w:fldChar w:fldCharType="end"/>
      </w:r>
      <w:r>
        <w:fldChar w:fldCharType="end"/>
      </w:r>
    </w:p>
    <w:p>
      <w:pPr>
        <w:pStyle w:val="17"/>
        <w:tabs>
          <w:tab w:val="right" w:leader="dot" w:pos="9072"/>
        </w:tabs>
      </w:pPr>
      <w:r>
        <w:fldChar w:fldCharType="begin"/>
      </w:r>
      <w:r>
        <w:instrText xml:space="preserve"> HYPERLINK \l _Toc16103 </w:instrText>
      </w:r>
      <w:r>
        <w:fldChar w:fldCharType="separate"/>
      </w:r>
      <w:r>
        <w:rPr>
          <w:bCs/>
          <w:szCs w:val="30"/>
        </w:rPr>
        <w:t>7.2废气监测内容</w:t>
      </w:r>
      <w:r>
        <w:tab/>
      </w:r>
      <w:r>
        <w:fldChar w:fldCharType="begin"/>
      </w:r>
      <w:r>
        <w:instrText xml:space="preserve"> PAGEREF _Toc16103 \h </w:instrText>
      </w:r>
      <w:r>
        <w:fldChar w:fldCharType="separate"/>
      </w:r>
      <w:r>
        <w:t>44</w:t>
      </w:r>
      <w:r>
        <w:fldChar w:fldCharType="end"/>
      </w:r>
      <w:r>
        <w:fldChar w:fldCharType="end"/>
      </w:r>
    </w:p>
    <w:p>
      <w:pPr>
        <w:pStyle w:val="17"/>
        <w:tabs>
          <w:tab w:val="right" w:leader="dot" w:pos="9072"/>
        </w:tabs>
      </w:pPr>
      <w:r>
        <w:fldChar w:fldCharType="begin"/>
      </w:r>
      <w:r>
        <w:instrText xml:space="preserve"> HYPERLINK \l _Toc11546 </w:instrText>
      </w:r>
      <w:r>
        <w:fldChar w:fldCharType="separate"/>
      </w:r>
      <w:r>
        <w:rPr>
          <w:bCs/>
          <w:szCs w:val="30"/>
        </w:rPr>
        <w:t>7.3噪声监测内容</w:t>
      </w:r>
      <w:r>
        <w:tab/>
      </w:r>
      <w:r>
        <w:fldChar w:fldCharType="begin"/>
      </w:r>
      <w:r>
        <w:instrText xml:space="preserve"> PAGEREF _Toc11546 \h </w:instrText>
      </w:r>
      <w:r>
        <w:fldChar w:fldCharType="separate"/>
      </w:r>
      <w:r>
        <w:t>44</w:t>
      </w:r>
      <w:r>
        <w:fldChar w:fldCharType="end"/>
      </w:r>
      <w:r>
        <w:fldChar w:fldCharType="end"/>
      </w:r>
    </w:p>
    <w:p>
      <w:pPr>
        <w:pStyle w:val="17"/>
        <w:tabs>
          <w:tab w:val="right" w:leader="dot" w:pos="9072"/>
        </w:tabs>
      </w:pPr>
      <w:r>
        <w:fldChar w:fldCharType="begin"/>
      </w:r>
      <w:r>
        <w:instrText xml:space="preserve"> HYPERLINK \l _Toc29355 </w:instrText>
      </w:r>
      <w:r>
        <w:fldChar w:fldCharType="separate"/>
      </w:r>
      <w:r>
        <w:rPr>
          <w:bCs/>
          <w:szCs w:val="30"/>
        </w:rPr>
        <w:t>7.4固体废物监测内容</w:t>
      </w:r>
      <w:r>
        <w:tab/>
      </w:r>
      <w:r>
        <w:fldChar w:fldCharType="begin"/>
      </w:r>
      <w:r>
        <w:instrText xml:space="preserve"> PAGEREF _Toc29355 \h </w:instrText>
      </w:r>
      <w:r>
        <w:fldChar w:fldCharType="separate"/>
      </w:r>
      <w:r>
        <w:t>45</w:t>
      </w:r>
      <w:r>
        <w:fldChar w:fldCharType="end"/>
      </w:r>
      <w:r>
        <w:fldChar w:fldCharType="end"/>
      </w:r>
    </w:p>
    <w:p>
      <w:pPr>
        <w:pStyle w:val="17"/>
        <w:tabs>
          <w:tab w:val="right" w:leader="dot" w:pos="9072"/>
        </w:tabs>
      </w:pPr>
      <w:r>
        <w:fldChar w:fldCharType="begin"/>
      </w:r>
      <w:r>
        <w:instrText xml:space="preserve"> HYPERLINK \l _Toc31274 </w:instrText>
      </w:r>
      <w:r>
        <w:fldChar w:fldCharType="separate"/>
      </w:r>
      <w:r>
        <w:rPr>
          <w:bCs/>
          <w:szCs w:val="30"/>
        </w:rPr>
        <w:t>7.5监测点位图</w:t>
      </w:r>
      <w:r>
        <w:tab/>
      </w:r>
      <w:r>
        <w:fldChar w:fldCharType="begin"/>
      </w:r>
      <w:r>
        <w:instrText xml:space="preserve"> PAGEREF _Toc31274 \h </w:instrText>
      </w:r>
      <w:r>
        <w:fldChar w:fldCharType="separate"/>
      </w:r>
      <w:r>
        <w:t>45</w:t>
      </w:r>
      <w:r>
        <w:fldChar w:fldCharType="end"/>
      </w:r>
      <w:r>
        <w:fldChar w:fldCharType="end"/>
      </w:r>
    </w:p>
    <w:p>
      <w:pPr>
        <w:pStyle w:val="15"/>
        <w:tabs>
          <w:tab w:val="right" w:leader="dot" w:pos="9072"/>
        </w:tabs>
      </w:pPr>
      <w:r>
        <w:fldChar w:fldCharType="begin"/>
      </w:r>
      <w:r>
        <w:instrText xml:space="preserve"> HYPERLINK \l _Toc266 </w:instrText>
      </w:r>
      <w:r>
        <w:fldChar w:fldCharType="separate"/>
      </w:r>
      <w:r>
        <w:rPr>
          <w:szCs w:val="32"/>
        </w:rPr>
        <w:t>8质量控制和质量保证</w:t>
      </w:r>
      <w:r>
        <w:tab/>
      </w:r>
      <w:r>
        <w:fldChar w:fldCharType="begin"/>
      </w:r>
      <w:r>
        <w:instrText xml:space="preserve"> PAGEREF _Toc266 \h </w:instrText>
      </w:r>
      <w:r>
        <w:fldChar w:fldCharType="separate"/>
      </w:r>
      <w:r>
        <w:t>46</w:t>
      </w:r>
      <w:r>
        <w:fldChar w:fldCharType="end"/>
      </w:r>
      <w:r>
        <w:fldChar w:fldCharType="end"/>
      </w:r>
    </w:p>
    <w:p>
      <w:pPr>
        <w:pStyle w:val="17"/>
        <w:tabs>
          <w:tab w:val="right" w:leader="dot" w:pos="9072"/>
        </w:tabs>
      </w:pPr>
      <w:r>
        <w:fldChar w:fldCharType="begin"/>
      </w:r>
      <w:r>
        <w:instrText xml:space="preserve"> HYPERLINK \l _Toc25217 </w:instrText>
      </w:r>
      <w:r>
        <w:fldChar w:fldCharType="separate"/>
      </w:r>
      <w:r>
        <w:rPr>
          <w:bCs/>
          <w:kern w:val="44"/>
          <w:szCs w:val="30"/>
        </w:rPr>
        <w:t>8.</w:t>
      </w:r>
      <w:r>
        <w:rPr>
          <w:rFonts w:hint="eastAsia"/>
          <w:bCs/>
          <w:kern w:val="44"/>
          <w:szCs w:val="30"/>
          <w:lang w:val="en-US" w:eastAsia="zh-CN"/>
        </w:rPr>
        <w:t>1</w:t>
      </w:r>
      <w:r>
        <w:rPr>
          <w:bCs/>
          <w:kern w:val="44"/>
          <w:szCs w:val="30"/>
        </w:rPr>
        <w:t>人员资质</w:t>
      </w:r>
      <w:r>
        <w:tab/>
      </w:r>
      <w:r>
        <w:fldChar w:fldCharType="begin"/>
      </w:r>
      <w:r>
        <w:instrText xml:space="preserve"> PAGEREF _Toc25217 \h </w:instrText>
      </w:r>
      <w:r>
        <w:fldChar w:fldCharType="separate"/>
      </w:r>
      <w:r>
        <w:t>46</w:t>
      </w:r>
      <w:r>
        <w:fldChar w:fldCharType="end"/>
      </w:r>
      <w:r>
        <w:fldChar w:fldCharType="end"/>
      </w:r>
    </w:p>
    <w:p>
      <w:pPr>
        <w:pStyle w:val="15"/>
        <w:tabs>
          <w:tab w:val="right" w:leader="dot" w:pos="9072"/>
        </w:tabs>
      </w:pPr>
      <w:r>
        <w:fldChar w:fldCharType="begin"/>
      </w:r>
      <w:r>
        <w:instrText xml:space="preserve"> HYPERLINK \l _Toc12617 </w:instrText>
      </w:r>
      <w:r>
        <w:fldChar w:fldCharType="separate"/>
      </w:r>
      <w:r>
        <w:rPr>
          <w:szCs w:val="32"/>
        </w:rPr>
        <w:t>9.验收监测结果</w:t>
      </w:r>
      <w:r>
        <w:tab/>
      </w:r>
      <w:r>
        <w:fldChar w:fldCharType="begin"/>
      </w:r>
      <w:r>
        <w:instrText xml:space="preserve"> PAGEREF _Toc12617 \h </w:instrText>
      </w:r>
      <w:r>
        <w:fldChar w:fldCharType="separate"/>
      </w:r>
      <w:r>
        <w:t>47</w:t>
      </w:r>
      <w:r>
        <w:fldChar w:fldCharType="end"/>
      </w:r>
      <w:r>
        <w:fldChar w:fldCharType="end"/>
      </w:r>
    </w:p>
    <w:p>
      <w:pPr>
        <w:pStyle w:val="17"/>
        <w:tabs>
          <w:tab w:val="right" w:leader="dot" w:pos="9072"/>
        </w:tabs>
      </w:pPr>
      <w:r>
        <w:fldChar w:fldCharType="begin"/>
      </w:r>
      <w:r>
        <w:instrText xml:space="preserve"> HYPERLINK \l _Toc11036 </w:instrText>
      </w:r>
      <w:r>
        <w:fldChar w:fldCharType="separate"/>
      </w:r>
      <w:r>
        <w:rPr>
          <w:bCs/>
          <w:szCs w:val="30"/>
        </w:rPr>
        <w:t>9.1生产工况</w:t>
      </w:r>
      <w:r>
        <w:tab/>
      </w:r>
      <w:r>
        <w:fldChar w:fldCharType="begin"/>
      </w:r>
      <w:r>
        <w:instrText xml:space="preserve"> PAGEREF _Toc11036 \h </w:instrText>
      </w:r>
      <w:r>
        <w:fldChar w:fldCharType="separate"/>
      </w:r>
      <w:r>
        <w:t>47</w:t>
      </w:r>
      <w:r>
        <w:fldChar w:fldCharType="end"/>
      </w:r>
      <w:r>
        <w:fldChar w:fldCharType="end"/>
      </w:r>
    </w:p>
    <w:p>
      <w:pPr>
        <w:pStyle w:val="17"/>
        <w:tabs>
          <w:tab w:val="right" w:leader="dot" w:pos="9072"/>
        </w:tabs>
      </w:pPr>
      <w:r>
        <w:fldChar w:fldCharType="begin"/>
      </w:r>
      <w:r>
        <w:instrText xml:space="preserve"> HYPERLINK \l _Toc3089 </w:instrText>
      </w:r>
      <w:r>
        <w:fldChar w:fldCharType="separate"/>
      </w:r>
      <w:r>
        <w:rPr>
          <w:bCs/>
          <w:szCs w:val="30"/>
        </w:rPr>
        <w:t>9.2环保设施运行效果</w:t>
      </w:r>
      <w:r>
        <w:tab/>
      </w:r>
      <w:r>
        <w:fldChar w:fldCharType="begin"/>
      </w:r>
      <w:r>
        <w:instrText xml:space="preserve"> PAGEREF _Toc3089 \h </w:instrText>
      </w:r>
      <w:r>
        <w:fldChar w:fldCharType="separate"/>
      </w:r>
      <w:r>
        <w:t>47</w:t>
      </w:r>
      <w:r>
        <w:fldChar w:fldCharType="end"/>
      </w:r>
      <w:r>
        <w:fldChar w:fldCharType="end"/>
      </w:r>
    </w:p>
    <w:p>
      <w:pPr>
        <w:pStyle w:val="17"/>
        <w:tabs>
          <w:tab w:val="right" w:leader="dot" w:pos="9072"/>
        </w:tabs>
      </w:pPr>
      <w:r>
        <w:fldChar w:fldCharType="begin"/>
      </w:r>
      <w:r>
        <w:instrText xml:space="preserve"> HYPERLINK \l _Toc15129 </w:instrText>
      </w:r>
      <w:r>
        <w:fldChar w:fldCharType="separate"/>
      </w:r>
      <w:r>
        <w:rPr>
          <w:rFonts w:hint="eastAsia"/>
          <w:bCs/>
          <w:szCs w:val="30"/>
          <w:lang w:val="en-US" w:eastAsia="zh-CN"/>
        </w:rPr>
        <w:t>9.4</w:t>
      </w:r>
      <w:r>
        <w:rPr>
          <w:bCs/>
          <w:szCs w:val="30"/>
        </w:rPr>
        <w:t>污染物排放</w:t>
      </w:r>
      <w:r>
        <w:rPr>
          <w:rFonts w:hint="eastAsia"/>
          <w:bCs/>
          <w:szCs w:val="30"/>
        </w:rPr>
        <w:t>总量</w:t>
      </w:r>
      <w:r>
        <w:rPr>
          <w:bCs/>
          <w:szCs w:val="30"/>
        </w:rPr>
        <w:t>核算</w:t>
      </w:r>
      <w:r>
        <w:tab/>
      </w:r>
      <w:r>
        <w:fldChar w:fldCharType="begin"/>
      </w:r>
      <w:r>
        <w:instrText xml:space="preserve"> PAGEREF _Toc15129 \h </w:instrText>
      </w:r>
      <w:r>
        <w:fldChar w:fldCharType="separate"/>
      </w:r>
      <w:r>
        <w:t>54</w:t>
      </w:r>
      <w:r>
        <w:fldChar w:fldCharType="end"/>
      </w:r>
      <w:r>
        <w:fldChar w:fldCharType="end"/>
      </w:r>
    </w:p>
    <w:p>
      <w:pPr>
        <w:pStyle w:val="15"/>
        <w:tabs>
          <w:tab w:val="right" w:leader="dot" w:pos="9072"/>
        </w:tabs>
      </w:pPr>
      <w:r>
        <w:fldChar w:fldCharType="begin"/>
      </w:r>
      <w:r>
        <w:instrText xml:space="preserve"> HYPERLINK \l _Toc16571 </w:instrText>
      </w:r>
      <w:r>
        <w:fldChar w:fldCharType="separate"/>
      </w:r>
      <w:r>
        <w:rPr>
          <w:szCs w:val="32"/>
        </w:rPr>
        <w:t>1</w:t>
      </w:r>
      <w:r>
        <w:rPr>
          <w:rFonts w:hint="eastAsia"/>
          <w:szCs w:val="32"/>
          <w:lang w:val="en-US" w:eastAsia="zh-CN"/>
        </w:rPr>
        <w:t>0</w:t>
      </w:r>
      <w:r>
        <w:rPr>
          <w:szCs w:val="32"/>
        </w:rPr>
        <w:t>验收监测结论</w:t>
      </w:r>
      <w:r>
        <w:tab/>
      </w:r>
      <w:r>
        <w:fldChar w:fldCharType="begin"/>
      </w:r>
      <w:r>
        <w:instrText xml:space="preserve"> PAGEREF _Toc16571 \h </w:instrText>
      </w:r>
      <w:r>
        <w:fldChar w:fldCharType="separate"/>
      </w:r>
      <w:r>
        <w:t>55</w:t>
      </w:r>
      <w:r>
        <w:fldChar w:fldCharType="end"/>
      </w:r>
      <w:r>
        <w:fldChar w:fldCharType="end"/>
      </w:r>
    </w:p>
    <w:p>
      <w:pPr>
        <w:pStyle w:val="17"/>
        <w:tabs>
          <w:tab w:val="right" w:leader="dot" w:pos="9072"/>
        </w:tabs>
      </w:pPr>
      <w:r>
        <w:fldChar w:fldCharType="begin"/>
      </w:r>
      <w:r>
        <w:instrText xml:space="preserve"> HYPERLINK \l _Toc7765 </w:instrText>
      </w:r>
      <w:r>
        <w:fldChar w:fldCharType="separate"/>
      </w:r>
      <w:r>
        <w:rPr>
          <w:bCs/>
          <w:szCs w:val="30"/>
        </w:rPr>
        <w:t>1</w:t>
      </w:r>
      <w:r>
        <w:rPr>
          <w:rFonts w:hint="eastAsia"/>
          <w:bCs/>
          <w:szCs w:val="30"/>
          <w:lang w:val="en-US" w:eastAsia="zh-CN"/>
        </w:rPr>
        <w:t>0</w:t>
      </w:r>
      <w:r>
        <w:rPr>
          <w:bCs/>
          <w:szCs w:val="30"/>
        </w:rPr>
        <w:t>.1环保设施处理效率监测结果</w:t>
      </w:r>
      <w:r>
        <w:tab/>
      </w:r>
      <w:r>
        <w:fldChar w:fldCharType="begin"/>
      </w:r>
      <w:r>
        <w:instrText xml:space="preserve"> PAGEREF _Toc7765 \h </w:instrText>
      </w:r>
      <w:r>
        <w:fldChar w:fldCharType="separate"/>
      </w:r>
      <w:r>
        <w:t>55</w:t>
      </w:r>
      <w:r>
        <w:fldChar w:fldCharType="end"/>
      </w:r>
      <w:r>
        <w:fldChar w:fldCharType="end"/>
      </w:r>
    </w:p>
    <w:p>
      <w:pPr>
        <w:pStyle w:val="17"/>
        <w:tabs>
          <w:tab w:val="right" w:leader="dot" w:pos="9072"/>
        </w:tabs>
      </w:pPr>
      <w:r>
        <w:fldChar w:fldCharType="begin"/>
      </w:r>
      <w:r>
        <w:instrText xml:space="preserve"> HYPERLINK \l _Toc1522 </w:instrText>
      </w:r>
      <w:r>
        <w:fldChar w:fldCharType="separate"/>
      </w:r>
      <w:r>
        <w:rPr>
          <w:bCs/>
          <w:szCs w:val="30"/>
        </w:rPr>
        <w:t>1</w:t>
      </w:r>
      <w:r>
        <w:rPr>
          <w:rFonts w:hint="eastAsia"/>
          <w:bCs/>
          <w:szCs w:val="30"/>
          <w:lang w:val="en-US" w:eastAsia="zh-CN"/>
        </w:rPr>
        <w:t>0</w:t>
      </w:r>
      <w:r>
        <w:rPr>
          <w:bCs/>
          <w:szCs w:val="30"/>
        </w:rPr>
        <w:t>.2污染物排放监测（检查）结果</w:t>
      </w:r>
      <w:r>
        <w:tab/>
      </w:r>
      <w:r>
        <w:fldChar w:fldCharType="begin"/>
      </w:r>
      <w:r>
        <w:instrText xml:space="preserve"> PAGEREF _Toc1522 \h </w:instrText>
      </w:r>
      <w:r>
        <w:fldChar w:fldCharType="separate"/>
      </w:r>
      <w:r>
        <w:t>55</w:t>
      </w:r>
      <w:r>
        <w:fldChar w:fldCharType="end"/>
      </w:r>
      <w:r>
        <w:fldChar w:fldCharType="end"/>
      </w:r>
    </w:p>
    <w:p>
      <w:pPr>
        <w:pStyle w:val="17"/>
        <w:tabs>
          <w:tab w:val="right" w:leader="dot" w:pos="9072"/>
        </w:tabs>
      </w:pPr>
      <w:r>
        <w:fldChar w:fldCharType="begin"/>
      </w:r>
      <w:r>
        <w:instrText xml:space="preserve"> HYPERLINK \l _Toc10768 </w:instrText>
      </w:r>
      <w:r>
        <w:fldChar w:fldCharType="separate"/>
      </w:r>
      <w:r>
        <w:rPr>
          <w:rFonts w:hint="eastAsia"/>
          <w:lang w:val="en-US" w:eastAsia="zh-CN"/>
        </w:rPr>
        <w:t>10</w:t>
      </w:r>
      <w:r>
        <w:rPr>
          <w:lang w:val="en-US" w:eastAsia="zh-CN"/>
        </w:rPr>
        <w:t>.</w:t>
      </w:r>
      <w:r>
        <w:rPr>
          <w:rFonts w:hint="eastAsia"/>
          <w:lang w:val="en-US" w:eastAsia="zh-CN"/>
        </w:rPr>
        <w:t>3环境质量监测结果</w:t>
      </w:r>
      <w:r>
        <w:tab/>
      </w:r>
      <w:r>
        <w:fldChar w:fldCharType="begin"/>
      </w:r>
      <w:r>
        <w:instrText xml:space="preserve"> PAGEREF _Toc10768 \h </w:instrText>
      </w:r>
      <w:r>
        <w:fldChar w:fldCharType="separate"/>
      </w:r>
      <w:r>
        <w:t>56</w:t>
      </w:r>
      <w:r>
        <w:fldChar w:fldCharType="end"/>
      </w:r>
      <w:r>
        <w:fldChar w:fldCharType="end"/>
      </w:r>
    </w:p>
    <w:p>
      <w:pPr>
        <w:pStyle w:val="17"/>
        <w:tabs>
          <w:tab w:val="right" w:leader="dot" w:pos="9072"/>
        </w:tabs>
      </w:pPr>
      <w:r>
        <w:fldChar w:fldCharType="begin"/>
      </w:r>
      <w:r>
        <w:instrText xml:space="preserve"> HYPERLINK \l _Toc22601 </w:instrText>
      </w:r>
      <w:r>
        <w:fldChar w:fldCharType="separate"/>
      </w:r>
      <w:r>
        <w:rPr>
          <w:bCs/>
          <w:szCs w:val="30"/>
        </w:rPr>
        <w:t>1</w:t>
      </w:r>
      <w:r>
        <w:rPr>
          <w:rFonts w:hint="eastAsia"/>
          <w:bCs/>
          <w:szCs w:val="30"/>
          <w:lang w:val="en-US" w:eastAsia="zh-CN"/>
        </w:rPr>
        <w:t>0</w:t>
      </w:r>
      <w:r>
        <w:rPr>
          <w:bCs/>
          <w:szCs w:val="30"/>
        </w:rPr>
        <w:t>.</w:t>
      </w:r>
      <w:r>
        <w:rPr>
          <w:rFonts w:hint="eastAsia"/>
          <w:bCs/>
          <w:szCs w:val="30"/>
          <w:lang w:val="en-US" w:eastAsia="zh-CN"/>
        </w:rPr>
        <w:t>4</w:t>
      </w:r>
      <w:r>
        <w:rPr>
          <w:bCs/>
          <w:szCs w:val="30"/>
        </w:rPr>
        <w:t>结论</w:t>
      </w:r>
      <w:r>
        <w:tab/>
      </w:r>
      <w:r>
        <w:fldChar w:fldCharType="begin"/>
      </w:r>
      <w:r>
        <w:instrText xml:space="preserve"> PAGEREF _Toc22601 \h </w:instrText>
      </w:r>
      <w:r>
        <w:fldChar w:fldCharType="separate"/>
      </w:r>
      <w:r>
        <w:t>56</w:t>
      </w:r>
      <w:r>
        <w:fldChar w:fldCharType="end"/>
      </w:r>
      <w:r>
        <w:fldChar w:fldCharType="end"/>
      </w:r>
    </w:p>
    <w:p>
      <w:pPr>
        <w:pStyle w:val="17"/>
        <w:tabs>
          <w:tab w:val="right" w:leader="dot" w:pos="9072"/>
        </w:tabs>
      </w:pPr>
      <w:r>
        <w:fldChar w:fldCharType="begin"/>
      </w:r>
      <w:r>
        <w:instrText xml:space="preserve"> HYPERLINK \l _Toc15252 </w:instrText>
      </w:r>
      <w:r>
        <w:fldChar w:fldCharType="separate"/>
      </w:r>
      <w:r>
        <w:rPr>
          <w:bCs/>
          <w:szCs w:val="30"/>
        </w:rPr>
        <w:t>1</w:t>
      </w:r>
      <w:r>
        <w:rPr>
          <w:rFonts w:hint="eastAsia"/>
          <w:bCs/>
          <w:szCs w:val="30"/>
          <w:lang w:val="en-US" w:eastAsia="zh-CN"/>
        </w:rPr>
        <w:t>0</w:t>
      </w:r>
      <w:r>
        <w:rPr>
          <w:bCs/>
          <w:szCs w:val="30"/>
        </w:rPr>
        <w:t>.</w:t>
      </w:r>
      <w:r>
        <w:rPr>
          <w:rFonts w:hint="eastAsia"/>
          <w:bCs/>
          <w:szCs w:val="30"/>
          <w:lang w:val="en-US" w:eastAsia="zh-CN"/>
        </w:rPr>
        <w:t>5</w:t>
      </w:r>
      <w:r>
        <w:rPr>
          <w:bCs/>
          <w:szCs w:val="30"/>
        </w:rPr>
        <w:t>建议</w:t>
      </w:r>
      <w:r>
        <w:tab/>
      </w:r>
      <w:r>
        <w:fldChar w:fldCharType="begin"/>
      </w:r>
      <w:r>
        <w:instrText xml:space="preserve"> PAGEREF _Toc15252 \h </w:instrText>
      </w:r>
      <w:r>
        <w:fldChar w:fldCharType="separate"/>
      </w:r>
      <w:r>
        <w:t>56</w:t>
      </w:r>
      <w:r>
        <w:fldChar w:fldCharType="end"/>
      </w:r>
      <w:r>
        <w:fldChar w:fldCharType="end"/>
      </w:r>
    </w:p>
    <w:p>
      <w:pPr>
        <w:pStyle w:val="15"/>
        <w:tabs>
          <w:tab w:val="right" w:leader="dot" w:pos="8416"/>
        </w:tabs>
        <w:ind w:firstLine="140" w:firstLineChars="50"/>
        <w:rPr>
          <w:sz w:val="22"/>
        </w:rPr>
        <w:sectPr>
          <w:headerReference r:id="rId15" w:type="default"/>
          <w:footerReference r:id="rId16" w:type="default"/>
          <w:pgSz w:w="11906" w:h="16838"/>
          <w:pgMar w:top="1134" w:right="1417" w:bottom="1134" w:left="1417" w:header="850" w:footer="850" w:gutter="0"/>
          <w:pgBorders>
            <w:top w:val="none" w:sz="0" w:space="0"/>
            <w:left w:val="none" w:sz="0" w:space="0"/>
            <w:bottom w:val="none" w:sz="0" w:space="0"/>
            <w:right w:val="none" w:sz="0" w:space="0"/>
          </w:pgBorders>
          <w:cols w:space="720" w:num="1"/>
          <w:docGrid w:type="lines" w:linePitch="416" w:charSpace="0"/>
        </w:sectPr>
      </w:pPr>
      <w:r>
        <w:fldChar w:fldCharType="end"/>
      </w:r>
    </w:p>
    <w:p>
      <w:pPr>
        <w:wordWrap w:val="0"/>
        <w:topLinePunct/>
        <w:spacing w:line="348" w:lineRule="auto"/>
        <w:ind w:firstLine="0" w:firstLineChars="0"/>
        <w:rPr>
          <w:b/>
          <w:bCs/>
          <w:szCs w:val="28"/>
        </w:rPr>
      </w:pPr>
      <w:r>
        <w:rPr>
          <w:b/>
          <w:bCs/>
          <w:szCs w:val="28"/>
        </w:rPr>
        <w:t>附表</w:t>
      </w:r>
    </w:p>
    <w:p>
      <w:pPr>
        <w:wordWrap w:val="0"/>
        <w:topLinePunct/>
        <w:spacing w:line="348" w:lineRule="auto"/>
        <w:ind w:firstLine="480"/>
        <w:rPr>
          <w:sz w:val="24"/>
          <w:szCs w:val="24"/>
        </w:rPr>
      </w:pPr>
      <w:r>
        <w:rPr>
          <w:sz w:val="24"/>
          <w:szCs w:val="24"/>
        </w:rPr>
        <w:fldChar w:fldCharType="begin"/>
      </w:r>
      <w:r>
        <w:rPr>
          <w:sz w:val="24"/>
          <w:szCs w:val="24"/>
        </w:rPr>
        <w:instrText xml:space="preserve"> HYPERLINK \l _Toc31287 </w:instrText>
      </w:r>
      <w:r>
        <w:rPr>
          <w:sz w:val="24"/>
          <w:szCs w:val="24"/>
        </w:rPr>
        <w:fldChar w:fldCharType="separate"/>
      </w:r>
      <w:r>
        <w:rPr>
          <w:sz w:val="24"/>
          <w:szCs w:val="24"/>
        </w:rPr>
        <w:t>附表1  建设项目工程竣工环境保护“三同时”验收登记表</w:t>
      </w:r>
      <w:r>
        <w:rPr>
          <w:sz w:val="24"/>
          <w:szCs w:val="24"/>
        </w:rPr>
        <w:fldChar w:fldCharType="end"/>
      </w:r>
    </w:p>
    <w:p>
      <w:pPr>
        <w:wordWrap w:val="0"/>
        <w:topLinePunct/>
        <w:spacing w:line="348" w:lineRule="auto"/>
        <w:ind w:left="-14" w:leftChars="-5" w:firstLine="0" w:firstLineChars="0"/>
        <w:rPr>
          <w:b/>
          <w:bCs/>
          <w:szCs w:val="28"/>
        </w:rPr>
      </w:pPr>
      <w:r>
        <w:rPr>
          <w:b/>
          <w:bCs/>
          <w:szCs w:val="28"/>
        </w:rPr>
        <w:t>附图</w:t>
      </w:r>
    </w:p>
    <w:p>
      <w:pPr>
        <w:wordWrap w:val="0"/>
        <w:topLinePunct/>
        <w:spacing w:line="348" w:lineRule="auto"/>
        <w:ind w:firstLine="480"/>
        <w:rPr>
          <w:sz w:val="24"/>
          <w:szCs w:val="24"/>
        </w:rPr>
      </w:pPr>
      <w:r>
        <w:rPr>
          <w:sz w:val="24"/>
          <w:szCs w:val="24"/>
        </w:rPr>
        <w:t>附图1  项目地理位置图</w:t>
      </w:r>
    </w:p>
    <w:p>
      <w:pPr>
        <w:wordWrap w:val="0"/>
        <w:topLinePunct/>
        <w:spacing w:line="348" w:lineRule="auto"/>
        <w:ind w:firstLine="480"/>
        <w:rPr>
          <w:sz w:val="24"/>
          <w:szCs w:val="24"/>
        </w:rPr>
      </w:pPr>
      <w:r>
        <w:rPr>
          <w:sz w:val="24"/>
          <w:szCs w:val="24"/>
        </w:rPr>
        <w:t>附图2  项目总平面布置图</w:t>
      </w:r>
    </w:p>
    <w:p>
      <w:pPr>
        <w:wordWrap w:val="0"/>
        <w:topLinePunct/>
        <w:spacing w:line="348" w:lineRule="auto"/>
        <w:ind w:firstLine="480"/>
        <w:rPr>
          <w:sz w:val="24"/>
          <w:szCs w:val="24"/>
        </w:rPr>
      </w:pPr>
      <w:r>
        <w:rPr>
          <w:sz w:val="24"/>
          <w:szCs w:val="24"/>
        </w:rPr>
        <w:t>附图3  项目外环境关系图</w:t>
      </w:r>
    </w:p>
    <w:p>
      <w:pPr>
        <w:wordWrap w:val="0"/>
        <w:topLinePunct/>
        <w:spacing w:line="348" w:lineRule="auto"/>
        <w:ind w:firstLine="480"/>
        <w:rPr>
          <w:sz w:val="24"/>
          <w:szCs w:val="24"/>
        </w:rPr>
      </w:pPr>
      <w:r>
        <w:rPr>
          <w:sz w:val="24"/>
          <w:szCs w:val="24"/>
        </w:rPr>
        <w:t xml:space="preserve">附图4  项目监测点位布置图 </w:t>
      </w:r>
    </w:p>
    <w:p>
      <w:pPr>
        <w:wordWrap w:val="0"/>
        <w:topLinePunct/>
        <w:spacing w:line="348" w:lineRule="auto"/>
        <w:ind w:firstLine="0" w:firstLineChars="0"/>
        <w:rPr>
          <w:szCs w:val="28"/>
        </w:rPr>
      </w:pPr>
      <w:r>
        <w:rPr>
          <w:b/>
          <w:bCs/>
          <w:szCs w:val="28"/>
        </w:rPr>
        <w:t>附件</w:t>
      </w:r>
    </w:p>
    <w:p>
      <w:pPr>
        <w:pStyle w:val="17"/>
        <w:tabs>
          <w:tab w:val="right" w:leader="dot" w:pos="8426"/>
        </w:tabs>
        <w:wordWrap w:val="0"/>
        <w:topLinePunct/>
        <w:spacing w:line="348" w:lineRule="auto"/>
        <w:ind w:left="560"/>
        <w:rPr>
          <w:rFonts w:hint="eastAsia" w:eastAsia="宋体"/>
          <w:sz w:val="24"/>
          <w:szCs w:val="24"/>
          <w:lang w:eastAsia="zh-CN"/>
        </w:rPr>
      </w:pPr>
      <w:r>
        <w:rPr>
          <w:sz w:val="24"/>
          <w:szCs w:val="24"/>
        </w:rPr>
        <w:t>附件1  建设项目</w:t>
      </w:r>
      <w:r>
        <w:rPr>
          <w:rFonts w:hint="eastAsia"/>
          <w:sz w:val="24"/>
          <w:szCs w:val="24"/>
          <w:lang w:eastAsia="zh-CN"/>
        </w:rPr>
        <w:t>立项资料</w:t>
      </w:r>
    </w:p>
    <w:p>
      <w:pPr>
        <w:pStyle w:val="17"/>
        <w:tabs>
          <w:tab w:val="right" w:leader="dot" w:pos="8426"/>
        </w:tabs>
        <w:wordWrap w:val="0"/>
        <w:topLinePunct/>
        <w:spacing w:line="348" w:lineRule="auto"/>
        <w:ind w:left="560"/>
        <w:rPr>
          <w:sz w:val="24"/>
          <w:szCs w:val="24"/>
        </w:rPr>
      </w:pPr>
      <w:r>
        <w:rPr>
          <w:sz w:val="24"/>
          <w:szCs w:val="24"/>
        </w:rPr>
        <w:t>附件2  建设项目环评批复</w:t>
      </w:r>
    </w:p>
    <w:p>
      <w:pPr>
        <w:pStyle w:val="17"/>
        <w:tabs>
          <w:tab w:val="right" w:leader="dot" w:pos="8426"/>
        </w:tabs>
        <w:wordWrap w:val="0"/>
        <w:topLinePunct/>
        <w:spacing w:line="348" w:lineRule="auto"/>
        <w:ind w:left="560"/>
      </w:pPr>
      <w:r>
        <w:rPr>
          <w:sz w:val="24"/>
          <w:szCs w:val="24"/>
        </w:rPr>
        <w:fldChar w:fldCharType="begin"/>
      </w:r>
      <w:r>
        <w:rPr>
          <w:sz w:val="24"/>
          <w:szCs w:val="24"/>
        </w:rPr>
        <w:instrText xml:space="preserve"> HYPERLINK \l _Toc31287 </w:instrText>
      </w:r>
      <w:r>
        <w:rPr>
          <w:sz w:val="24"/>
          <w:szCs w:val="24"/>
        </w:rPr>
        <w:fldChar w:fldCharType="separate"/>
      </w:r>
      <w:r>
        <w:rPr>
          <w:sz w:val="24"/>
          <w:szCs w:val="24"/>
        </w:rPr>
        <w:t>附件3</w:t>
      </w:r>
      <w:r>
        <w:rPr>
          <w:sz w:val="24"/>
          <w:szCs w:val="24"/>
        </w:rPr>
        <w:fldChar w:fldCharType="end"/>
      </w:r>
      <w:r>
        <w:rPr>
          <w:sz w:val="24"/>
          <w:szCs w:val="24"/>
        </w:rPr>
        <w:t xml:space="preserve">  排污口意见设置的函</w:t>
      </w:r>
    </w:p>
    <w:p>
      <w:pPr>
        <w:pStyle w:val="17"/>
        <w:tabs>
          <w:tab w:val="right" w:leader="dot" w:pos="8426"/>
        </w:tabs>
        <w:wordWrap w:val="0"/>
        <w:topLinePunct/>
        <w:spacing w:line="348" w:lineRule="auto"/>
        <w:ind w:left="560"/>
        <w:rPr>
          <w:sz w:val="24"/>
          <w:szCs w:val="24"/>
        </w:rPr>
      </w:pPr>
      <w:r>
        <w:rPr>
          <w:sz w:val="24"/>
          <w:szCs w:val="24"/>
        </w:rPr>
        <w:fldChar w:fldCharType="begin"/>
      </w:r>
      <w:r>
        <w:rPr>
          <w:sz w:val="24"/>
          <w:szCs w:val="24"/>
        </w:rPr>
        <w:instrText xml:space="preserve"> HYPERLINK \l _Toc31287 </w:instrText>
      </w:r>
      <w:r>
        <w:rPr>
          <w:sz w:val="24"/>
          <w:szCs w:val="24"/>
        </w:rPr>
        <w:fldChar w:fldCharType="separate"/>
      </w:r>
      <w:r>
        <w:rPr>
          <w:sz w:val="24"/>
          <w:szCs w:val="24"/>
        </w:rPr>
        <w:t>附件4</w:t>
      </w:r>
      <w:r>
        <w:rPr>
          <w:sz w:val="24"/>
          <w:szCs w:val="24"/>
        </w:rPr>
        <w:fldChar w:fldCharType="end"/>
      </w:r>
      <w:r>
        <w:rPr>
          <w:sz w:val="24"/>
          <w:szCs w:val="24"/>
        </w:rPr>
        <w:t xml:space="preserve">  排污</w:t>
      </w:r>
      <w:r>
        <w:rPr>
          <w:rFonts w:hint="eastAsia"/>
          <w:sz w:val="24"/>
          <w:szCs w:val="24"/>
        </w:rPr>
        <w:t>许可证</w:t>
      </w:r>
    </w:p>
    <w:p>
      <w:pPr>
        <w:pStyle w:val="17"/>
        <w:tabs>
          <w:tab w:val="right" w:leader="dot" w:pos="8426"/>
        </w:tabs>
        <w:wordWrap w:val="0"/>
        <w:topLinePunct/>
        <w:spacing w:line="348" w:lineRule="auto"/>
        <w:ind w:left="560"/>
        <w:rPr>
          <w:sz w:val="24"/>
          <w:szCs w:val="24"/>
        </w:rPr>
      </w:pPr>
      <w:r>
        <w:rPr>
          <w:sz w:val="24"/>
          <w:szCs w:val="24"/>
        </w:rPr>
        <w:t>附件</w:t>
      </w:r>
      <w:r>
        <w:rPr>
          <w:rFonts w:hint="eastAsia"/>
          <w:sz w:val="24"/>
          <w:szCs w:val="24"/>
          <w:lang w:val="en-US" w:eastAsia="zh-CN"/>
        </w:rPr>
        <w:t>5</w:t>
      </w:r>
      <w:r>
        <w:rPr>
          <w:sz w:val="24"/>
          <w:szCs w:val="24"/>
        </w:rPr>
        <w:t xml:space="preserve">  污泥转运处置协议</w:t>
      </w:r>
    </w:p>
    <w:p>
      <w:pPr>
        <w:pStyle w:val="17"/>
        <w:tabs>
          <w:tab w:val="right" w:leader="dot" w:pos="8426"/>
        </w:tabs>
        <w:wordWrap w:val="0"/>
        <w:topLinePunct/>
        <w:spacing w:line="348" w:lineRule="auto"/>
        <w:ind w:left="560"/>
        <w:rPr>
          <w:sz w:val="24"/>
          <w:szCs w:val="24"/>
        </w:rPr>
      </w:pPr>
      <w:r>
        <w:rPr>
          <w:sz w:val="24"/>
          <w:szCs w:val="24"/>
        </w:rPr>
        <w:t>附件</w:t>
      </w:r>
      <w:r>
        <w:rPr>
          <w:rFonts w:hint="eastAsia"/>
          <w:sz w:val="24"/>
          <w:szCs w:val="24"/>
          <w:lang w:val="en-US" w:eastAsia="zh-CN"/>
        </w:rPr>
        <w:t>6</w:t>
      </w:r>
      <w:r>
        <w:rPr>
          <w:sz w:val="24"/>
          <w:szCs w:val="24"/>
        </w:rPr>
        <w:t xml:space="preserve">  危废处置协议</w:t>
      </w:r>
    </w:p>
    <w:p>
      <w:pPr>
        <w:pStyle w:val="17"/>
        <w:tabs>
          <w:tab w:val="right" w:leader="dot" w:pos="8426"/>
        </w:tabs>
        <w:wordWrap w:val="0"/>
        <w:topLinePunct/>
        <w:spacing w:line="348" w:lineRule="auto"/>
        <w:ind w:left="560"/>
        <w:rPr>
          <w:rFonts w:hint="eastAsia"/>
        </w:rPr>
      </w:pPr>
      <w:r>
        <w:rPr>
          <w:sz w:val="24"/>
          <w:szCs w:val="24"/>
        </w:rPr>
        <w:t>附件</w:t>
      </w:r>
      <w:r>
        <w:rPr>
          <w:rFonts w:hint="eastAsia"/>
          <w:sz w:val="24"/>
          <w:szCs w:val="24"/>
          <w:lang w:val="en-US" w:eastAsia="zh-CN"/>
        </w:rPr>
        <w:t>7</w:t>
      </w:r>
      <w:r>
        <w:rPr>
          <w:sz w:val="24"/>
          <w:szCs w:val="24"/>
        </w:rPr>
        <w:t xml:space="preserve">  </w:t>
      </w:r>
      <w:r>
        <w:rPr>
          <w:rFonts w:hint="eastAsia"/>
          <w:sz w:val="24"/>
          <w:szCs w:val="24"/>
        </w:rPr>
        <w:t>在线监测联通证明</w:t>
      </w:r>
    </w:p>
    <w:p>
      <w:pPr>
        <w:pStyle w:val="17"/>
        <w:tabs>
          <w:tab w:val="right" w:leader="dot" w:pos="8426"/>
        </w:tabs>
        <w:wordWrap w:val="0"/>
        <w:topLinePunct/>
        <w:spacing w:line="348" w:lineRule="auto"/>
        <w:ind w:left="560"/>
        <w:rPr>
          <w:sz w:val="24"/>
          <w:szCs w:val="24"/>
        </w:rPr>
      </w:pPr>
      <w:r>
        <w:rPr>
          <w:sz w:val="24"/>
          <w:szCs w:val="24"/>
        </w:rPr>
        <w:t>附件</w:t>
      </w:r>
      <w:r>
        <w:rPr>
          <w:rFonts w:hint="eastAsia"/>
          <w:sz w:val="24"/>
          <w:szCs w:val="24"/>
          <w:lang w:val="en-US" w:eastAsia="zh-CN"/>
        </w:rPr>
        <w:t>8</w:t>
      </w:r>
      <w:r>
        <w:rPr>
          <w:sz w:val="24"/>
          <w:szCs w:val="24"/>
        </w:rPr>
        <w:t xml:space="preserve">  突发环境事件应急预案备案表</w:t>
      </w:r>
    </w:p>
    <w:p>
      <w:pPr>
        <w:pStyle w:val="17"/>
        <w:tabs>
          <w:tab w:val="right" w:leader="dot" w:pos="8426"/>
        </w:tabs>
        <w:wordWrap w:val="0"/>
        <w:topLinePunct/>
        <w:spacing w:line="348" w:lineRule="auto"/>
        <w:ind w:left="0" w:leftChars="0" w:firstLine="549" w:firstLineChars="229"/>
      </w:pPr>
      <w:r>
        <w:rPr>
          <w:sz w:val="24"/>
          <w:szCs w:val="24"/>
        </w:rPr>
        <w:t>附件</w:t>
      </w:r>
      <w:r>
        <w:rPr>
          <w:rFonts w:hint="eastAsia"/>
          <w:sz w:val="24"/>
          <w:szCs w:val="24"/>
          <w:lang w:val="en-US" w:eastAsia="zh-CN"/>
        </w:rPr>
        <w:t>9</w:t>
      </w:r>
      <w:r>
        <w:rPr>
          <w:sz w:val="24"/>
          <w:szCs w:val="24"/>
        </w:rPr>
        <w:t xml:space="preserve">  工况证明及工况核查表</w:t>
      </w:r>
    </w:p>
    <w:p>
      <w:pPr>
        <w:pStyle w:val="17"/>
        <w:tabs>
          <w:tab w:val="right" w:leader="dot" w:pos="8426"/>
        </w:tabs>
        <w:wordWrap w:val="0"/>
        <w:topLinePunct/>
        <w:spacing w:line="348" w:lineRule="auto"/>
        <w:ind w:left="560"/>
        <w:rPr>
          <w:sz w:val="24"/>
          <w:szCs w:val="24"/>
        </w:rPr>
      </w:pPr>
      <w:r>
        <w:rPr>
          <w:sz w:val="24"/>
          <w:szCs w:val="24"/>
        </w:rPr>
        <w:t>附件1</w:t>
      </w:r>
      <w:r>
        <w:rPr>
          <w:rFonts w:hint="eastAsia"/>
          <w:sz w:val="24"/>
          <w:szCs w:val="24"/>
          <w:lang w:val="en-US" w:eastAsia="zh-CN"/>
        </w:rPr>
        <w:t>0</w:t>
      </w:r>
      <w:r>
        <w:rPr>
          <w:sz w:val="24"/>
          <w:szCs w:val="24"/>
        </w:rPr>
        <w:t xml:space="preserve">  监测报告</w:t>
      </w:r>
    </w:p>
    <w:p>
      <w:pPr>
        <w:pStyle w:val="17"/>
        <w:tabs>
          <w:tab w:val="right" w:leader="dot" w:pos="8426"/>
        </w:tabs>
        <w:wordWrap w:val="0"/>
        <w:topLinePunct/>
        <w:spacing w:line="348" w:lineRule="auto"/>
        <w:ind w:left="560"/>
        <w:rPr>
          <w:sz w:val="24"/>
          <w:szCs w:val="24"/>
        </w:rPr>
        <w:sectPr>
          <w:footerReference r:id="rId17" w:type="default"/>
          <w:pgSz w:w="11906" w:h="16838"/>
          <w:pgMar w:top="1134" w:right="1417" w:bottom="1134" w:left="1417" w:header="850" w:footer="850" w:gutter="0"/>
          <w:pgBorders>
            <w:top w:val="none" w:sz="0" w:space="0"/>
            <w:left w:val="none" w:sz="0" w:space="0"/>
            <w:bottom w:val="none" w:sz="0" w:space="0"/>
            <w:right w:val="none" w:sz="0" w:space="0"/>
          </w:pgBorders>
          <w:pgNumType w:start="1"/>
          <w:cols w:space="720" w:num="1"/>
          <w:docGrid w:type="lines" w:linePitch="416" w:charSpace="0"/>
        </w:sectPr>
      </w:pPr>
      <w:r>
        <w:rPr>
          <w:sz w:val="24"/>
          <w:szCs w:val="24"/>
        </w:rPr>
        <w:t>附件1</w:t>
      </w:r>
      <w:r>
        <w:rPr>
          <w:rFonts w:hint="eastAsia"/>
          <w:sz w:val="24"/>
          <w:szCs w:val="24"/>
          <w:lang w:val="en-US" w:eastAsia="zh-CN"/>
        </w:rPr>
        <w:t>1</w:t>
      </w:r>
      <w:r>
        <w:rPr>
          <w:sz w:val="24"/>
          <w:szCs w:val="24"/>
        </w:rPr>
        <w:t xml:space="preserve">  验收意见</w:t>
      </w:r>
    </w:p>
    <w:p>
      <w:pPr>
        <w:pStyle w:val="4"/>
        <w:rPr>
          <w:rFonts w:hint="default"/>
        </w:rPr>
      </w:pPr>
      <w:bookmarkStart w:id="0" w:name="_Toc22123"/>
      <w:r>
        <w:rPr>
          <w:rFonts w:hint="default"/>
        </w:rPr>
        <w:t>1项目概况</w:t>
      </w:r>
      <w:bookmarkEnd w:id="0"/>
    </w:p>
    <w:p>
      <w:pPr>
        <w:rPr>
          <w:rFonts w:hint="eastAsia" w:eastAsia="宋体"/>
          <w:lang w:eastAsia="zh-CN"/>
        </w:rPr>
      </w:pPr>
      <w:r>
        <w:rPr>
          <w:rFonts w:hint="eastAsia"/>
        </w:rPr>
        <w:t>目前，绵竹装备制造产业园区正处于快速发展时期，但入驻企业迅速增加，企业污废水排放加重了水体污染。目前，园区的公用辅助配套设施尚不完备，区域存在雨水、污水管道建设滞后等。随着企业入驻，与之配套市政污水处理设施亦急需建设，为保护射水河的水环境，园区污水处理厂的建设急需实施。根据《关于新市工业园和新市物流园污水处理厂建设规模相关事宜的会商意见》文件，明确指出新市物流园污水处理厂建设规模。结合现状和未来十年发展预期，确定新市物流园污水处理厂规划建设规模为3000m</w:t>
      </w:r>
      <w:r>
        <w:rPr>
          <w:rFonts w:hint="eastAsia"/>
          <w:vertAlign w:val="superscript"/>
        </w:rPr>
        <w:t>3</w:t>
      </w:r>
      <w:r>
        <w:rPr>
          <w:rFonts w:hint="eastAsia"/>
        </w:rPr>
        <w:t>/d，分两期实施，首期规模为1000m</w:t>
      </w:r>
      <w:r>
        <w:rPr>
          <w:rFonts w:hint="eastAsia"/>
          <w:vertAlign w:val="superscript"/>
        </w:rPr>
        <w:t>3</w:t>
      </w:r>
      <w:r>
        <w:rPr>
          <w:rFonts w:hint="eastAsia"/>
        </w:rPr>
        <w:t>/d。此外，为配合园区名称统一，“原绵竹新市物流园污水处理厂”更名为“绵竹装备制造产业园污水处理厂”。</w:t>
      </w:r>
      <w:r>
        <w:rPr>
          <w:rFonts w:hint="eastAsia"/>
          <w:lang w:val="en-US" w:eastAsia="zh-CN"/>
        </w:rPr>
        <w:t>本项目</w:t>
      </w:r>
      <w:r>
        <w:rPr>
          <w:rFonts w:hint="eastAsia"/>
        </w:rPr>
        <w:t>采用“进水→粗格栅、提升泵房→细格栅及曝气沉砂池→缓冲调节池→水解酸化池→改良A2/O→高效沉淀池→转鼓精密过滤器→接触消毒池”工艺</w:t>
      </w:r>
      <w:r>
        <w:rPr>
          <w:rFonts w:hint="eastAsia"/>
          <w:lang w:eastAsia="zh-CN"/>
        </w:rPr>
        <w:t>。</w:t>
      </w:r>
    </w:p>
    <w:p>
      <w:r>
        <w:rPr>
          <w:rFonts w:hint="eastAsia"/>
          <w:lang w:val="en-US" w:eastAsia="zh-CN"/>
        </w:rPr>
        <w:t>2021年5月，绵竹国润排水有限公司委托</w:t>
      </w:r>
      <w:r>
        <w:rPr>
          <w:rFonts w:hint="eastAsia"/>
        </w:rPr>
        <w:t>安徽新湖环保科技有限公司</w:t>
      </w:r>
      <w:r>
        <w:rPr>
          <w:rFonts w:hint="eastAsia"/>
          <w:lang w:val="en-US" w:eastAsia="zh-CN"/>
        </w:rPr>
        <w:t>编制完成《绵竹装备制造产业园污水处理厂项目（一期）环境影响报告书》；</w:t>
      </w:r>
      <w:r>
        <w:t>2</w:t>
      </w:r>
      <w:r>
        <w:rPr>
          <w:rFonts w:hint="eastAsia"/>
          <w:lang w:val="en-US" w:eastAsia="zh-CN"/>
        </w:rPr>
        <w:t>021</w:t>
      </w:r>
      <w:r>
        <w:t>年</w:t>
      </w:r>
      <w:r>
        <w:rPr>
          <w:rFonts w:hint="eastAsia"/>
          <w:lang w:val="en-US" w:eastAsia="zh-CN"/>
        </w:rPr>
        <w:t>7</w:t>
      </w:r>
      <w:r>
        <w:t>月</w:t>
      </w:r>
      <w:r>
        <w:rPr>
          <w:rFonts w:hint="eastAsia"/>
          <w:lang w:val="en-US" w:eastAsia="zh-CN"/>
        </w:rPr>
        <w:t>6</w:t>
      </w:r>
      <w:r>
        <w:t>日，</w:t>
      </w:r>
      <w:r>
        <w:rPr>
          <w:rFonts w:hint="eastAsia"/>
          <w:lang w:val="en-US" w:eastAsia="zh-CN"/>
        </w:rPr>
        <w:t>本项目取得德阳市生态环境局下发的</w:t>
      </w:r>
      <w:r>
        <w:t>《</w:t>
      </w:r>
      <w:r>
        <w:rPr>
          <w:rFonts w:hint="eastAsia"/>
          <w:lang w:val="en-US" w:eastAsia="zh-CN"/>
        </w:rPr>
        <w:t>关于绵竹国润排水有限公司绵竹装备制造产业园污水处理厂项目（一期）环境影响报告书的批复</w:t>
      </w:r>
      <w:r>
        <w:t>》（</w:t>
      </w:r>
      <w:r>
        <w:rPr>
          <w:rFonts w:hint="eastAsia"/>
          <w:lang w:eastAsia="zh-CN"/>
        </w:rPr>
        <w:t>德环审批[2021]292号</w:t>
      </w:r>
      <w:r>
        <w:t>）</w:t>
      </w:r>
      <w:r>
        <w:rPr>
          <w:rFonts w:hint="eastAsia"/>
          <w:lang w:eastAsia="zh-CN"/>
        </w:rPr>
        <w:t>；</w:t>
      </w:r>
      <w:r>
        <w:rPr>
          <w:rFonts w:hint="eastAsia"/>
          <w:lang w:val="en-US" w:eastAsia="zh-CN"/>
        </w:rPr>
        <w:t>2021</w:t>
      </w:r>
      <w:r>
        <w:rPr>
          <w:rFonts w:hint="eastAsia"/>
        </w:rPr>
        <w:t>年</w:t>
      </w:r>
      <w:r>
        <w:rPr>
          <w:rFonts w:hint="eastAsia"/>
          <w:lang w:val="en-US" w:eastAsia="zh-CN"/>
        </w:rPr>
        <w:t>12</w:t>
      </w:r>
      <w:r>
        <w:rPr>
          <w:rFonts w:hint="eastAsia"/>
        </w:rPr>
        <w:t>月</w:t>
      </w:r>
      <w:r>
        <w:rPr>
          <w:rFonts w:hint="eastAsia"/>
          <w:lang w:val="en-US" w:eastAsia="zh-CN"/>
        </w:rPr>
        <w:t>31</w:t>
      </w:r>
      <w:r>
        <w:rPr>
          <w:rFonts w:hint="eastAsia"/>
        </w:rPr>
        <w:t>日，本项目取得</w:t>
      </w:r>
      <w:r>
        <w:rPr>
          <w:rFonts w:hint="eastAsia"/>
          <w:lang w:eastAsia="zh-CN"/>
        </w:rPr>
        <w:t>德阳市生态环境局</w:t>
      </w:r>
      <w:r>
        <w:rPr>
          <w:rFonts w:hint="eastAsia"/>
        </w:rPr>
        <w:t>下发的《关于</w:t>
      </w:r>
      <w:r>
        <w:rPr>
          <w:rFonts w:hint="eastAsia"/>
          <w:lang w:eastAsia="zh-CN"/>
        </w:rPr>
        <w:t>绵竹装备制造产业园污水处理厂</w:t>
      </w:r>
      <w:r>
        <w:rPr>
          <w:rFonts w:hint="eastAsia"/>
        </w:rPr>
        <w:t>入河排污口设置</w:t>
      </w:r>
      <w:r>
        <w:rPr>
          <w:rFonts w:hint="eastAsia"/>
          <w:lang w:val="en-US" w:eastAsia="zh-CN"/>
        </w:rPr>
        <w:t>的批复</w:t>
      </w:r>
      <w:r>
        <w:rPr>
          <w:rFonts w:hint="eastAsia"/>
        </w:rPr>
        <w:t>》（</w:t>
      </w:r>
      <w:r>
        <w:rPr>
          <w:rFonts w:hint="eastAsia"/>
          <w:lang w:eastAsia="zh-CN"/>
        </w:rPr>
        <w:t>德环水函</w:t>
      </w:r>
      <w:r>
        <w:rPr>
          <w:rFonts w:hint="eastAsia"/>
        </w:rPr>
        <w:t>[</w:t>
      </w:r>
      <w:r>
        <w:rPr>
          <w:rFonts w:hint="eastAsia"/>
          <w:lang w:val="en-US" w:eastAsia="zh-CN"/>
        </w:rPr>
        <w:t>2021</w:t>
      </w:r>
      <w:r>
        <w:rPr>
          <w:rFonts w:hint="eastAsia"/>
        </w:rPr>
        <w:t>]</w:t>
      </w:r>
      <w:r>
        <w:rPr>
          <w:rFonts w:hint="eastAsia"/>
          <w:lang w:val="en-US" w:eastAsia="zh-CN"/>
        </w:rPr>
        <w:t>1</w:t>
      </w:r>
      <w:r>
        <w:rPr>
          <w:rFonts w:hint="eastAsia"/>
        </w:rPr>
        <w:t>号</w:t>
      </w:r>
      <w:r>
        <w:rPr>
          <w:rFonts w:hint="eastAsia"/>
          <w:lang w:eastAsia="zh-CN"/>
        </w:rPr>
        <w:t>）</w:t>
      </w:r>
      <w:r>
        <w:rPr>
          <w:rFonts w:hint="eastAsia"/>
        </w:rPr>
        <w:t>；20</w:t>
      </w:r>
      <w:r>
        <w:rPr>
          <w:rFonts w:hint="eastAsia"/>
          <w:lang w:val="en-US" w:eastAsia="zh-CN"/>
        </w:rPr>
        <w:t>21</w:t>
      </w:r>
      <w:r>
        <w:rPr>
          <w:rFonts w:hint="eastAsia"/>
        </w:rPr>
        <w:t>年</w:t>
      </w:r>
      <w:r>
        <w:rPr>
          <w:rFonts w:hint="eastAsia"/>
          <w:lang w:val="en-US" w:eastAsia="zh-CN"/>
        </w:rPr>
        <w:t>8</w:t>
      </w:r>
      <w:r>
        <w:rPr>
          <w:rFonts w:hint="eastAsia"/>
        </w:rPr>
        <w:t>月2</w:t>
      </w:r>
      <w:r>
        <w:rPr>
          <w:rFonts w:hint="eastAsia"/>
          <w:lang w:val="en-US" w:eastAsia="zh-CN"/>
        </w:rPr>
        <w:t>4</w:t>
      </w:r>
      <w:r>
        <w:rPr>
          <w:rFonts w:hint="eastAsia"/>
        </w:rPr>
        <w:t>日，本项目取得</w:t>
      </w:r>
      <w:r>
        <w:rPr>
          <w:rFonts w:hint="eastAsia"/>
          <w:lang w:eastAsia="zh-CN"/>
        </w:rPr>
        <w:t>德阳市生态环境局</w:t>
      </w:r>
      <w:r>
        <w:rPr>
          <w:rFonts w:hint="eastAsia"/>
        </w:rPr>
        <w:t>下发的排污许可证，编号为：</w:t>
      </w:r>
      <w:r>
        <w:rPr>
          <w:rFonts w:hint="eastAsia"/>
          <w:lang w:eastAsia="zh-CN"/>
        </w:rPr>
        <w:t>91510683MA62366354017V</w:t>
      </w:r>
      <w:r>
        <w:rPr>
          <w:rFonts w:hint="eastAsia"/>
        </w:rPr>
        <w:t>（见附件4）。</w:t>
      </w:r>
    </w:p>
    <w:p>
      <w:pPr>
        <w:sectPr>
          <w:footerReference r:id="rId18" w:type="default"/>
          <w:pgSz w:w="11906" w:h="16838"/>
          <w:pgMar w:top="1134" w:right="1417" w:bottom="1134" w:left="1417" w:header="850" w:footer="850" w:gutter="0"/>
          <w:pgBorders>
            <w:top w:val="none" w:sz="0" w:space="0"/>
            <w:left w:val="none" w:sz="0" w:space="0"/>
            <w:bottom w:val="none" w:sz="0" w:space="0"/>
            <w:right w:val="none" w:sz="0" w:space="0"/>
          </w:pgBorders>
          <w:pgNumType w:start="1"/>
          <w:cols w:space="720" w:num="1"/>
          <w:docGrid w:type="lines" w:linePitch="416" w:charSpace="0"/>
        </w:sectPr>
      </w:pPr>
      <w:r>
        <w:rPr>
          <w:rFonts w:hint="eastAsia"/>
          <w:lang w:eastAsia="zh-CN"/>
        </w:rPr>
        <w:t>绵竹装备制造产业园污水处理厂项目（一期）</w:t>
      </w:r>
      <w:r>
        <w:t>于20</w:t>
      </w:r>
      <w:r>
        <w:rPr>
          <w:rFonts w:hint="eastAsia"/>
          <w:lang w:val="en-US" w:eastAsia="zh-CN"/>
        </w:rPr>
        <w:t>20</w:t>
      </w:r>
      <w:r>
        <w:t>年</w:t>
      </w:r>
      <w:r>
        <w:rPr>
          <w:rFonts w:hint="eastAsia"/>
          <w:lang w:val="en-US" w:eastAsia="zh-CN"/>
        </w:rPr>
        <w:t>10</w:t>
      </w:r>
      <w:r>
        <w:t>月开工建</w:t>
      </w:r>
    </w:p>
    <w:p>
      <w:r>
        <w:t>设，202</w:t>
      </w:r>
      <w:r>
        <w:rPr>
          <w:rFonts w:hint="eastAsia"/>
          <w:lang w:val="en-US" w:eastAsia="zh-CN"/>
        </w:rPr>
        <w:t>1</w:t>
      </w:r>
      <w:r>
        <w:t>年</w:t>
      </w:r>
      <w:r>
        <w:rPr>
          <w:rFonts w:hint="eastAsia"/>
          <w:lang w:val="en-US" w:eastAsia="zh-CN"/>
        </w:rPr>
        <w:t>12</w:t>
      </w:r>
      <w:r>
        <w:t>月建设完成并投入使用。目前本项目主体工程和环保设施运行正常，具备验收监测条件。</w:t>
      </w:r>
    </w:p>
    <w:p>
      <w:r>
        <w:t>受</w:t>
      </w:r>
      <w:r>
        <w:rPr>
          <w:rFonts w:hint="eastAsia"/>
          <w:lang w:eastAsia="zh-CN"/>
        </w:rPr>
        <w:t>绵竹国润排水有限公司</w:t>
      </w:r>
      <w:r>
        <w:t>委托，</w:t>
      </w:r>
      <w:r>
        <w:rPr>
          <w:rFonts w:hint="eastAsia"/>
          <w:lang w:eastAsia="zh-CN"/>
        </w:rPr>
        <w:t>四川中谦检测有限公司</w:t>
      </w:r>
      <w:r>
        <w:t>对</w:t>
      </w:r>
      <w:r>
        <w:rPr>
          <w:rFonts w:hint="eastAsia"/>
          <w:lang w:eastAsia="zh-CN"/>
        </w:rPr>
        <w:t>绵竹装备制造产业园污水处理厂项目（一期）</w:t>
      </w:r>
      <w:r>
        <w:t>（下称</w:t>
      </w:r>
      <w:r>
        <w:rPr>
          <w:rFonts w:hint="eastAsia"/>
          <w:lang w:eastAsia="zh-CN"/>
        </w:rPr>
        <w:t>“</w:t>
      </w:r>
      <w:r>
        <w:rPr>
          <w:rFonts w:hint="eastAsia"/>
          <w:lang w:val="en-US" w:eastAsia="zh-CN"/>
        </w:rPr>
        <w:t>本</w:t>
      </w:r>
      <w:r>
        <w:t>项目</w:t>
      </w:r>
      <w:r>
        <w:rPr>
          <w:rFonts w:hint="eastAsia"/>
          <w:lang w:eastAsia="zh-CN"/>
        </w:rPr>
        <w:t>”</w:t>
      </w:r>
      <w:r>
        <w:t>）进行竣工环境保护验收监测。根据国务院令第682号《建设项目环境保护管理条例》的规定和要求，202</w:t>
      </w:r>
      <w:r>
        <w:rPr>
          <w:rFonts w:hint="eastAsia"/>
          <w:lang w:val="en-US" w:eastAsia="zh-CN"/>
        </w:rPr>
        <w:t>2</w:t>
      </w:r>
      <w:r>
        <w:t>年</w:t>
      </w:r>
      <w:r>
        <w:rPr>
          <w:rFonts w:hint="eastAsia"/>
          <w:lang w:val="en-US" w:eastAsia="zh-CN"/>
        </w:rPr>
        <w:t>3</w:t>
      </w:r>
      <w:r>
        <w:t>月我</w:t>
      </w:r>
      <w:r>
        <w:rPr>
          <w:rFonts w:hint="eastAsia"/>
          <w:lang w:val="en-US" w:eastAsia="zh-CN"/>
        </w:rPr>
        <w:t>公司</w:t>
      </w:r>
      <w:r>
        <w:t>派员</w:t>
      </w:r>
      <w:r>
        <w:rPr>
          <w:rFonts w:hint="eastAsia"/>
          <w:lang w:val="en-US" w:eastAsia="zh-CN"/>
        </w:rPr>
        <w:t>进行</w:t>
      </w:r>
      <w:r>
        <w:t>现场踏勘后，编制了验收监测方案。以方案为依据，</w:t>
      </w:r>
      <w:r>
        <w:rPr>
          <w:rFonts w:hint="eastAsia"/>
          <w:lang w:eastAsia="zh-CN"/>
        </w:rPr>
        <w:t>四川中谦检测有限公司</w:t>
      </w:r>
      <w:r>
        <w:t>于202</w:t>
      </w:r>
      <w:r>
        <w:rPr>
          <w:rFonts w:hint="eastAsia"/>
          <w:lang w:val="en-US" w:eastAsia="zh-CN"/>
        </w:rPr>
        <w:t>2</w:t>
      </w:r>
      <w:r>
        <w:t>年</w:t>
      </w:r>
      <w:r>
        <w:rPr>
          <w:rFonts w:hint="eastAsia"/>
          <w:lang w:val="en-US" w:eastAsia="zh-CN"/>
        </w:rPr>
        <w:t>5</w:t>
      </w:r>
      <w:r>
        <w:t>月24日</w:t>
      </w:r>
      <w:r>
        <w:rPr>
          <w:rFonts w:hint="eastAsia"/>
          <w:lang w:eastAsia="zh-CN"/>
        </w:rPr>
        <w:t>至</w:t>
      </w:r>
      <w:r>
        <w:rPr>
          <w:rFonts w:hint="eastAsia"/>
          <w:lang w:val="en-US" w:eastAsia="zh-CN"/>
        </w:rPr>
        <w:t>5月</w:t>
      </w:r>
      <w:r>
        <w:rPr>
          <w:rFonts w:hint="eastAsia"/>
        </w:rPr>
        <w:t>2</w:t>
      </w:r>
      <w:r>
        <w:rPr>
          <w:rFonts w:hint="eastAsia"/>
          <w:lang w:val="en-US" w:eastAsia="zh-CN"/>
        </w:rPr>
        <w:t>5</w:t>
      </w:r>
      <w:r>
        <w:rPr>
          <w:rFonts w:hint="eastAsia"/>
        </w:rPr>
        <w:t>日</w:t>
      </w:r>
      <w:r>
        <w:t>派员前往现场进行了验收监测。</w:t>
      </w:r>
      <w:r>
        <w:rPr>
          <w:rFonts w:hint="eastAsia"/>
          <w:lang w:val="en-US" w:eastAsia="zh-CN"/>
        </w:rPr>
        <w:t>我公司</w:t>
      </w:r>
      <w:r>
        <w:t>在此监测基础上编制了本次验收监测报告。</w:t>
      </w:r>
    </w:p>
    <w:p>
      <w:pPr>
        <w:ind w:firstLine="562"/>
        <w:rPr>
          <w:b/>
          <w:bCs/>
        </w:rPr>
      </w:pPr>
      <w:r>
        <w:rPr>
          <w:b/>
          <w:bCs/>
        </w:rPr>
        <w:t>本次验收监测范围：</w:t>
      </w:r>
    </w:p>
    <w:p>
      <w:r>
        <w:t>本项目的主体工程（预处理单元、生化单元、深度处理、尾水排放）、辅助工程（加药间、污泥脱水间、变配电房、化验室）、办公生活及设施、公用工程、环保工程及其它。</w:t>
      </w:r>
    </w:p>
    <w:p>
      <w:pPr>
        <w:ind w:firstLine="562"/>
        <w:rPr>
          <w:b/>
          <w:bCs/>
        </w:rPr>
      </w:pPr>
      <w:r>
        <w:rPr>
          <w:b/>
          <w:bCs/>
        </w:rPr>
        <w:t>本次验收监测主要内容：</w:t>
      </w:r>
    </w:p>
    <w:p>
      <w:r>
        <w:t>（1）废水排放监测；</w:t>
      </w:r>
    </w:p>
    <w:p>
      <w:r>
        <w:t>（2）废气排放监测；</w:t>
      </w:r>
    </w:p>
    <w:p>
      <w:r>
        <w:t>（3）厂界环境噪声排放监测；</w:t>
      </w:r>
    </w:p>
    <w:p>
      <w:r>
        <w:t>（4）固体废物监测及处置情况检查；</w:t>
      </w:r>
    </w:p>
    <w:p>
      <w:r>
        <w:t>（5）风险事故防范与应急措施检查；</w:t>
      </w:r>
    </w:p>
    <w:p>
      <w:r>
        <w:t>（6）项目周边公众意见调查；</w:t>
      </w:r>
    </w:p>
    <w:p>
      <w:pPr>
        <w:rPr>
          <w:szCs w:val="24"/>
        </w:rPr>
      </w:pPr>
      <w:r>
        <w:t>（</w:t>
      </w:r>
      <w:r>
        <w:rPr>
          <w:rFonts w:hint="eastAsia"/>
        </w:rPr>
        <w:t>7</w:t>
      </w:r>
      <w:r>
        <w:t>）环境管理检查。</w:t>
      </w:r>
    </w:p>
    <w:p>
      <w:pPr>
        <w:ind w:firstLine="0" w:firstLineChars="0"/>
        <w:rPr>
          <w:sz w:val="21"/>
          <w:szCs w:val="24"/>
        </w:rPr>
        <w:sectPr>
          <w:footerReference r:id="rId19" w:type="default"/>
          <w:pgSz w:w="11906" w:h="16838"/>
          <w:pgMar w:top="1134" w:right="1417" w:bottom="1134" w:left="1417" w:header="850" w:footer="850" w:gutter="0"/>
          <w:pgBorders>
            <w:top w:val="none" w:sz="0" w:space="0"/>
            <w:left w:val="none" w:sz="0" w:space="0"/>
            <w:bottom w:val="none" w:sz="0" w:space="0"/>
            <w:right w:val="none" w:sz="0" w:space="0"/>
          </w:pgBorders>
          <w:pgNumType w:fmt="decimal" w:start="1"/>
          <w:cols w:space="720" w:num="1"/>
          <w:docGrid w:type="lines" w:linePitch="416" w:charSpace="0"/>
        </w:sectPr>
      </w:pPr>
    </w:p>
    <w:p>
      <w:pPr>
        <w:pStyle w:val="4"/>
        <w:rPr>
          <w:rFonts w:hint="default"/>
        </w:rPr>
      </w:pPr>
      <w:bookmarkStart w:id="1" w:name="_Toc22114"/>
      <w:r>
        <w:rPr>
          <w:rFonts w:hint="default"/>
        </w:rPr>
        <w:t>2验收依据</w:t>
      </w:r>
      <w:bookmarkEnd w:id="1"/>
    </w:p>
    <w:p>
      <w:pPr>
        <w:pStyle w:val="5"/>
        <w:numPr>
          <w:ilvl w:val="0"/>
          <w:numId w:val="0"/>
        </w:numPr>
      </w:pPr>
      <w:bookmarkStart w:id="2" w:name="_Toc519171319"/>
      <w:bookmarkStart w:id="3" w:name="_Toc7761"/>
      <w:bookmarkStart w:id="4" w:name="_Toc29914"/>
      <w:bookmarkStart w:id="5" w:name="_Toc19822"/>
      <w:bookmarkStart w:id="6" w:name="_Toc6317"/>
      <w:r>
        <w:t>2.1建设项目环境保护相关法律、法规和规章</w:t>
      </w:r>
      <w:bookmarkEnd w:id="2"/>
      <w:bookmarkEnd w:id="3"/>
      <w:r>
        <w:t>制度</w:t>
      </w:r>
      <w:bookmarkEnd w:id="4"/>
      <w:bookmarkEnd w:id="5"/>
      <w:bookmarkEnd w:id="6"/>
    </w:p>
    <w:p>
      <w:pPr>
        <w:numPr>
          <w:ilvl w:val="0"/>
          <w:numId w:val="4"/>
        </w:numPr>
      </w:pPr>
      <w:r>
        <w:t>《中华人民共和国水污染防治法》（2017年6月27日第二次修正）；</w:t>
      </w:r>
    </w:p>
    <w:p>
      <w:pPr>
        <w:numPr>
          <w:ilvl w:val="0"/>
          <w:numId w:val="4"/>
        </w:numPr>
      </w:pPr>
      <w:r>
        <w:t xml:space="preserve">《中华人民共和国大气污染防治法》（主席令第三十一号，2015.08.19）； </w:t>
      </w:r>
    </w:p>
    <w:p>
      <w:pPr>
        <w:numPr>
          <w:ilvl w:val="0"/>
          <w:numId w:val="4"/>
        </w:numPr>
      </w:pPr>
      <w:r>
        <w:t>《中华人民共和国环境噪声污染防治法》（2018年12月29日修订）</w:t>
      </w:r>
      <w:r>
        <w:rPr>
          <w:rFonts w:hint="eastAsia"/>
          <w:lang w:eastAsia="zh-CN"/>
        </w:rPr>
        <w:t>；</w:t>
      </w:r>
    </w:p>
    <w:p>
      <w:pPr>
        <w:numPr>
          <w:ilvl w:val="0"/>
          <w:numId w:val="4"/>
        </w:numPr>
      </w:pPr>
      <w:r>
        <w:t>《中华人民共和国固体废物污染环境防治法》（20</w:t>
      </w:r>
      <w:r>
        <w:rPr>
          <w:rFonts w:hint="eastAsia"/>
          <w:lang w:val="en-US" w:eastAsia="zh-CN"/>
        </w:rPr>
        <w:t>20</w:t>
      </w:r>
      <w:r>
        <w:t>年</w:t>
      </w:r>
      <w:r>
        <w:rPr>
          <w:rFonts w:hint="eastAsia"/>
          <w:lang w:val="en-US" w:eastAsia="zh-CN"/>
        </w:rPr>
        <w:t>9</w:t>
      </w:r>
      <w:r>
        <w:t>月</w:t>
      </w:r>
      <w:r>
        <w:rPr>
          <w:rFonts w:hint="eastAsia"/>
          <w:lang w:val="en-US" w:eastAsia="zh-CN"/>
        </w:rPr>
        <w:t>1</w:t>
      </w:r>
      <w:r>
        <w:t>日</w:t>
      </w:r>
      <w:r>
        <w:rPr>
          <w:rFonts w:hint="eastAsia"/>
          <w:lang w:val="en-US" w:eastAsia="zh-CN"/>
        </w:rPr>
        <w:t>实施</w:t>
      </w:r>
      <w:r>
        <w:t>）；</w:t>
      </w:r>
    </w:p>
    <w:p>
      <w:pPr>
        <w:numPr>
          <w:ilvl w:val="0"/>
          <w:numId w:val="4"/>
        </w:numPr>
      </w:pPr>
      <w:r>
        <w:t>《建设项目环境保护管理条例》（国务院令第682号，2017.10.1）；</w:t>
      </w:r>
    </w:p>
    <w:p>
      <w:pPr>
        <w:numPr>
          <w:ilvl w:val="0"/>
          <w:numId w:val="4"/>
        </w:numPr>
      </w:pPr>
      <w:r>
        <w:t>《建设项目竣工环境保护验收暂行办法》（国环规环评[2017]4号，2017.11.20）；</w:t>
      </w:r>
    </w:p>
    <w:p>
      <w:pPr>
        <w:pStyle w:val="5"/>
        <w:numPr>
          <w:ilvl w:val="0"/>
          <w:numId w:val="0"/>
        </w:numPr>
      </w:pPr>
      <w:bookmarkStart w:id="7" w:name="_Toc13306"/>
      <w:bookmarkStart w:id="8" w:name="_Toc13285"/>
      <w:bookmarkStart w:id="9" w:name="_Toc22220"/>
      <w:r>
        <w:t>2.2 建设项目竣工环境保护验收技术规范</w:t>
      </w:r>
      <w:bookmarkEnd w:id="7"/>
      <w:bookmarkEnd w:id="8"/>
      <w:bookmarkEnd w:id="9"/>
    </w:p>
    <w:p>
      <w:r>
        <w:t>1、《建设项目环境保护验收技术指南 污染影响类》（生态环境部，公告2018年第9号，2018.5.15）；</w:t>
      </w:r>
    </w:p>
    <w:p>
      <w:pPr>
        <w:rPr>
          <w:rFonts w:hint="eastAsia" w:eastAsia="宋体"/>
          <w:lang w:val="en-US" w:eastAsia="zh-CN"/>
        </w:rPr>
      </w:pPr>
      <w:r>
        <w:rPr>
          <w:rFonts w:hint="eastAsia"/>
          <w:lang w:val="en-US" w:eastAsia="zh-CN"/>
        </w:rPr>
        <w:t>2、《关于印发淀粉等五个行业建设项目重大变动清单的通知》（生态环境部，环办环评函〔2019〕934号，2019年12月23日）</w:t>
      </w:r>
    </w:p>
    <w:p>
      <w:pPr>
        <w:pStyle w:val="5"/>
        <w:numPr>
          <w:ilvl w:val="0"/>
          <w:numId w:val="0"/>
        </w:numPr>
      </w:pPr>
      <w:bookmarkStart w:id="10" w:name="_Toc23431"/>
      <w:bookmarkStart w:id="11" w:name="_Toc20146"/>
      <w:bookmarkStart w:id="12" w:name="_Toc21796"/>
      <w:bookmarkStart w:id="13" w:name="_Toc19549"/>
      <w:bookmarkStart w:id="14" w:name="_Toc519171320"/>
      <w:bookmarkStart w:id="15" w:name="_Toc20981"/>
      <w:bookmarkStart w:id="16" w:name="_Toc7778"/>
      <w:bookmarkStart w:id="17" w:name="_Toc19939"/>
      <w:bookmarkStart w:id="18" w:name="_Toc8195"/>
      <w:r>
        <w:t>2.3建设项目</w:t>
      </w:r>
      <w:r>
        <w:rPr>
          <w:rFonts w:hint="eastAsia"/>
          <w:lang w:eastAsia="zh-CN"/>
        </w:rPr>
        <w:t>环境影响报告书</w:t>
      </w:r>
      <w:r>
        <w:t>及审批部门审批决定</w:t>
      </w:r>
      <w:bookmarkEnd w:id="10"/>
      <w:bookmarkEnd w:id="11"/>
      <w:bookmarkEnd w:id="12"/>
      <w:bookmarkEnd w:id="13"/>
      <w:bookmarkEnd w:id="14"/>
      <w:bookmarkEnd w:id="15"/>
      <w:bookmarkEnd w:id="16"/>
      <w:bookmarkEnd w:id="17"/>
      <w:bookmarkEnd w:id="18"/>
    </w:p>
    <w:p>
      <w:bookmarkStart w:id="19" w:name="_Toc519171321"/>
      <w:bookmarkStart w:id="20" w:name="_Toc15827"/>
      <w:bookmarkStart w:id="21" w:name="_Toc15487"/>
      <w:bookmarkStart w:id="22" w:name="_Toc21982"/>
      <w:r>
        <w:t>1、《</w:t>
      </w:r>
      <w:r>
        <w:rPr>
          <w:rFonts w:hint="eastAsia"/>
          <w:lang w:val="en-US" w:eastAsia="zh-CN"/>
        </w:rPr>
        <w:t>绵竹国润排水有限公司</w:t>
      </w:r>
      <w:r>
        <w:rPr>
          <w:rFonts w:hint="eastAsia"/>
          <w:lang w:eastAsia="zh-CN"/>
        </w:rPr>
        <w:t>绵竹装备制造产业园污水处理厂项目（一期）环境影响报告书</w:t>
      </w:r>
      <w:r>
        <w:t>》（</w:t>
      </w:r>
      <w:r>
        <w:rPr>
          <w:rFonts w:hint="eastAsia"/>
          <w:lang w:eastAsia="zh-CN"/>
        </w:rPr>
        <w:t>安徽新湖环保科技有限公司</w:t>
      </w:r>
      <w:r>
        <w:t>，20</w:t>
      </w:r>
      <w:r>
        <w:rPr>
          <w:rFonts w:hint="eastAsia"/>
          <w:lang w:val="en-US" w:eastAsia="zh-CN"/>
        </w:rPr>
        <w:t>2</w:t>
      </w:r>
      <w:r>
        <w:t>1.0</w:t>
      </w:r>
      <w:r>
        <w:rPr>
          <w:rFonts w:hint="eastAsia"/>
          <w:lang w:val="en-US" w:eastAsia="zh-CN"/>
        </w:rPr>
        <w:t>5</w:t>
      </w:r>
      <w:r>
        <w:t>）；</w:t>
      </w:r>
    </w:p>
    <w:p>
      <w:r>
        <w:t>2、《关于</w:t>
      </w:r>
      <w:r>
        <w:rPr>
          <w:rFonts w:hint="eastAsia"/>
          <w:lang w:val="en-US" w:eastAsia="zh-CN"/>
        </w:rPr>
        <w:t>绵竹国润排水有限公司</w:t>
      </w:r>
      <w:r>
        <w:rPr>
          <w:rFonts w:hint="eastAsia"/>
          <w:lang w:eastAsia="zh-CN"/>
        </w:rPr>
        <w:t>绵竹装备制造产业园污水处理厂项目（一期）环境影响报告书</w:t>
      </w:r>
      <w:r>
        <w:t>的批复》（</w:t>
      </w:r>
      <w:r>
        <w:rPr>
          <w:rFonts w:hint="eastAsia"/>
          <w:lang w:val="en-US" w:eastAsia="zh-CN"/>
        </w:rPr>
        <w:t>德阳市生态环境局，</w:t>
      </w:r>
      <w:r>
        <w:rPr>
          <w:rFonts w:hint="eastAsia"/>
          <w:lang w:eastAsia="zh-CN"/>
        </w:rPr>
        <w:t>德环审批[2021]292号</w:t>
      </w:r>
      <w:r>
        <w:t>，20</w:t>
      </w:r>
      <w:r>
        <w:rPr>
          <w:rFonts w:hint="eastAsia"/>
          <w:lang w:val="en-US" w:eastAsia="zh-CN"/>
        </w:rPr>
        <w:t>2</w:t>
      </w:r>
      <w:r>
        <w:t>1.7</w:t>
      </w:r>
      <w:r>
        <w:rPr>
          <w:rFonts w:hint="eastAsia"/>
          <w:lang w:val="en-US" w:eastAsia="zh-CN"/>
        </w:rPr>
        <w:t>.6</w:t>
      </w:r>
      <w:r>
        <w:t>）。</w:t>
      </w:r>
    </w:p>
    <w:p>
      <w:pPr>
        <w:pStyle w:val="5"/>
        <w:numPr>
          <w:ilvl w:val="0"/>
          <w:numId w:val="0"/>
        </w:numPr>
      </w:pPr>
      <w:bookmarkStart w:id="23" w:name="_Toc21326"/>
      <w:r>
        <w:t>2.4其他相关文件</w:t>
      </w:r>
      <w:bookmarkEnd w:id="19"/>
      <w:bookmarkEnd w:id="20"/>
      <w:bookmarkEnd w:id="21"/>
      <w:bookmarkEnd w:id="22"/>
      <w:bookmarkEnd w:id="23"/>
    </w:p>
    <w:p>
      <w:pPr>
        <w:numPr>
          <w:ilvl w:val="0"/>
          <w:numId w:val="5"/>
        </w:numPr>
      </w:pPr>
      <w:r>
        <w:t>《</w:t>
      </w:r>
      <w:r>
        <w:rPr>
          <w:rFonts w:hint="eastAsia"/>
          <w:lang w:eastAsia="zh-CN"/>
        </w:rPr>
        <w:t>绵竹装备制造产业园污水处理厂</w:t>
      </w:r>
      <w:r>
        <w:t>入河排污口设置</w:t>
      </w:r>
      <w:r>
        <w:rPr>
          <w:rFonts w:hint="eastAsia"/>
          <w:lang w:val="en-US" w:eastAsia="zh-CN"/>
        </w:rPr>
        <w:t>的批复</w:t>
      </w:r>
      <w:r>
        <w:t>》（</w:t>
      </w:r>
      <w:r>
        <w:rPr>
          <w:rFonts w:hint="eastAsia"/>
          <w:lang w:val="en-US" w:eastAsia="zh-CN"/>
        </w:rPr>
        <w:t>德阳市生态环境局，</w:t>
      </w:r>
      <w:r>
        <w:rPr>
          <w:rFonts w:hint="eastAsia"/>
          <w:lang w:eastAsia="zh-CN"/>
        </w:rPr>
        <w:t>德环水函</w:t>
      </w:r>
      <w:r>
        <w:t>[20</w:t>
      </w:r>
      <w:r>
        <w:rPr>
          <w:rFonts w:hint="eastAsia"/>
          <w:lang w:val="en-US" w:eastAsia="zh-CN"/>
        </w:rPr>
        <w:t>2</w:t>
      </w:r>
      <w:r>
        <w:t>1]</w:t>
      </w:r>
      <w:r>
        <w:rPr>
          <w:rFonts w:hint="eastAsia"/>
          <w:lang w:val="en-US" w:eastAsia="zh-CN"/>
        </w:rPr>
        <w:t>1</w:t>
      </w:r>
      <w:r>
        <w:t>号</w:t>
      </w:r>
      <w:r>
        <w:rPr>
          <w:rFonts w:hint="eastAsia"/>
          <w:lang w:eastAsia="zh-CN"/>
        </w:rPr>
        <w:t>，</w:t>
      </w:r>
      <w:r>
        <w:rPr>
          <w:rFonts w:hint="eastAsia"/>
          <w:lang w:val="en-US" w:eastAsia="zh-CN"/>
        </w:rPr>
        <w:t>2021.12.31</w:t>
      </w:r>
      <w:r>
        <w:t>）</w:t>
      </w:r>
    </w:p>
    <w:p>
      <w:pPr>
        <w:numPr>
          <w:ilvl w:val="0"/>
          <w:numId w:val="5"/>
        </w:numPr>
        <w:rPr>
          <w:rFonts w:hint="eastAsia" w:ascii="Times New Roman" w:hAnsi="Times New Roman" w:eastAsia="宋体" w:cs="Times New Roman"/>
          <w:lang w:eastAsia="zh-CN"/>
        </w:rPr>
      </w:pPr>
      <w:r>
        <w:rPr>
          <w:rFonts w:hint="eastAsia" w:ascii="Times New Roman" w:hAnsi="Times New Roman" w:eastAsia="宋体" w:cs="Times New Roman"/>
          <w:lang w:eastAsia="zh-CN"/>
        </w:rPr>
        <w:t>《绵竹装备制造产业园污水处理厂项目（一期）</w:t>
      </w:r>
      <w:r>
        <w:rPr>
          <w:rFonts w:hint="eastAsia" w:ascii="Times New Roman" w:hAnsi="Times New Roman" w:eastAsia="宋体" w:cs="Times New Roman"/>
          <w:lang w:val="en-US" w:eastAsia="zh-CN"/>
        </w:rPr>
        <w:t>验收检测报告》（四川中谦检测有限公司，中谦检字[2022]第169号，2022.6.10）</w:t>
      </w:r>
    </w:p>
    <w:p>
      <w:pPr>
        <w:ind w:firstLine="480"/>
        <w:rPr>
          <w:sz w:val="24"/>
          <w:szCs w:val="24"/>
        </w:rPr>
      </w:pPr>
    </w:p>
    <w:p>
      <w:pPr>
        <w:ind w:firstLine="480"/>
        <w:rPr>
          <w:sz w:val="24"/>
          <w:szCs w:val="24"/>
        </w:rPr>
        <w:sectPr>
          <w:pgSz w:w="11906" w:h="16838"/>
          <w:pgMar w:top="1134" w:right="1417" w:bottom="1134" w:left="1417" w:header="850" w:footer="850" w:gutter="0"/>
          <w:pgBorders>
            <w:top w:val="none" w:sz="0" w:space="0"/>
            <w:left w:val="none" w:sz="0" w:space="0"/>
            <w:bottom w:val="none" w:sz="0" w:space="0"/>
            <w:right w:val="none" w:sz="0" w:space="0"/>
          </w:pgBorders>
          <w:pgNumType w:fmt="decimal"/>
          <w:cols w:space="720" w:num="1"/>
          <w:docGrid w:type="lines" w:linePitch="416" w:charSpace="0"/>
        </w:sectPr>
      </w:pPr>
    </w:p>
    <w:p>
      <w:pPr>
        <w:pStyle w:val="4"/>
        <w:rPr>
          <w:rFonts w:hint="default"/>
        </w:rPr>
      </w:pPr>
      <w:bookmarkStart w:id="24" w:name="_Toc29082"/>
      <w:r>
        <w:rPr>
          <w:rFonts w:hint="default"/>
        </w:rPr>
        <w:t>3工程建设情况</w:t>
      </w:r>
      <w:bookmarkEnd w:id="24"/>
    </w:p>
    <w:p>
      <w:pPr>
        <w:pStyle w:val="5"/>
        <w:numPr>
          <w:ilvl w:val="0"/>
          <w:numId w:val="0"/>
        </w:numPr>
      </w:pPr>
      <w:bookmarkStart w:id="25" w:name="_Toc20683"/>
      <w:bookmarkStart w:id="26" w:name="_Toc10873"/>
      <w:bookmarkStart w:id="27" w:name="_Toc519171323"/>
      <w:bookmarkStart w:id="28" w:name="_Toc18289"/>
      <w:bookmarkStart w:id="29" w:name="_Toc7831"/>
      <w:r>
        <w:t>3.1地理位置、平面布置及外环境关系</w:t>
      </w:r>
      <w:bookmarkEnd w:id="25"/>
      <w:bookmarkEnd w:id="26"/>
      <w:bookmarkEnd w:id="27"/>
      <w:bookmarkEnd w:id="28"/>
      <w:bookmarkEnd w:id="29"/>
    </w:p>
    <w:p>
      <w:pPr>
        <w:bidi w:val="0"/>
        <w:rPr>
          <w:rFonts w:hint="default" w:ascii="Times New Roman" w:hAnsi="Times New Roman" w:cs="Times New Roman"/>
        </w:rPr>
      </w:pPr>
      <w:r>
        <w:rPr>
          <w:rFonts w:hint="default" w:ascii="Times New Roman" w:hAnsi="Times New Roman" w:cs="Times New Roman"/>
        </w:rPr>
        <w:t>绵竹市位于四川盆地西北部，地处东经103°54′－104°20′，北纬30°09′－31°42′之间，幅员面积1245.3平方公里，其形状如一支金笔尖，自西北向东南伸展。市境东靠</w:t>
      </w:r>
      <w:r>
        <w:rPr>
          <w:rFonts w:hint="default" w:ascii="Times New Roman" w:hAnsi="Times New Roman" w:cs="Times New Roman"/>
          <w:szCs w:val="24"/>
        </w:rPr>
        <w:t>德阳市旌阳区；东北与绵阳市安县接壤；西南与什邡隔河</w:t>
      </w:r>
      <w:r>
        <w:rPr>
          <w:rFonts w:hint="default" w:ascii="Times New Roman" w:hAnsi="Times New Roman" w:cs="Times New Roman"/>
        </w:rPr>
        <w:t>相望；西北与阿坝州茂县相毗连。地势西北高、东南低，有“六山一水三分田”的特点，海拔504至4406米，西北崇山峻岭，东南平畴沃野，内河纵横，水源充沛，年均气温15.7℃，年均降水量1053.2毫米，无霜期为285天。市人民政府驻地——剑南镇，位于市境东南部平原地区，距成都市83公里，绵阳市70公里，德阳市30公里。</w:t>
      </w:r>
    </w:p>
    <w:p>
      <w:pPr>
        <w:bidi w:val="0"/>
        <w:rPr>
          <w:rFonts w:hint="default" w:ascii="Times New Roman" w:hAnsi="Times New Roman" w:cs="Times New Roman"/>
        </w:rPr>
      </w:pPr>
      <w:r>
        <w:rPr>
          <w:rFonts w:hint="default" w:ascii="Times New Roman" w:hAnsi="Times New Roman" w:cs="Times New Roman"/>
        </w:rPr>
        <w:t>绵竹装备制造产业园位于绵竹市新市镇北部，东北面距离绵竹市规划的中心城区最近距离约4km，距离江苏物流园约1.2km；西南面距离新市镇镇区1.5km；东面距离孝德镇镇区约6.5km；西面距离玉泉镇镇区约5km。园区规划范围内涉及新市镇和孝德镇的部分村落。</w:t>
      </w:r>
    </w:p>
    <w:p>
      <w:pPr>
        <w:bidi w:val="0"/>
        <w:rPr>
          <w:rFonts w:hint="default" w:ascii="Times New Roman" w:hAnsi="Times New Roman" w:cs="Times New Roman"/>
        </w:rPr>
      </w:pPr>
      <w:r>
        <w:rPr>
          <w:rFonts w:hint="default" w:ascii="Times New Roman" w:hAnsi="Times New Roman" w:cs="Times New Roman"/>
        </w:rPr>
        <w:t>本项目位于新市镇金兰村，中心坐标：103°53′12.92″E；30°12′47.18″N。项目地理位置见图3-1（附图1）。</w:t>
      </w:r>
    </w:p>
    <w:p>
      <w:pPr>
        <w:ind w:firstLine="0" w:firstLineChars="0"/>
        <w:jc w:val="center"/>
        <w:rPr>
          <w:sz w:val="24"/>
          <w:szCs w:val="24"/>
        </w:rPr>
      </w:pPr>
      <w:r>
        <w:rPr>
          <w:sz w:val="24"/>
          <w:szCs w:val="24"/>
        </w:rPr>
        <mc:AlternateContent>
          <mc:Choice Requires="wps">
            <w:drawing>
              <wp:anchor distT="0" distB="0" distL="114300" distR="114300" simplePos="0" relativeHeight="251660288" behindDoc="0" locked="0" layoutInCell="1" allowOverlap="1">
                <wp:simplePos x="0" y="0"/>
                <wp:positionH relativeFrom="column">
                  <wp:posOffset>3541395</wp:posOffset>
                </wp:positionH>
                <wp:positionV relativeFrom="paragraph">
                  <wp:posOffset>6255385</wp:posOffset>
                </wp:positionV>
                <wp:extent cx="955675" cy="327025"/>
                <wp:effectExtent l="30480" t="12700" r="23495" b="250825"/>
                <wp:wrapNone/>
                <wp:docPr id="2" name="矩形标注 7"/>
                <wp:cNvGraphicFramePr/>
                <a:graphic xmlns:a="http://schemas.openxmlformats.org/drawingml/2006/main">
                  <a:graphicData uri="http://schemas.microsoft.com/office/word/2010/wordprocessingShape">
                    <wps:wsp>
                      <wps:cNvSpPr/>
                      <wps:spPr>
                        <a:xfrm>
                          <a:off x="0" y="0"/>
                          <a:ext cx="955675" cy="327025"/>
                        </a:xfrm>
                        <a:prstGeom prst="wedgeRectCallout">
                          <a:avLst>
                            <a:gd name="adj1" fmla="val -51856"/>
                            <a:gd name="adj2" fmla="val 119125"/>
                          </a:avLst>
                        </a:prstGeom>
                        <a:solidFill>
                          <a:srgbClr val="FFFFFF"/>
                        </a:solidFill>
                        <a:ln w="25400" cap="flat" cmpd="sng">
                          <a:solidFill>
                            <a:srgbClr val="FF0000"/>
                          </a:solidFill>
                          <a:prstDash val="solid"/>
                          <a:round/>
                          <a:headEnd type="none" w="med" len="med"/>
                          <a:tailEnd type="none" w="med" len="med"/>
                        </a:ln>
                      </wps:spPr>
                      <wps:txbx>
                        <w:txbxContent>
                          <w:p>
                            <w:pPr>
                              <w:spacing w:line="240" w:lineRule="auto"/>
                              <w:ind w:firstLine="0" w:firstLineChars="0"/>
                              <w:rPr>
                                <w:rFonts w:hint="eastAsia"/>
                                <w:sz w:val="21"/>
                                <w:szCs w:val="18"/>
                              </w:rPr>
                            </w:pPr>
                            <w:r>
                              <w:rPr>
                                <w:rFonts w:hint="eastAsia"/>
                                <w:sz w:val="21"/>
                                <w:szCs w:val="18"/>
                              </w:rPr>
                              <w:t>项目所在地</w:t>
                            </w:r>
                          </w:p>
                        </w:txbxContent>
                      </wps:txbx>
                      <wps:bodyPr wrap="square" anchor="ctr" anchorCtr="0" upright="1"/>
                    </wps:wsp>
                  </a:graphicData>
                </a:graphic>
              </wp:anchor>
            </w:drawing>
          </mc:Choice>
          <mc:Fallback>
            <w:pict>
              <v:shape id="矩形标注 7" o:spid="_x0000_s1026" o:spt="61" type="#_x0000_t61" style="position:absolute;left:0pt;margin-left:278.85pt;margin-top:492.55pt;height:25.75pt;width:75.25pt;z-index:251660288;v-text-anchor:middle;mso-width-relative:page;mso-height-relative:page;" fillcolor="#FFFFFF" filled="t" stroked="t" coordsize="21600,21600" o:gfxdata="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vyQ6Y2gAAAAwBAAAP&#10;AAAAAAAAAAEAIAAAACIAAABkcnMvZG93bnJldi54bWxQSwECFAAUAAAACACHTuJA8xT8DU8CAAC3&#10;BAAADgAAAAAAAAABACAAAAApAQAAZHJzL2Uyb0RvYy54bWxQSwUGAAAAAAYABgBZAQAA6gUAAAAA&#10;" adj="-401,36531">
                <v:fill on="t" focussize="0,0"/>
                <v:stroke weight="2pt" color="#FF0000" joinstyle="round"/>
                <v:imagedata o:title=""/>
                <o:lock v:ext="edit" aspectratio="f"/>
                <v:textbox>
                  <w:txbxContent>
                    <w:p>
                      <w:pPr>
                        <w:spacing w:line="240" w:lineRule="auto"/>
                        <w:ind w:firstLine="0" w:firstLineChars="0"/>
                        <w:rPr>
                          <w:rFonts w:hint="eastAsia"/>
                          <w:sz w:val="21"/>
                          <w:szCs w:val="18"/>
                        </w:rPr>
                      </w:pPr>
                      <w:r>
                        <w:rPr>
                          <w:rFonts w:hint="eastAsia"/>
                          <w:sz w:val="21"/>
                          <w:szCs w:val="18"/>
                        </w:rPr>
                        <w:t>项目所在地</w:t>
                      </w:r>
                    </w:p>
                  </w:txbxContent>
                </v:textbox>
              </v:shape>
            </w:pict>
          </mc:Fallback>
        </mc:AlternateContent>
      </w:r>
      <w:r>
        <w:rPr>
          <w:sz w:val="24"/>
          <w:szCs w:val="24"/>
        </w:rPr>
        <w:drawing>
          <wp:inline distT="0" distB="0" distL="114300" distR="114300">
            <wp:extent cx="5302250" cy="8112125"/>
            <wp:effectExtent l="0" t="0" r="12700" b="3175"/>
            <wp:docPr id="3" name="图片 15" descr="绵竹市行政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绵竹市行政区划图"/>
                    <pic:cNvPicPr>
                      <a:picLocks noChangeAspect="1"/>
                    </pic:cNvPicPr>
                  </pic:nvPicPr>
                  <pic:blipFill>
                    <a:blip r:embed="rId25"/>
                    <a:stretch>
                      <a:fillRect/>
                    </a:stretch>
                  </pic:blipFill>
                  <pic:spPr>
                    <a:xfrm>
                      <a:off x="0" y="0"/>
                      <a:ext cx="5302250" cy="8112125"/>
                    </a:xfrm>
                    <a:prstGeom prst="rect">
                      <a:avLst/>
                    </a:prstGeom>
                    <a:noFill/>
                    <a:ln>
                      <a:noFill/>
                    </a:ln>
                  </pic:spPr>
                </pic:pic>
              </a:graphicData>
            </a:graphic>
          </wp:inline>
        </w:drawing>
      </w:r>
    </w:p>
    <w:p>
      <w:pPr>
        <w:pStyle w:val="28"/>
        <w:ind w:firstLine="482"/>
      </w:pPr>
      <w:r>
        <w:t>图3-1  项目地理位置图</w:t>
      </w:r>
    </w:p>
    <w:p/>
    <w:p/>
    <w:p>
      <w:pPr>
        <w:rPr>
          <w:rFonts w:hint="eastAsia"/>
        </w:rPr>
      </w:pPr>
      <w:r>
        <w:rPr>
          <w:rFonts w:hint="eastAsia"/>
        </w:rPr>
        <w:t>本工程厂址位于绵竹装备制造产业园南部，总占地面积约18亩。项目位于绵竹装备制造产业园南部，该污水厂属园区规划环评及规划环评审查意见要求建设，建成后园区各企业经预处理后的废水可自流进入厂内。</w:t>
      </w:r>
    </w:p>
    <w:p>
      <w:pPr>
        <w:rPr>
          <w:rFonts w:hint="eastAsia"/>
        </w:rPr>
      </w:pPr>
      <w:r>
        <w:rPr>
          <w:rFonts w:hint="eastAsia"/>
        </w:rPr>
        <w:t>污水处理厂平面按功能分为厂前区、生产区（包括预处理区、生化区、污泥处理区），各区之间有道路和绿化带相隔。</w:t>
      </w:r>
    </w:p>
    <w:p>
      <w:pPr>
        <w:rPr>
          <w:rFonts w:hint="eastAsia"/>
        </w:rPr>
      </w:pPr>
      <w:r>
        <w:rPr>
          <w:rFonts w:hint="eastAsia"/>
        </w:rPr>
        <w:t>（1）厂前区布置</w:t>
      </w:r>
    </w:p>
    <w:p>
      <w:pPr>
        <w:rPr>
          <w:rFonts w:hint="eastAsia"/>
        </w:rPr>
      </w:pPr>
      <w:r>
        <w:rPr>
          <w:rFonts w:hint="eastAsia"/>
        </w:rPr>
        <w:t>厂前区内布置有综合楼、停车场等，把它们布置在厂西侧，有效避开全年主导风向的不利影响。厂前区与生产区之间用绿化隔离带分开，保证厂前区优美的环境。</w:t>
      </w:r>
    </w:p>
    <w:p>
      <w:pPr>
        <w:rPr>
          <w:rFonts w:hint="eastAsia"/>
        </w:rPr>
      </w:pPr>
      <w:r>
        <w:rPr>
          <w:rFonts w:hint="eastAsia"/>
        </w:rPr>
        <w:t>（2）污水处理区布置</w:t>
      </w:r>
    </w:p>
    <w:p>
      <w:pPr>
        <w:rPr>
          <w:rFonts w:hint="eastAsia"/>
        </w:rPr>
      </w:pPr>
      <w:r>
        <w:rPr>
          <w:rFonts w:hint="eastAsia"/>
        </w:rPr>
        <w:t>进水管道从污水厂的东侧进厂，处理后的出水位于西北侧。把粗格栅及污水提升泵房、细格栅及曝气沉砂池布置在场地东侧；配电间离生化池、鼓风机房和污泥脱水间较近，配电均匀、方便；生化池布置在厂区中部，尽量与预处理构筑物靠近，使得工艺流程顺畅；消毒池置于厂区西侧，以避免管线的迂回，并减少水头损失。</w:t>
      </w:r>
    </w:p>
    <w:p>
      <w:pPr>
        <w:rPr>
          <w:rFonts w:hint="eastAsia"/>
        </w:rPr>
      </w:pPr>
      <w:r>
        <w:rPr>
          <w:rFonts w:hint="eastAsia"/>
        </w:rPr>
        <w:t>（3）污泥处理区布置</w:t>
      </w:r>
    </w:p>
    <w:p>
      <w:pPr>
        <w:rPr>
          <w:rFonts w:hint="eastAsia"/>
        </w:rPr>
      </w:pPr>
      <w:r>
        <w:rPr>
          <w:rFonts w:hint="eastAsia"/>
        </w:rPr>
        <w:t>污泥处置区布置在厂区南面，与综合楼相隔较远，不会对其产生不良影响。污泥处理区设有污泥储池、污泥浓缩脱水间及污泥堆场等。</w:t>
      </w:r>
    </w:p>
    <w:p>
      <w:pPr>
        <w:rPr>
          <w:rFonts w:hint="eastAsia"/>
        </w:rPr>
      </w:pPr>
      <w:r>
        <w:rPr>
          <w:rFonts w:hint="eastAsia"/>
        </w:rPr>
        <w:t>（4）厂区道路</w:t>
      </w:r>
    </w:p>
    <w:p>
      <w:pPr>
        <w:rPr>
          <w:rFonts w:hint="eastAsia"/>
        </w:rPr>
      </w:pPr>
      <w:r>
        <w:rPr>
          <w:rFonts w:hint="eastAsia"/>
        </w:rPr>
        <w:t>为便于交通运输、消防、设备的安装维护，道路布置成环状，每个建（构）筑物间均有道路相通，厂内道路宽4m，混凝土路面。</w:t>
      </w:r>
    </w:p>
    <w:p>
      <w:pPr>
        <w:rPr>
          <w:rFonts w:hint="eastAsia"/>
        </w:rPr>
      </w:pPr>
      <w:r>
        <w:rPr>
          <w:rFonts w:hint="eastAsia"/>
        </w:rPr>
        <w:t>（5）深度处理预留地块</w:t>
      </w:r>
    </w:p>
    <w:p>
      <w:pPr>
        <w:rPr>
          <w:rFonts w:hint="eastAsia"/>
        </w:rPr>
      </w:pPr>
      <w:r>
        <w:rPr>
          <w:rFonts w:hint="eastAsia"/>
        </w:rPr>
        <w:t>考虑到园区来水的不确定性，设计单位在厂区西南角设置预留空地用于后续废水处理设施建设，使废水能达标排放。</w:t>
      </w:r>
    </w:p>
    <w:p>
      <w:pPr>
        <w:sectPr>
          <w:pgSz w:w="11906" w:h="16838"/>
          <w:pgMar w:top="1134" w:right="1417" w:bottom="1134" w:left="1417" w:header="850" w:footer="850" w:gutter="0"/>
          <w:pgBorders>
            <w:top w:val="none" w:sz="0" w:space="0"/>
            <w:left w:val="none" w:sz="0" w:space="0"/>
            <w:bottom w:val="none" w:sz="0" w:space="0"/>
            <w:right w:val="none" w:sz="0" w:space="0"/>
          </w:pgBorders>
          <w:pgNumType w:fmt="decimal"/>
          <w:cols w:space="720" w:num="1"/>
          <w:docGrid w:type="lines" w:linePitch="416" w:charSpace="0"/>
        </w:sectPr>
      </w:pPr>
      <w:r>
        <w:rPr>
          <w:rFonts w:hint="eastAsia"/>
        </w:rPr>
        <w:t>综上所述，厂区总平面布置做到工艺流程合理，功能分区明确、雨污分流、道路网络和宽度满足工程内外运输及消防要求，绿化达标，因此，总图布置合理</w:t>
      </w:r>
      <w:r>
        <w:t>。项目厂区平面图见图3-2。</w:t>
      </w:r>
    </w:p>
    <w:p>
      <w:pPr>
        <w:widowControl/>
        <w:wordWrap w:val="0"/>
        <w:topLinePunct/>
        <w:ind w:firstLine="0" w:firstLineChars="0"/>
        <w:jc w:val="center"/>
        <w:rPr>
          <w:rFonts w:hint="eastAsia"/>
        </w:rPr>
      </w:pPr>
      <w:r>
        <w:drawing>
          <wp:inline distT="0" distB="0" distL="114300" distR="114300">
            <wp:extent cx="8742680" cy="5497830"/>
            <wp:effectExtent l="0" t="0" r="1270" b="7620"/>
            <wp:docPr id="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pic:cNvPicPr>
                      <a:picLocks noChangeAspect="1"/>
                    </pic:cNvPicPr>
                  </pic:nvPicPr>
                  <pic:blipFill>
                    <a:blip r:embed="rId26"/>
                    <a:srcRect t="13078" b="5264"/>
                    <a:stretch>
                      <a:fillRect/>
                    </a:stretch>
                  </pic:blipFill>
                  <pic:spPr>
                    <a:xfrm>
                      <a:off x="0" y="0"/>
                      <a:ext cx="8742680" cy="5497830"/>
                    </a:xfrm>
                    <a:prstGeom prst="rect">
                      <a:avLst/>
                    </a:prstGeom>
                    <a:noFill/>
                    <a:ln>
                      <a:noFill/>
                    </a:ln>
                  </pic:spPr>
                </pic:pic>
              </a:graphicData>
            </a:graphic>
          </wp:inline>
        </w:drawing>
      </w:r>
    </w:p>
    <w:p>
      <w:pPr>
        <w:pStyle w:val="28"/>
        <w:ind w:firstLine="482"/>
      </w:pPr>
      <w:r>
        <w:t>图3-2  项目总平面布置图</w:t>
      </w:r>
    </w:p>
    <w:p>
      <w:pPr>
        <w:sectPr>
          <w:pgSz w:w="16838" w:h="11906" w:orient="landscape"/>
          <w:pgMar w:top="1134" w:right="1417" w:bottom="1134" w:left="1417" w:header="850" w:footer="850" w:gutter="0"/>
          <w:pgBorders>
            <w:top w:val="none" w:sz="0" w:space="0"/>
            <w:left w:val="none" w:sz="0" w:space="0"/>
            <w:bottom w:val="none" w:sz="0" w:space="0"/>
            <w:right w:val="none" w:sz="0" w:space="0"/>
          </w:pgBorders>
          <w:pgNumType w:fmt="decimal"/>
          <w:cols w:space="720" w:num="1"/>
          <w:docGrid w:type="lines" w:linePitch="416" w:charSpace="0"/>
        </w:sectPr>
      </w:pPr>
    </w:p>
    <w:p>
      <w:pPr>
        <w:rPr>
          <w:rFonts w:hint="eastAsia"/>
        </w:rPr>
      </w:pPr>
      <w:r>
        <w:rPr>
          <w:rFonts w:hint="eastAsia"/>
        </w:rPr>
        <w:t>1、厂址外环境</w:t>
      </w:r>
    </w:p>
    <w:p>
      <w:pPr>
        <w:rPr>
          <w:rFonts w:hint="eastAsia"/>
        </w:rPr>
      </w:pPr>
      <w:r>
        <w:rPr>
          <w:rFonts w:hint="eastAsia"/>
        </w:rPr>
        <w:t>本项目位于绵竹市新市镇金兰村，根据现场踏勘，本项目位于绵竹装备制造产业园区内，为建设用地，项目周边主要为农村环境。厂界东侧约95m、南侧约117m处为金兰村住户；厂界西侧约336m为成青公路，公路以西44m（距离厂界约380m）为金兰村住户；厂界西北侧约138m处为四川伟云铝业有限公司，厂界北侧约25m处为横三路，横三路以北为盛泉钢铁（在建）、四川鑫硕电气设备有限公司（在建）用地，厂区西侧约50m为四川塑电线缆有限公司（在建）。</w:t>
      </w:r>
    </w:p>
    <w:p>
      <w:pPr>
        <w:rPr>
          <w:rFonts w:hint="eastAsia"/>
        </w:rPr>
      </w:pPr>
      <w:r>
        <w:rPr>
          <w:rFonts w:hint="eastAsia"/>
        </w:rPr>
        <w:t>距离北厂界（厂界内）约20m处有一农灌渠由西向东穿越项目厂区。</w:t>
      </w:r>
    </w:p>
    <w:p>
      <w:pPr>
        <w:rPr>
          <w:rFonts w:hint="eastAsia"/>
        </w:rPr>
      </w:pPr>
      <w:r>
        <w:rPr>
          <w:rFonts w:hint="eastAsia"/>
        </w:rPr>
        <w:t>2、管网外环境</w:t>
      </w:r>
    </w:p>
    <w:p>
      <w:pPr>
        <w:rPr>
          <w:rFonts w:hint="eastAsia"/>
        </w:rPr>
      </w:pPr>
      <w:r>
        <w:rPr>
          <w:rFonts w:hint="eastAsia"/>
        </w:rPr>
        <w:t>项目管网主要为尾水管网，长度约2886m，DN400。尾水管网由厂区北侧尾水排放渠引出，沿着厂区由西向东敷设，在K0+235-K0+238处跨越一农灌渠；然后向东南方向敷设，在K0+597-K0+629段穿越成兰铁路（高架）；然后沿着成兰铁路与成绵高速复线（高架）之间的空地由西南向东北方向敷设至射水河，涉及穿越农灌渠。</w:t>
      </w:r>
    </w:p>
    <w:p>
      <w:r>
        <w:rPr>
          <w:rFonts w:hint="eastAsia"/>
        </w:rPr>
        <w:t>根据现场踏勘，在尾水管线两侧200m范围内，涉及居民段主要为：K0+192-K0+580段南侧约20m处为金兰村住户，K2+560-K2+760段南侧约145m处为年俗村住户，其余各段200m范围内无居民点。</w:t>
      </w:r>
    </w:p>
    <w:p>
      <w:pPr>
        <w:sectPr>
          <w:pgSz w:w="11906" w:h="16838"/>
          <w:pgMar w:top="1134" w:right="1417" w:bottom="1134" w:left="1417" w:header="850" w:footer="850" w:gutter="0"/>
          <w:pgBorders>
            <w:top w:val="none" w:sz="0" w:space="0"/>
            <w:left w:val="none" w:sz="0" w:space="0"/>
            <w:bottom w:val="none" w:sz="0" w:space="0"/>
            <w:right w:val="none" w:sz="0" w:space="0"/>
          </w:pgBorders>
          <w:pgNumType w:fmt="decimal"/>
          <w:cols w:space="720" w:num="1"/>
          <w:docGrid w:type="lines" w:linePitch="416" w:charSpace="0"/>
        </w:sectPr>
      </w:pPr>
      <w:r>
        <w:t>项目</w:t>
      </w:r>
      <w:r>
        <w:rPr>
          <w:rFonts w:hint="eastAsia"/>
        </w:rPr>
        <w:t>以</w:t>
      </w:r>
      <w:r>
        <w:t>恶臭污染源</w:t>
      </w:r>
      <w:r>
        <w:rPr>
          <w:rFonts w:hint="eastAsia"/>
        </w:rPr>
        <w:t>（</w:t>
      </w:r>
      <w:r>
        <w:t>A</w:t>
      </w:r>
      <w:r>
        <w:rPr>
          <w:vertAlign w:val="superscript"/>
        </w:rPr>
        <w:t>2</w:t>
      </w:r>
      <w:r>
        <w:t>/O生物池、污泥浓缩脱水间</w:t>
      </w:r>
      <w:r>
        <w:rPr>
          <w:rFonts w:hint="eastAsia"/>
        </w:rPr>
        <w:t>等）边界</w:t>
      </w:r>
      <w:r>
        <w:t>100m</w:t>
      </w:r>
      <w:r>
        <w:rPr>
          <w:rFonts w:hint="eastAsia"/>
        </w:rPr>
        <w:t>划定</w:t>
      </w:r>
      <w:r>
        <w:t>卫生防护距离，</w:t>
      </w:r>
      <w:r>
        <w:rPr>
          <w:rFonts w:hint="eastAsia"/>
        </w:rPr>
        <w:t>该距离内无新建的医院、学校、居民区等</w:t>
      </w:r>
      <w:r>
        <w:t>环境敏感目标。项目外环境关系见图3-3（附图3）。</w:t>
      </w:r>
    </w:p>
    <w:p>
      <w:pPr>
        <w:pStyle w:val="16"/>
        <w:spacing w:line="240" w:lineRule="auto"/>
        <w:ind w:left="0" w:leftChars="0" w:firstLine="0" w:firstLineChars="0"/>
        <w:jc w:val="both"/>
      </w:pPr>
      <w:r>
        <w:drawing>
          <wp:inline distT="0" distB="0" distL="114300" distR="114300">
            <wp:extent cx="8848090" cy="5499100"/>
            <wp:effectExtent l="0" t="0" r="10160" b="6350"/>
            <wp:docPr id="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pic:cNvPicPr>
                      <a:picLocks noChangeAspect="1"/>
                    </pic:cNvPicPr>
                  </pic:nvPicPr>
                  <pic:blipFill>
                    <a:blip r:embed="rId27"/>
                    <a:stretch>
                      <a:fillRect/>
                    </a:stretch>
                  </pic:blipFill>
                  <pic:spPr>
                    <a:xfrm>
                      <a:off x="0" y="0"/>
                      <a:ext cx="8848090" cy="5499100"/>
                    </a:xfrm>
                    <a:prstGeom prst="rect">
                      <a:avLst/>
                    </a:prstGeom>
                    <a:noFill/>
                    <a:ln>
                      <a:noFill/>
                    </a:ln>
                  </pic:spPr>
                </pic:pic>
              </a:graphicData>
            </a:graphic>
          </wp:inline>
        </w:drawing>
      </w:r>
    </w:p>
    <w:p>
      <w:pPr>
        <w:pStyle w:val="28"/>
        <w:ind w:firstLine="482"/>
        <w:sectPr>
          <w:pgSz w:w="16838" w:h="11906" w:orient="landscape"/>
          <w:pgMar w:top="1134" w:right="1417" w:bottom="1134" w:left="1417" w:header="850" w:footer="850" w:gutter="0"/>
          <w:pgBorders>
            <w:top w:val="none" w:sz="0" w:space="0"/>
            <w:left w:val="none" w:sz="0" w:space="0"/>
            <w:bottom w:val="none" w:sz="0" w:space="0"/>
            <w:right w:val="none" w:sz="0" w:space="0"/>
          </w:pgBorders>
          <w:pgNumType w:fmt="decimal"/>
          <w:cols w:space="720" w:num="1"/>
          <w:docGrid w:type="lines" w:linePitch="416" w:charSpace="0"/>
        </w:sectPr>
      </w:pPr>
      <w:r>
        <w:t>图3-3项目外环境关系图</w:t>
      </w:r>
    </w:p>
    <w:p/>
    <w:p>
      <w:pPr>
        <w:pStyle w:val="5"/>
        <w:keepLines w:val="0"/>
        <w:numPr>
          <w:ilvl w:val="0"/>
          <w:numId w:val="0"/>
        </w:numPr>
        <w:tabs>
          <w:tab w:val="left" w:pos="1134"/>
        </w:tabs>
        <w:adjustRightInd/>
        <w:textAlignment w:val="auto"/>
        <w:rPr>
          <w:bCs/>
          <w:szCs w:val="30"/>
        </w:rPr>
      </w:pPr>
      <w:bookmarkStart w:id="30" w:name="_Toc24799"/>
      <w:bookmarkStart w:id="31" w:name="_Toc19112"/>
      <w:bookmarkStart w:id="32" w:name="_Toc30647"/>
      <w:bookmarkStart w:id="33" w:name="_Toc519171324"/>
      <w:r>
        <w:rPr>
          <w:bCs/>
          <w:szCs w:val="30"/>
        </w:rPr>
        <w:t>3.2建设内容</w:t>
      </w:r>
      <w:bookmarkEnd w:id="30"/>
      <w:bookmarkEnd w:id="31"/>
      <w:bookmarkEnd w:id="32"/>
      <w:bookmarkEnd w:id="33"/>
    </w:p>
    <w:p>
      <w:pPr>
        <w:rPr>
          <w:rFonts w:hint="eastAsia" w:eastAsia="宋体"/>
          <w:lang w:eastAsia="zh-CN"/>
        </w:rPr>
      </w:pPr>
      <w:r>
        <w:t>项目名称：</w:t>
      </w:r>
      <w:r>
        <w:rPr>
          <w:rFonts w:hint="eastAsia"/>
          <w:lang w:eastAsia="zh-CN"/>
        </w:rPr>
        <w:t>绵竹装备制造产业园污水处理厂项目（一期）</w:t>
      </w:r>
    </w:p>
    <w:p>
      <w:r>
        <w:t>项目性质：</w:t>
      </w:r>
      <w:r>
        <w:rPr>
          <w:rFonts w:hint="eastAsia"/>
          <w:lang w:val="en-US" w:eastAsia="zh-CN"/>
        </w:rPr>
        <w:t>新</w:t>
      </w:r>
      <w:r>
        <w:t>建</w:t>
      </w:r>
    </w:p>
    <w:p>
      <w:pPr>
        <w:rPr>
          <w:rFonts w:hint="eastAsia" w:eastAsia="宋体"/>
          <w:lang w:eastAsia="zh-CN"/>
        </w:rPr>
      </w:pPr>
      <w:r>
        <w:t>建设单位：</w:t>
      </w:r>
      <w:r>
        <w:rPr>
          <w:rFonts w:hint="eastAsia"/>
          <w:lang w:eastAsia="zh-CN"/>
        </w:rPr>
        <w:t>绵竹国润排水有限公司</w:t>
      </w:r>
    </w:p>
    <w:p>
      <w:r>
        <w:t>项目投资：</w:t>
      </w:r>
      <w:r>
        <w:rPr>
          <w:rFonts w:hint="eastAsia"/>
          <w:lang w:eastAsia="zh-CN"/>
        </w:rPr>
        <w:t>4312.86</w:t>
      </w:r>
      <w:r>
        <w:t>万元。</w:t>
      </w:r>
    </w:p>
    <w:p>
      <w:r>
        <w:rPr>
          <w:rFonts w:hint="eastAsia"/>
        </w:rPr>
        <w:t>建设地点：绵竹装备制造产业园南部，总占地面积18亩</w:t>
      </w:r>
    </w:p>
    <w:p>
      <w:r>
        <w:t>建设内容：</w:t>
      </w:r>
      <w:r>
        <w:rPr>
          <w:rFonts w:hint="eastAsia"/>
        </w:rPr>
        <w:t>项目为绵竹装备制造产业园污水处理厂项目，设计污水处理厂总规模为3000m³/d，其中一期规模为1000m³/d，新建污水管线约2862m。项目设计采用“进水→粗格栅、提升泵房→细格栅及曝气沉砂池→缓冲调节池→水解酸化池→改良A2/O→高效沉淀池→转鼓精密过滤器→接触消毒池”工艺，出水标准为《四川省岷江、沱江流域水污染排放标准》（DB51/2311-2016）中“工业园区集中式污水处理厂”标准，排入射水河。</w:t>
      </w:r>
    </w:p>
    <w:p>
      <w:r>
        <w:t>生产规模：处理废水1</w:t>
      </w:r>
      <w:r>
        <w:rPr>
          <w:rFonts w:hint="eastAsia"/>
          <w:lang w:val="en-US" w:eastAsia="zh-CN"/>
        </w:rPr>
        <w:t>000</w:t>
      </w:r>
      <w:r>
        <w:t>m</w:t>
      </w:r>
      <w:r>
        <w:rPr>
          <w:vertAlign w:val="superscript"/>
        </w:rPr>
        <w:t>3</w:t>
      </w:r>
      <w:r>
        <w:t>/d</w:t>
      </w:r>
    </w:p>
    <w:p>
      <w:r>
        <w:t>劳动定员：</w:t>
      </w:r>
      <w:r>
        <w:rPr>
          <w:rFonts w:hint="eastAsia"/>
          <w:lang w:val="en-US" w:eastAsia="zh-CN"/>
        </w:rPr>
        <w:t>1</w:t>
      </w:r>
      <w:r>
        <w:t>1人。</w:t>
      </w:r>
    </w:p>
    <w:p>
      <w:r>
        <w:t>生产制度：年工作365天，三班制，每班8h。</w:t>
      </w:r>
    </w:p>
    <w:p>
      <w:r>
        <w:rPr>
          <w:rFonts w:hint="eastAsia"/>
        </w:rPr>
        <w:t>工程服务范围</w:t>
      </w:r>
      <w:r>
        <w:rPr>
          <w:rFonts w:hint="eastAsia"/>
          <w:lang w:eastAsia="zh-CN"/>
        </w:rPr>
        <w:t>：</w:t>
      </w:r>
      <w:r>
        <w:rPr>
          <w:rFonts w:hint="eastAsia"/>
        </w:rPr>
        <w:t>本项目的服务范围主要为绵竹装备制造产业园（原新市物流园）企业生产废水及生活污水、孝德镇清道社区及年俗村新村的生活污水。</w:t>
      </w:r>
    </w:p>
    <w:p>
      <w:pPr>
        <w:sectPr>
          <w:pgSz w:w="11906" w:h="16838"/>
          <w:pgMar w:top="1134" w:right="1417" w:bottom="1134" w:left="1417" w:header="850" w:footer="850" w:gutter="0"/>
          <w:pgBorders>
            <w:top w:val="none" w:sz="0" w:space="0"/>
            <w:left w:val="none" w:sz="0" w:space="0"/>
            <w:bottom w:val="none" w:sz="0" w:space="0"/>
            <w:right w:val="none" w:sz="0" w:space="0"/>
          </w:pgBorders>
          <w:pgNumType w:fmt="decimal"/>
          <w:cols w:space="720" w:num="1"/>
          <w:docGrid w:type="lines" w:linePitch="416" w:charSpace="0"/>
        </w:sectPr>
      </w:pPr>
      <w:r>
        <w:t>项目组成及主要环境问题见表3-1。</w:t>
      </w:r>
    </w:p>
    <w:p>
      <w:pPr>
        <w:pStyle w:val="28"/>
        <w:ind w:firstLine="482"/>
      </w:pPr>
      <w:r>
        <w:t>表3-1 项目组成及主要环境问题</w:t>
      </w:r>
    </w:p>
    <w:tbl>
      <w:tblPr>
        <w:tblStyle w:val="19"/>
        <w:tblW w:w="4991"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50"/>
        <w:gridCol w:w="1388"/>
        <w:gridCol w:w="5138"/>
        <w:gridCol w:w="5155"/>
        <w:gridCol w:w="990"/>
        <w:gridCol w:w="107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blHeader/>
        </w:trPr>
        <w:tc>
          <w:tcPr>
            <w:tcW w:w="616" w:type="pct"/>
            <w:gridSpan w:val="2"/>
            <w:noWrap w:val="0"/>
            <w:vAlign w:val="center"/>
          </w:tcPr>
          <w:p>
            <w:pPr>
              <w:pStyle w:val="29"/>
              <w:rPr>
                <w:b/>
                <w:bCs/>
                <w:szCs w:val="21"/>
              </w:rPr>
            </w:pPr>
            <w:r>
              <w:rPr>
                <w:b/>
                <w:bCs/>
                <w:szCs w:val="21"/>
              </w:rPr>
              <w:t>项目名称</w:t>
            </w:r>
          </w:p>
        </w:tc>
        <w:tc>
          <w:tcPr>
            <w:tcW w:w="1822" w:type="pct"/>
            <w:noWrap w:val="0"/>
            <w:vAlign w:val="center"/>
          </w:tcPr>
          <w:p>
            <w:pPr>
              <w:pStyle w:val="29"/>
              <w:rPr>
                <w:b/>
                <w:bCs/>
                <w:szCs w:val="21"/>
              </w:rPr>
            </w:pPr>
            <w:r>
              <w:rPr>
                <w:b/>
                <w:bCs/>
                <w:szCs w:val="21"/>
              </w:rPr>
              <w:t>环评建设内容</w:t>
            </w:r>
          </w:p>
        </w:tc>
        <w:tc>
          <w:tcPr>
            <w:tcW w:w="1828" w:type="pct"/>
            <w:noWrap w:val="0"/>
            <w:vAlign w:val="center"/>
          </w:tcPr>
          <w:p>
            <w:pPr>
              <w:pStyle w:val="29"/>
              <w:rPr>
                <w:b/>
                <w:bCs/>
                <w:szCs w:val="21"/>
              </w:rPr>
            </w:pPr>
            <w:r>
              <w:rPr>
                <w:b/>
                <w:bCs/>
                <w:szCs w:val="21"/>
              </w:rPr>
              <w:t>实际建设内容</w:t>
            </w:r>
          </w:p>
        </w:tc>
        <w:tc>
          <w:tcPr>
            <w:tcW w:w="351" w:type="pct"/>
            <w:noWrap w:val="0"/>
            <w:vAlign w:val="center"/>
          </w:tcPr>
          <w:p>
            <w:pPr>
              <w:pStyle w:val="29"/>
              <w:rPr>
                <w:b/>
                <w:bCs/>
                <w:szCs w:val="21"/>
              </w:rPr>
            </w:pPr>
            <w:r>
              <w:rPr>
                <w:b/>
                <w:bCs/>
                <w:szCs w:val="21"/>
              </w:rPr>
              <w:t>是否与环评一致</w:t>
            </w:r>
          </w:p>
        </w:tc>
        <w:tc>
          <w:tcPr>
            <w:tcW w:w="380" w:type="pct"/>
            <w:noWrap w:val="0"/>
            <w:vAlign w:val="center"/>
          </w:tcPr>
          <w:p>
            <w:pPr>
              <w:pStyle w:val="29"/>
              <w:rPr>
                <w:b/>
                <w:bCs/>
                <w:szCs w:val="21"/>
              </w:rPr>
            </w:pPr>
            <w:r>
              <w:rPr>
                <w:b/>
                <w:bCs/>
                <w:szCs w:val="21"/>
              </w:rPr>
              <w:t>产生的环境问题</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4" w:type="pct"/>
            <w:vMerge w:val="restart"/>
            <w:noWrap w:val="0"/>
            <w:vAlign w:val="center"/>
          </w:tcPr>
          <w:p>
            <w:pPr>
              <w:pStyle w:val="29"/>
              <w:rPr>
                <w:szCs w:val="21"/>
              </w:rPr>
            </w:pPr>
            <w:r>
              <w:rPr>
                <w:szCs w:val="21"/>
              </w:rPr>
              <w:t>主体</w:t>
            </w:r>
          </w:p>
          <w:p>
            <w:pPr>
              <w:pStyle w:val="29"/>
              <w:rPr>
                <w:szCs w:val="21"/>
              </w:rPr>
            </w:pPr>
            <w:r>
              <w:rPr>
                <w:szCs w:val="21"/>
              </w:rPr>
              <w:t>工程</w:t>
            </w:r>
          </w:p>
        </w:tc>
        <w:tc>
          <w:tcPr>
            <w:tcW w:w="492" w:type="pct"/>
            <w:noWrap w:val="0"/>
            <w:vAlign w:val="center"/>
          </w:tcPr>
          <w:p>
            <w:pPr>
              <w:pStyle w:val="29"/>
              <w:rPr>
                <w:rFonts w:hint="eastAsia"/>
                <w:szCs w:val="21"/>
              </w:rPr>
            </w:pPr>
            <w:r>
              <w:rPr>
                <w:rFonts w:hint="eastAsia"/>
                <w:szCs w:val="21"/>
              </w:rPr>
              <w:t>粗格栅、提升</w:t>
            </w:r>
          </w:p>
          <w:p>
            <w:pPr>
              <w:pStyle w:val="29"/>
              <w:rPr>
                <w:szCs w:val="21"/>
              </w:rPr>
            </w:pPr>
            <w:r>
              <w:rPr>
                <w:rFonts w:hint="eastAsia"/>
                <w:szCs w:val="21"/>
              </w:rPr>
              <w:t>泵房</w:t>
            </w:r>
          </w:p>
        </w:tc>
        <w:tc>
          <w:tcPr>
            <w:tcW w:w="1822" w:type="pct"/>
            <w:noWrap w:val="0"/>
            <w:vAlign w:val="center"/>
          </w:tcPr>
          <w:p>
            <w:pPr>
              <w:pStyle w:val="29"/>
              <w:jc w:val="both"/>
              <w:rPr>
                <w:szCs w:val="21"/>
              </w:rPr>
            </w:pPr>
            <w:r>
              <w:rPr>
                <w:rFonts w:hint="eastAsia"/>
                <w:szCs w:val="21"/>
              </w:rPr>
              <w:t>1座，钢筋砼结构，L×B×H=8.6×2.8×5.65m、L×B×H=8.3×8.3×6.85m，土建按3000m</w:t>
            </w:r>
            <w:r>
              <w:rPr>
                <w:rFonts w:hint="eastAsia"/>
                <w:szCs w:val="21"/>
                <w:vertAlign w:val="superscript"/>
              </w:rPr>
              <w:t>3</w:t>
            </w:r>
            <w:r>
              <w:rPr>
                <w:rFonts w:hint="eastAsia"/>
                <w:szCs w:val="21"/>
              </w:rPr>
              <w:t>/d一次建成。</w:t>
            </w:r>
          </w:p>
        </w:tc>
        <w:tc>
          <w:tcPr>
            <w:tcW w:w="1828" w:type="pct"/>
            <w:noWrap w:val="0"/>
            <w:vAlign w:val="center"/>
          </w:tcPr>
          <w:p>
            <w:pPr>
              <w:pStyle w:val="29"/>
              <w:ind w:firstLine="0" w:firstLineChars="0"/>
              <w:jc w:val="both"/>
              <w:rPr>
                <w:rFonts w:ascii="Times New Roman" w:hAnsi="Times New Roman" w:eastAsia="宋体"/>
                <w:kern w:val="2"/>
                <w:sz w:val="21"/>
                <w:szCs w:val="21"/>
                <w:lang w:val="en-US" w:eastAsia="zh-CN" w:bidi="ar-SA"/>
              </w:rPr>
            </w:pPr>
            <w:r>
              <w:rPr>
                <w:rFonts w:hint="eastAsia"/>
                <w:szCs w:val="21"/>
              </w:rPr>
              <w:t>1座，钢筋砼结构，L×B×H=8.6×2.8×5.65m、L×B×H=8.3×8.3×6.85m，土建按3000m</w:t>
            </w:r>
            <w:r>
              <w:rPr>
                <w:rFonts w:hint="eastAsia"/>
                <w:szCs w:val="21"/>
                <w:vertAlign w:val="superscript"/>
              </w:rPr>
              <w:t>3</w:t>
            </w:r>
            <w:r>
              <w:rPr>
                <w:rFonts w:hint="eastAsia"/>
                <w:szCs w:val="21"/>
              </w:rPr>
              <w:t>/d一次建成。</w:t>
            </w:r>
          </w:p>
        </w:tc>
        <w:tc>
          <w:tcPr>
            <w:tcW w:w="351" w:type="pct"/>
            <w:noWrap w:val="0"/>
            <w:vAlign w:val="center"/>
          </w:tcPr>
          <w:p>
            <w:pPr>
              <w:pStyle w:val="29"/>
              <w:rPr>
                <w:szCs w:val="21"/>
              </w:rPr>
            </w:pPr>
            <w:r>
              <w:rPr>
                <w:rFonts w:hint="eastAsia"/>
                <w:szCs w:val="21"/>
              </w:rPr>
              <w:t>是</w:t>
            </w:r>
          </w:p>
        </w:tc>
        <w:tc>
          <w:tcPr>
            <w:tcW w:w="380" w:type="pct"/>
            <w:vMerge w:val="restart"/>
            <w:noWrap w:val="0"/>
            <w:vAlign w:val="center"/>
          </w:tcPr>
          <w:p>
            <w:pPr>
              <w:pStyle w:val="29"/>
              <w:rPr>
                <w:szCs w:val="21"/>
              </w:rPr>
            </w:pPr>
            <w:r>
              <w:rPr>
                <w:szCs w:val="21"/>
              </w:rPr>
              <w:t>噪声</w:t>
            </w:r>
          </w:p>
          <w:p>
            <w:pPr>
              <w:pStyle w:val="29"/>
              <w:rPr>
                <w:szCs w:val="21"/>
              </w:rPr>
            </w:pPr>
            <w:r>
              <w:rPr>
                <w:szCs w:val="21"/>
              </w:rPr>
              <w:t>恶臭</w:t>
            </w:r>
          </w:p>
          <w:p>
            <w:pPr>
              <w:pStyle w:val="29"/>
              <w:rPr>
                <w:szCs w:val="21"/>
              </w:rPr>
            </w:pPr>
            <w:r>
              <w:rPr>
                <w:szCs w:val="21"/>
              </w:rPr>
              <w:t>隔渣</w:t>
            </w:r>
          </w:p>
          <w:p>
            <w:pPr>
              <w:pStyle w:val="29"/>
              <w:rPr>
                <w:szCs w:val="21"/>
              </w:rPr>
            </w:pPr>
            <w:r>
              <w:rPr>
                <w:szCs w:val="21"/>
              </w:rPr>
              <w:t>污泥</w:t>
            </w:r>
          </w:p>
          <w:p>
            <w:pPr>
              <w:pStyle w:val="29"/>
              <w:rPr>
                <w:szCs w:val="21"/>
              </w:rPr>
            </w:pPr>
            <w:r>
              <w:rPr>
                <w:szCs w:val="21"/>
              </w:rPr>
              <w:t>冲洗废水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4" w:type="pct"/>
            <w:vMerge w:val="continue"/>
            <w:noWrap w:val="0"/>
            <w:vAlign w:val="center"/>
          </w:tcPr>
          <w:p>
            <w:pPr>
              <w:pStyle w:val="29"/>
              <w:rPr>
                <w:szCs w:val="21"/>
              </w:rPr>
            </w:pPr>
          </w:p>
        </w:tc>
        <w:tc>
          <w:tcPr>
            <w:tcW w:w="492" w:type="pct"/>
            <w:noWrap w:val="0"/>
            <w:vAlign w:val="center"/>
          </w:tcPr>
          <w:p>
            <w:pPr>
              <w:pStyle w:val="29"/>
              <w:jc w:val="both"/>
              <w:rPr>
                <w:rFonts w:hint="eastAsia" w:ascii="Times New Roman" w:hAnsi="Times New Roman" w:eastAsia="宋体" w:cs="Times New Roman"/>
                <w:szCs w:val="21"/>
              </w:rPr>
            </w:pPr>
            <w:r>
              <w:rPr>
                <w:rFonts w:hint="eastAsia" w:ascii="Times New Roman" w:hAnsi="Times New Roman" w:eastAsia="宋体" w:cs="Times New Roman"/>
                <w:szCs w:val="21"/>
              </w:rPr>
              <w:t>细格栅及曝气</w:t>
            </w:r>
          </w:p>
          <w:p>
            <w:pPr>
              <w:pStyle w:val="29"/>
              <w:jc w:val="both"/>
              <w:rPr>
                <w:rFonts w:hint="eastAsia" w:ascii="Times New Roman" w:hAnsi="Times New Roman" w:eastAsia="宋体" w:cs="Times New Roman"/>
                <w:szCs w:val="21"/>
              </w:rPr>
            </w:pPr>
            <w:r>
              <w:rPr>
                <w:rFonts w:hint="eastAsia" w:ascii="Times New Roman" w:hAnsi="Times New Roman" w:eastAsia="宋体" w:cs="Times New Roman"/>
                <w:szCs w:val="21"/>
              </w:rPr>
              <w:t>沉砂池</w:t>
            </w:r>
          </w:p>
        </w:tc>
        <w:tc>
          <w:tcPr>
            <w:tcW w:w="1822" w:type="pct"/>
            <w:noWrap w:val="0"/>
            <w:vAlign w:val="center"/>
          </w:tcPr>
          <w:p>
            <w:pPr>
              <w:pStyle w:val="29"/>
              <w:jc w:val="both"/>
              <w:rPr>
                <w:rFonts w:hint="eastAsia" w:ascii="Times New Roman" w:hAnsi="Times New Roman" w:eastAsia="宋体" w:cs="Times New Roman"/>
                <w:szCs w:val="21"/>
              </w:rPr>
            </w:pPr>
            <w:r>
              <w:rPr>
                <w:rFonts w:hint="eastAsia" w:ascii="Times New Roman" w:hAnsi="Times New Roman" w:eastAsia="宋体" w:cs="Times New Roman"/>
                <w:szCs w:val="21"/>
              </w:rPr>
              <w:t>1座，钢筋砼结构，L×B×H=10.7×2.6×1.35m、L×B×H=11.2×4.6×2.45m，土建按3000m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/d一次建成。</w:t>
            </w:r>
          </w:p>
        </w:tc>
        <w:tc>
          <w:tcPr>
            <w:tcW w:w="1828" w:type="pct"/>
            <w:noWrap w:val="0"/>
            <w:vAlign w:val="center"/>
          </w:tcPr>
          <w:p>
            <w:pPr>
              <w:pStyle w:val="29"/>
              <w:ind w:firstLine="0" w:firstLineChars="0"/>
              <w:jc w:val="both"/>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1座，钢筋砼结构，L×B×H=10.7×2.6×1.35m、L×B×H=11.2×4.6×2.45m，土建按3000m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/d一次建成。</w:t>
            </w:r>
          </w:p>
        </w:tc>
        <w:tc>
          <w:tcPr>
            <w:tcW w:w="351" w:type="pct"/>
            <w:noWrap w:val="0"/>
            <w:vAlign w:val="center"/>
          </w:tcPr>
          <w:p>
            <w:pPr>
              <w:pStyle w:val="29"/>
              <w:rPr>
                <w:szCs w:val="21"/>
              </w:rPr>
            </w:pPr>
            <w:r>
              <w:rPr>
                <w:szCs w:val="21"/>
              </w:rPr>
              <w:t>是</w:t>
            </w:r>
          </w:p>
        </w:tc>
        <w:tc>
          <w:tcPr>
            <w:tcW w:w="380" w:type="pct"/>
            <w:vMerge w:val="continue"/>
            <w:noWrap w:val="0"/>
            <w:vAlign w:val="center"/>
          </w:tcPr>
          <w:p>
            <w:pPr>
              <w:pStyle w:val="29"/>
              <w:rPr>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4" w:type="pct"/>
            <w:vMerge w:val="continue"/>
            <w:noWrap w:val="0"/>
            <w:vAlign w:val="center"/>
          </w:tcPr>
          <w:p>
            <w:pPr>
              <w:pStyle w:val="29"/>
              <w:rPr>
                <w:szCs w:val="21"/>
              </w:rPr>
            </w:pPr>
          </w:p>
        </w:tc>
        <w:tc>
          <w:tcPr>
            <w:tcW w:w="492" w:type="pct"/>
            <w:noWrap w:val="0"/>
            <w:vAlign w:val="center"/>
          </w:tcPr>
          <w:p>
            <w:pPr>
              <w:pStyle w:val="29"/>
              <w:jc w:val="both"/>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缓冲调节池</w:t>
            </w:r>
          </w:p>
        </w:tc>
        <w:tc>
          <w:tcPr>
            <w:tcW w:w="1822" w:type="pct"/>
            <w:noWrap w:val="0"/>
            <w:vAlign w:val="center"/>
          </w:tcPr>
          <w:p>
            <w:pPr>
              <w:pStyle w:val="29"/>
              <w:jc w:val="both"/>
              <w:rPr>
                <w:rFonts w:hint="eastAsia" w:ascii="Times New Roman" w:hAnsi="Times New Roman" w:eastAsia="宋体" w:cs="Times New Roman"/>
                <w:szCs w:val="21"/>
              </w:rPr>
            </w:pPr>
            <w:r>
              <w:rPr>
                <w:rFonts w:hint="default" w:ascii="Times New Roman" w:hAnsi="Times New Roman" w:eastAsia="宋体" w:cs="Times New Roman"/>
                <w:szCs w:val="21"/>
                <w:lang w:val="en-US" w:eastAsia="zh-CN"/>
              </w:rPr>
              <w:t>1</w:t>
            </w:r>
            <w:r>
              <w:rPr>
                <w:rFonts w:hint="eastAsia" w:ascii="Times New Roman" w:hAnsi="Times New Roman" w:eastAsia="宋体" w:cs="Times New Roman"/>
                <w:szCs w:val="21"/>
                <w:lang w:val="en-US" w:eastAsia="zh-CN"/>
              </w:rPr>
              <w:t>座，钢筋砼结构，</w:t>
            </w:r>
            <w:r>
              <w:rPr>
                <w:rFonts w:hint="default" w:ascii="Times New Roman" w:hAnsi="Times New Roman" w:eastAsia="宋体" w:cs="Times New Roman"/>
                <w:szCs w:val="21"/>
                <w:lang w:val="en-US" w:eastAsia="zh-CN"/>
              </w:rPr>
              <w:t>L×B×H=16.7×16.7×4.5m</w:t>
            </w:r>
            <w:r>
              <w:rPr>
                <w:rFonts w:hint="eastAsia" w:ascii="Times New Roman" w:hAnsi="Times New Roman" w:eastAsia="宋体" w:cs="Times New Roman"/>
                <w:szCs w:val="21"/>
                <w:lang w:val="en-US" w:eastAsia="zh-CN"/>
              </w:rPr>
              <w:t>，土建按</w:t>
            </w:r>
            <w:r>
              <w:rPr>
                <w:rFonts w:hint="default" w:ascii="Times New Roman" w:hAnsi="Times New Roman" w:eastAsia="宋体" w:cs="Times New Roman"/>
                <w:szCs w:val="21"/>
                <w:lang w:val="en-US" w:eastAsia="zh-CN"/>
              </w:rPr>
              <w:t>3000m</w:t>
            </w:r>
            <w:r>
              <w:rPr>
                <w:rFonts w:hint="default" w:ascii="Times New Roman" w:hAnsi="Times New Roman" w:eastAsia="宋体" w:cs="Times New Roman"/>
                <w:szCs w:val="21"/>
                <w:vertAlign w:val="superscript"/>
                <w:lang w:val="en-US" w:eastAsia="zh-CN"/>
              </w:rPr>
              <w:t>3</w:t>
            </w:r>
            <w:r>
              <w:rPr>
                <w:rFonts w:hint="default" w:ascii="Times New Roman" w:hAnsi="Times New Roman" w:eastAsia="宋体" w:cs="Times New Roman"/>
                <w:szCs w:val="21"/>
                <w:lang w:val="en-US" w:eastAsia="zh-CN"/>
              </w:rPr>
              <w:t>/d</w:t>
            </w:r>
            <w:r>
              <w:rPr>
                <w:rFonts w:hint="eastAsia" w:ascii="Times New Roman" w:hAnsi="Times New Roman" w:eastAsia="宋体" w:cs="Times New Roman"/>
                <w:szCs w:val="21"/>
                <w:lang w:val="en-US" w:eastAsia="zh-CN"/>
              </w:rPr>
              <w:t>一次建成。</w:t>
            </w:r>
          </w:p>
        </w:tc>
        <w:tc>
          <w:tcPr>
            <w:tcW w:w="1828" w:type="pct"/>
            <w:noWrap w:val="0"/>
            <w:vAlign w:val="center"/>
          </w:tcPr>
          <w:p>
            <w:pPr>
              <w:pStyle w:val="29"/>
              <w:ind w:firstLine="0" w:firstLineChars="0"/>
              <w:jc w:val="both"/>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1</w:t>
            </w:r>
            <w:r>
              <w:rPr>
                <w:rFonts w:hint="eastAsia" w:ascii="Times New Roman" w:hAnsi="Times New Roman" w:eastAsia="宋体" w:cs="Times New Roman"/>
                <w:szCs w:val="21"/>
                <w:lang w:val="en-US" w:eastAsia="zh-CN"/>
              </w:rPr>
              <w:t>座，钢筋砼结构，</w:t>
            </w:r>
            <w:r>
              <w:rPr>
                <w:rFonts w:hint="default" w:ascii="Times New Roman" w:hAnsi="Times New Roman" w:eastAsia="宋体" w:cs="Times New Roman"/>
                <w:szCs w:val="21"/>
                <w:lang w:val="en-US" w:eastAsia="zh-CN"/>
              </w:rPr>
              <w:t>L×B×H=16.7×16.7×4.5m</w:t>
            </w:r>
            <w:r>
              <w:rPr>
                <w:rFonts w:hint="eastAsia" w:ascii="Times New Roman" w:hAnsi="Times New Roman" w:eastAsia="宋体" w:cs="Times New Roman"/>
                <w:szCs w:val="21"/>
                <w:lang w:val="en-US" w:eastAsia="zh-CN"/>
              </w:rPr>
              <w:t>，土建按</w:t>
            </w:r>
            <w:r>
              <w:rPr>
                <w:rFonts w:hint="default" w:ascii="Times New Roman" w:hAnsi="Times New Roman" w:eastAsia="宋体" w:cs="Times New Roman"/>
                <w:szCs w:val="21"/>
                <w:lang w:val="en-US" w:eastAsia="zh-CN"/>
              </w:rPr>
              <w:t>3000m</w:t>
            </w:r>
            <w:r>
              <w:rPr>
                <w:rFonts w:hint="default" w:ascii="Times New Roman" w:hAnsi="Times New Roman" w:eastAsia="宋体" w:cs="Times New Roman"/>
                <w:szCs w:val="21"/>
                <w:vertAlign w:val="superscript"/>
                <w:lang w:val="en-US" w:eastAsia="zh-CN"/>
              </w:rPr>
              <w:t>3</w:t>
            </w:r>
            <w:r>
              <w:rPr>
                <w:rFonts w:hint="default" w:ascii="Times New Roman" w:hAnsi="Times New Roman" w:eastAsia="宋体" w:cs="Times New Roman"/>
                <w:szCs w:val="21"/>
                <w:lang w:val="en-US" w:eastAsia="zh-CN"/>
              </w:rPr>
              <w:t>/d</w:t>
            </w:r>
            <w:r>
              <w:rPr>
                <w:rFonts w:hint="eastAsia" w:ascii="Times New Roman" w:hAnsi="Times New Roman" w:eastAsia="宋体" w:cs="Times New Roman"/>
                <w:szCs w:val="21"/>
                <w:lang w:val="en-US" w:eastAsia="zh-CN"/>
              </w:rPr>
              <w:t>一次建成。</w:t>
            </w:r>
          </w:p>
        </w:tc>
        <w:tc>
          <w:tcPr>
            <w:tcW w:w="351" w:type="pct"/>
            <w:noWrap w:val="0"/>
            <w:vAlign w:val="center"/>
          </w:tcPr>
          <w:p>
            <w:pPr>
              <w:pStyle w:val="29"/>
              <w:rPr>
                <w:szCs w:val="21"/>
              </w:rPr>
            </w:pPr>
            <w:r>
              <w:rPr>
                <w:szCs w:val="21"/>
              </w:rPr>
              <w:t>是</w:t>
            </w:r>
          </w:p>
        </w:tc>
        <w:tc>
          <w:tcPr>
            <w:tcW w:w="380" w:type="pct"/>
            <w:vMerge w:val="continue"/>
            <w:noWrap w:val="0"/>
            <w:vAlign w:val="center"/>
          </w:tcPr>
          <w:p>
            <w:pPr>
              <w:pStyle w:val="29"/>
              <w:rPr>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4" w:type="pct"/>
            <w:vMerge w:val="continue"/>
            <w:noWrap w:val="0"/>
            <w:vAlign w:val="center"/>
          </w:tcPr>
          <w:p>
            <w:pPr>
              <w:pStyle w:val="29"/>
              <w:rPr>
                <w:szCs w:val="21"/>
              </w:rPr>
            </w:pPr>
          </w:p>
        </w:tc>
        <w:tc>
          <w:tcPr>
            <w:tcW w:w="492" w:type="pct"/>
            <w:noWrap w:val="0"/>
            <w:vAlign w:val="center"/>
          </w:tcPr>
          <w:p>
            <w:pPr>
              <w:pStyle w:val="29"/>
              <w:jc w:val="both"/>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水解酸化池</w:t>
            </w:r>
          </w:p>
        </w:tc>
        <w:tc>
          <w:tcPr>
            <w:tcW w:w="1822" w:type="pct"/>
            <w:noWrap w:val="0"/>
            <w:vAlign w:val="center"/>
          </w:tcPr>
          <w:p>
            <w:pPr>
              <w:pStyle w:val="29"/>
              <w:jc w:val="both"/>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1</w:t>
            </w:r>
            <w:r>
              <w:rPr>
                <w:rFonts w:hint="eastAsia" w:ascii="Times New Roman" w:hAnsi="Times New Roman" w:eastAsia="宋体" w:cs="Times New Roman"/>
                <w:szCs w:val="21"/>
              </w:rPr>
              <w:t>座，钢筋砼结构，L×B×H=10.8×5.8×7.0m，按照一期设计规模1000m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/d，预留二期用地。</w:t>
            </w:r>
          </w:p>
        </w:tc>
        <w:tc>
          <w:tcPr>
            <w:tcW w:w="1828" w:type="pct"/>
            <w:noWrap w:val="0"/>
            <w:vAlign w:val="center"/>
          </w:tcPr>
          <w:p>
            <w:pPr>
              <w:pStyle w:val="29"/>
              <w:ind w:firstLine="0" w:firstLineChars="0"/>
              <w:jc w:val="both"/>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w:t>
            </w:r>
            <w:r>
              <w:rPr>
                <w:rFonts w:hint="eastAsia" w:ascii="Times New Roman" w:hAnsi="Times New Roman" w:eastAsia="宋体" w:cs="Times New Roman"/>
                <w:szCs w:val="21"/>
              </w:rPr>
              <w:t>座，钢筋砼结构，L×B×H=10.8×5.8×7.0m，按照一期设计规模1000m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/d，预留二期用地。</w:t>
            </w:r>
          </w:p>
        </w:tc>
        <w:tc>
          <w:tcPr>
            <w:tcW w:w="351" w:type="pct"/>
            <w:noWrap w:val="0"/>
            <w:vAlign w:val="center"/>
          </w:tcPr>
          <w:p>
            <w:pPr>
              <w:pStyle w:val="29"/>
              <w:rPr>
                <w:szCs w:val="21"/>
              </w:rPr>
            </w:pPr>
            <w:r>
              <w:rPr>
                <w:szCs w:val="21"/>
              </w:rPr>
              <w:t>是</w:t>
            </w:r>
          </w:p>
        </w:tc>
        <w:tc>
          <w:tcPr>
            <w:tcW w:w="380" w:type="pct"/>
            <w:vMerge w:val="continue"/>
            <w:noWrap w:val="0"/>
            <w:vAlign w:val="center"/>
          </w:tcPr>
          <w:p>
            <w:pPr>
              <w:pStyle w:val="29"/>
              <w:rPr>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4" w:type="pct"/>
            <w:vMerge w:val="continue"/>
            <w:noWrap w:val="0"/>
            <w:vAlign w:val="center"/>
          </w:tcPr>
          <w:p>
            <w:pPr>
              <w:pStyle w:val="29"/>
              <w:rPr>
                <w:szCs w:val="21"/>
              </w:rPr>
            </w:pPr>
          </w:p>
        </w:tc>
        <w:tc>
          <w:tcPr>
            <w:tcW w:w="492" w:type="pct"/>
            <w:noWrap w:val="0"/>
            <w:vAlign w:val="center"/>
          </w:tcPr>
          <w:p>
            <w:pPr>
              <w:pStyle w:val="29"/>
              <w:jc w:val="both"/>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改良</w:t>
            </w:r>
            <w:r>
              <w:rPr>
                <w:rFonts w:hint="default" w:ascii="Times New Roman" w:hAnsi="Times New Roman" w:eastAsia="宋体" w:cs="Times New Roman"/>
                <w:szCs w:val="21"/>
                <w:lang w:val="en-US" w:eastAsia="zh-CN"/>
              </w:rPr>
              <w:t>A2/O</w:t>
            </w:r>
          </w:p>
        </w:tc>
        <w:tc>
          <w:tcPr>
            <w:tcW w:w="1822" w:type="pct"/>
            <w:noWrap w:val="0"/>
            <w:vAlign w:val="center"/>
          </w:tcPr>
          <w:p>
            <w:pPr>
              <w:pStyle w:val="29"/>
              <w:jc w:val="both"/>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1座，钢筋砼结构，</w:t>
            </w:r>
            <w:r>
              <w:rPr>
                <w:rFonts w:hint="default" w:ascii="Times New Roman" w:hAnsi="Times New Roman" w:eastAsia="宋体" w:cs="Times New Roman"/>
                <w:szCs w:val="21"/>
                <w:lang w:val="en-US" w:eastAsia="zh-CN"/>
              </w:rPr>
              <w:t>L×B×H=19.0×12.0×6.5m</w:t>
            </w:r>
            <w:r>
              <w:rPr>
                <w:rFonts w:hint="eastAsia" w:ascii="Times New Roman" w:hAnsi="Times New Roman" w:eastAsia="宋体" w:cs="Times New Roman"/>
                <w:szCs w:val="21"/>
                <w:lang w:val="en-US" w:eastAsia="zh-CN"/>
              </w:rPr>
              <w:t>，按照一期设计规模</w:t>
            </w:r>
            <w:r>
              <w:rPr>
                <w:rFonts w:hint="default" w:ascii="Times New Roman" w:hAnsi="Times New Roman" w:eastAsia="宋体" w:cs="Times New Roman"/>
                <w:szCs w:val="21"/>
                <w:lang w:val="en-US" w:eastAsia="zh-CN"/>
              </w:rPr>
              <w:t>1000m</w:t>
            </w:r>
            <w:r>
              <w:rPr>
                <w:rFonts w:hint="default" w:ascii="Times New Roman" w:hAnsi="Times New Roman" w:eastAsia="宋体" w:cs="Times New Roman"/>
                <w:szCs w:val="21"/>
                <w:vertAlign w:val="superscript"/>
                <w:lang w:val="en-US" w:eastAsia="zh-CN"/>
              </w:rPr>
              <w:t>3</w:t>
            </w:r>
            <w:r>
              <w:rPr>
                <w:rFonts w:hint="default" w:ascii="Times New Roman" w:hAnsi="Times New Roman" w:eastAsia="宋体" w:cs="Times New Roman"/>
                <w:szCs w:val="21"/>
                <w:lang w:val="en-US" w:eastAsia="zh-CN"/>
              </w:rPr>
              <w:t>/d</w:t>
            </w:r>
            <w:r>
              <w:rPr>
                <w:rFonts w:hint="eastAsia" w:ascii="Times New Roman" w:hAnsi="Times New Roman" w:eastAsia="宋体" w:cs="Times New Roman"/>
                <w:szCs w:val="21"/>
                <w:lang w:val="en-US" w:eastAsia="zh-CN"/>
              </w:rPr>
              <w:t>，预留二期用地。</w:t>
            </w:r>
          </w:p>
        </w:tc>
        <w:tc>
          <w:tcPr>
            <w:tcW w:w="1828" w:type="pct"/>
            <w:noWrap w:val="0"/>
            <w:vAlign w:val="center"/>
          </w:tcPr>
          <w:p>
            <w:pPr>
              <w:pStyle w:val="29"/>
              <w:ind w:firstLine="0" w:firstLineChars="0"/>
              <w:jc w:val="both"/>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1座，钢筋砼结构，</w:t>
            </w:r>
            <w:r>
              <w:rPr>
                <w:rFonts w:hint="default" w:ascii="Times New Roman" w:hAnsi="Times New Roman" w:eastAsia="宋体" w:cs="Times New Roman"/>
                <w:szCs w:val="21"/>
                <w:lang w:val="en-US" w:eastAsia="zh-CN"/>
              </w:rPr>
              <w:t>L×B×H=19.0×12.0×6.5m</w:t>
            </w:r>
            <w:r>
              <w:rPr>
                <w:rFonts w:hint="eastAsia" w:ascii="Times New Roman" w:hAnsi="Times New Roman" w:eastAsia="宋体" w:cs="Times New Roman"/>
                <w:szCs w:val="21"/>
                <w:lang w:val="en-US" w:eastAsia="zh-CN"/>
              </w:rPr>
              <w:t>，按照一期设计规模</w:t>
            </w:r>
            <w:r>
              <w:rPr>
                <w:rFonts w:hint="default" w:ascii="Times New Roman" w:hAnsi="Times New Roman" w:eastAsia="宋体" w:cs="Times New Roman"/>
                <w:szCs w:val="21"/>
                <w:lang w:val="en-US" w:eastAsia="zh-CN"/>
              </w:rPr>
              <w:t>1000m</w:t>
            </w:r>
            <w:r>
              <w:rPr>
                <w:rFonts w:hint="default" w:ascii="Times New Roman" w:hAnsi="Times New Roman" w:eastAsia="宋体" w:cs="Times New Roman"/>
                <w:szCs w:val="21"/>
                <w:vertAlign w:val="superscript"/>
                <w:lang w:val="en-US" w:eastAsia="zh-CN"/>
              </w:rPr>
              <w:t>3</w:t>
            </w:r>
            <w:r>
              <w:rPr>
                <w:rFonts w:hint="default" w:ascii="Times New Roman" w:hAnsi="Times New Roman" w:eastAsia="宋体" w:cs="Times New Roman"/>
                <w:szCs w:val="21"/>
                <w:lang w:val="en-US" w:eastAsia="zh-CN"/>
              </w:rPr>
              <w:t>/d</w:t>
            </w:r>
            <w:r>
              <w:rPr>
                <w:rFonts w:hint="eastAsia" w:ascii="Times New Roman" w:hAnsi="Times New Roman" w:eastAsia="宋体" w:cs="Times New Roman"/>
                <w:szCs w:val="21"/>
                <w:lang w:val="en-US" w:eastAsia="zh-CN"/>
              </w:rPr>
              <w:t>，预留二期用地。</w:t>
            </w:r>
          </w:p>
        </w:tc>
        <w:tc>
          <w:tcPr>
            <w:tcW w:w="351" w:type="pct"/>
            <w:noWrap w:val="0"/>
            <w:vAlign w:val="center"/>
          </w:tcPr>
          <w:p>
            <w:pPr>
              <w:pStyle w:val="29"/>
              <w:rPr>
                <w:szCs w:val="21"/>
              </w:rPr>
            </w:pPr>
            <w:r>
              <w:rPr>
                <w:szCs w:val="21"/>
              </w:rPr>
              <w:t>是</w:t>
            </w:r>
          </w:p>
        </w:tc>
        <w:tc>
          <w:tcPr>
            <w:tcW w:w="380" w:type="pct"/>
            <w:vMerge w:val="continue"/>
            <w:noWrap w:val="0"/>
            <w:vAlign w:val="center"/>
          </w:tcPr>
          <w:p>
            <w:pPr>
              <w:pStyle w:val="29"/>
              <w:rPr>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4" w:type="pct"/>
            <w:vMerge w:val="continue"/>
            <w:noWrap w:val="0"/>
            <w:vAlign w:val="center"/>
          </w:tcPr>
          <w:p>
            <w:pPr>
              <w:pStyle w:val="29"/>
              <w:rPr>
                <w:szCs w:val="21"/>
              </w:rPr>
            </w:pPr>
          </w:p>
        </w:tc>
        <w:tc>
          <w:tcPr>
            <w:tcW w:w="492" w:type="pct"/>
            <w:noWrap w:val="0"/>
            <w:vAlign w:val="center"/>
          </w:tcPr>
          <w:p>
            <w:pPr>
              <w:pStyle w:val="29"/>
              <w:jc w:val="both"/>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高效沉淀池</w:t>
            </w:r>
          </w:p>
        </w:tc>
        <w:tc>
          <w:tcPr>
            <w:tcW w:w="1822" w:type="pct"/>
            <w:noWrap w:val="0"/>
            <w:vAlign w:val="center"/>
          </w:tcPr>
          <w:p>
            <w:pPr>
              <w:pStyle w:val="29"/>
              <w:jc w:val="both"/>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r>
              <w:rPr>
                <w:rFonts w:hint="eastAsia" w:ascii="Times New Roman" w:hAnsi="Times New Roman" w:eastAsia="宋体" w:cs="Times New Roman"/>
                <w:szCs w:val="21"/>
                <w:lang w:val="en-US" w:eastAsia="zh-CN"/>
              </w:rPr>
              <w:t>座，钢筋砼结构，</w:t>
            </w:r>
            <w:r>
              <w:rPr>
                <w:rFonts w:hint="default" w:ascii="Times New Roman" w:hAnsi="Times New Roman" w:eastAsia="宋体" w:cs="Times New Roman"/>
                <w:szCs w:val="21"/>
                <w:lang w:val="en-US" w:eastAsia="zh-CN"/>
              </w:rPr>
              <w:t>L×B×H=12.3×11.8×3.5~6.5m</w:t>
            </w:r>
            <w:r>
              <w:rPr>
                <w:rFonts w:hint="eastAsia" w:ascii="Times New Roman" w:hAnsi="Times New Roman" w:eastAsia="宋体" w:cs="Times New Roman"/>
                <w:szCs w:val="21"/>
                <w:lang w:val="en-US" w:eastAsia="zh-CN"/>
              </w:rPr>
              <w:t>，土建按</w:t>
            </w:r>
            <w:r>
              <w:rPr>
                <w:rFonts w:hint="default" w:ascii="Times New Roman" w:hAnsi="Times New Roman" w:eastAsia="宋体" w:cs="Times New Roman"/>
                <w:szCs w:val="21"/>
                <w:lang w:val="en-US" w:eastAsia="zh-CN"/>
              </w:rPr>
              <w:t>3000m</w:t>
            </w:r>
            <w:r>
              <w:rPr>
                <w:rFonts w:hint="default" w:ascii="Times New Roman" w:hAnsi="Times New Roman" w:eastAsia="宋体" w:cs="Times New Roman"/>
                <w:szCs w:val="21"/>
                <w:vertAlign w:val="superscript"/>
                <w:lang w:val="en-US" w:eastAsia="zh-CN"/>
              </w:rPr>
              <w:t>3</w:t>
            </w:r>
            <w:r>
              <w:rPr>
                <w:rFonts w:hint="default" w:ascii="Times New Roman" w:hAnsi="Times New Roman" w:eastAsia="宋体" w:cs="Times New Roman"/>
                <w:szCs w:val="21"/>
                <w:lang w:val="en-US" w:eastAsia="zh-CN"/>
              </w:rPr>
              <w:t>/d</w:t>
            </w:r>
            <w:r>
              <w:rPr>
                <w:rFonts w:hint="eastAsia" w:ascii="Times New Roman" w:hAnsi="Times New Roman" w:eastAsia="宋体" w:cs="Times New Roman"/>
                <w:szCs w:val="21"/>
                <w:lang w:val="en-US" w:eastAsia="zh-CN"/>
              </w:rPr>
              <w:t>一次建成。</w:t>
            </w:r>
          </w:p>
        </w:tc>
        <w:tc>
          <w:tcPr>
            <w:tcW w:w="1828" w:type="pct"/>
            <w:noWrap w:val="0"/>
            <w:vAlign w:val="center"/>
          </w:tcPr>
          <w:p>
            <w:pPr>
              <w:pStyle w:val="29"/>
              <w:ind w:firstLine="0" w:firstLineChars="0"/>
              <w:jc w:val="both"/>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1</w:t>
            </w:r>
            <w:r>
              <w:rPr>
                <w:rFonts w:hint="eastAsia" w:ascii="Times New Roman" w:hAnsi="Times New Roman" w:eastAsia="宋体" w:cs="Times New Roman"/>
                <w:szCs w:val="21"/>
                <w:lang w:val="en-US" w:eastAsia="zh-CN"/>
              </w:rPr>
              <w:t>座，钢筋砼结构，</w:t>
            </w:r>
            <w:r>
              <w:rPr>
                <w:rFonts w:hint="default" w:ascii="Times New Roman" w:hAnsi="Times New Roman" w:eastAsia="宋体" w:cs="Times New Roman"/>
                <w:szCs w:val="21"/>
                <w:lang w:val="en-US" w:eastAsia="zh-CN"/>
              </w:rPr>
              <w:t>L×B×H=12.3×11.8×3.5~6.5m</w:t>
            </w:r>
            <w:r>
              <w:rPr>
                <w:rFonts w:hint="eastAsia" w:ascii="Times New Roman" w:hAnsi="Times New Roman" w:eastAsia="宋体" w:cs="Times New Roman"/>
                <w:szCs w:val="21"/>
                <w:lang w:val="en-US" w:eastAsia="zh-CN"/>
              </w:rPr>
              <w:t>，土建按</w:t>
            </w:r>
            <w:r>
              <w:rPr>
                <w:rFonts w:hint="default" w:ascii="Times New Roman" w:hAnsi="Times New Roman" w:eastAsia="宋体" w:cs="Times New Roman"/>
                <w:szCs w:val="21"/>
                <w:lang w:val="en-US" w:eastAsia="zh-CN"/>
              </w:rPr>
              <w:t>3000m</w:t>
            </w:r>
            <w:r>
              <w:rPr>
                <w:rFonts w:hint="default" w:ascii="Times New Roman" w:hAnsi="Times New Roman" w:eastAsia="宋体" w:cs="Times New Roman"/>
                <w:szCs w:val="21"/>
                <w:vertAlign w:val="superscript"/>
                <w:lang w:val="en-US" w:eastAsia="zh-CN"/>
              </w:rPr>
              <w:t>3</w:t>
            </w:r>
            <w:r>
              <w:rPr>
                <w:rFonts w:hint="default" w:ascii="Times New Roman" w:hAnsi="Times New Roman" w:eastAsia="宋体" w:cs="Times New Roman"/>
                <w:szCs w:val="21"/>
                <w:lang w:val="en-US" w:eastAsia="zh-CN"/>
              </w:rPr>
              <w:t>/d</w:t>
            </w:r>
            <w:r>
              <w:rPr>
                <w:rFonts w:hint="eastAsia" w:ascii="Times New Roman" w:hAnsi="Times New Roman" w:eastAsia="宋体" w:cs="Times New Roman"/>
                <w:szCs w:val="21"/>
                <w:lang w:val="en-US" w:eastAsia="zh-CN"/>
              </w:rPr>
              <w:t>一次建成。</w:t>
            </w:r>
          </w:p>
        </w:tc>
        <w:tc>
          <w:tcPr>
            <w:tcW w:w="351" w:type="pct"/>
            <w:noWrap w:val="0"/>
            <w:vAlign w:val="center"/>
          </w:tcPr>
          <w:p>
            <w:pPr>
              <w:pStyle w:val="29"/>
              <w:rPr>
                <w:rFonts w:hint="eastAsia" w:eastAsia="宋体"/>
                <w:szCs w:val="21"/>
                <w:lang w:eastAsia="zh-CN"/>
              </w:rPr>
            </w:pPr>
            <w:r>
              <w:rPr>
                <w:rFonts w:hint="eastAsia"/>
                <w:szCs w:val="21"/>
                <w:lang w:eastAsia="zh-CN"/>
              </w:rPr>
              <w:t>是</w:t>
            </w:r>
          </w:p>
        </w:tc>
        <w:tc>
          <w:tcPr>
            <w:tcW w:w="380" w:type="pct"/>
            <w:vMerge w:val="continue"/>
            <w:noWrap w:val="0"/>
            <w:vAlign w:val="center"/>
          </w:tcPr>
          <w:p>
            <w:pPr>
              <w:pStyle w:val="29"/>
              <w:rPr>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4" w:type="pct"/>
            <w:vMerge w:val="continue"/>
            <w:noWrap w:val="0"/>
            <w:vAlign w:val="center"/>
          </w:tcPr>
          <w:p>
            <w:pPr>
              <w:pStyle w:val="29"/>
              <w:rPr>
                <w:szCs w:val="21"/>
              </w:rPr>
            </w:pPr>
          </w:p>
        </w:tc>
        <w:tc>
          <w:tcPr>
            <w:tcW w:w="492" w:type="pct"/>
            <w:noWrap w:val="0"/>
            <w:vAlign w:val="center"/>
          </w:tcPr>
          <w:p>
            <w:pPr>
              <w:pStyle w:val="29"/>
              <w:bidi w:val="0"/>
              <w:rPr>
                <w:rFonts w:hint="eastAsia"/>
                <w:lang w:val="en-US" w:eastAsia="zh-CN"/>
              </w:rPr>
            </w:pPr>
            <w:r>
              <w:rPr>
                <w:rFonts w:hint="eastAsia"/>
                <w:lang w:val="en-US" w:eastAsia="zh-CN"/>
              </w:rPr>
              <w:t>转鼓精密过滤器</w:t>
            </w:r>
          </w:p>
        </w:tc>
        <w:tc>
          <w:tcPr>
            <w:tcW w:w="1822" w:type="pct"/>
            <w:noWrap w:val="0"/>
            <w:vAlign w:val="center"/>
          </w:tcPr>
          <w:p>
            <w:pPr>
              <w:pStyle w:val="29"/>
              <w:bidi w:val="0"/>
              <w:jc w:val="both"/>
              <w:rPr>
                <w:rFonts w:hint="eastAsia"/>
                <w:lang w:val="en-US" w:eastAsia="zh-CN"/>
              </w:rPr>
            </w:pPr>
            <w:r>
              <w:rPr>
                <w:rFonts w:hint="eastAsia"/>
                <w:lang w:val="en-US" w:eastAsia="zh-CN"/>
              </w:rPr>
              <w:t>1座，钢筋砼结构，</w:t>
            </w:r>
            <w:r>
              <w:rPr>
                <w:rFonts w:hint="default"/>
                <w:lang w:val="en-US" w:eastAsia="zh-CN"/>
              </w:rPr>
              <w:t>L×B×H=8.2×6.8×1.8m</w:t>
            </w:r>
            <w:r>
              <w:rPr>
                <w:rFonts w:hint="eastAsia"/>
                <w:lang w:val="en-US" w:eastAsia="zh-CN"/>
              </w:rPr>
              <w:t>，土建按</w:t>
            </w:r>
            <w:r>
              <w:rPr>
                <w:rFonts w:hint="default"/>
                <w:lang w:val="en-US" w:eastAsia="zh-CN"/>
              </w:rPr>
              <w:t>3000m</w:t>
            </w:r>
            <w:r>
              <w:rPr>
                <w:rFonts w:hint="default"/>
                <w:vertAlign w:val="superscript"/>
                <w:lang w:val="en-US" w:eastAsia="zh-CN"/>
              </w:rPr>
              <w:t>3</w:t>
            </w:r>
            <w:r>
              <w:rPr>
                <w:rFonts w:hint="default"/>
                <w:lang w:val="en-US" w:eastAsia="zh-CN"/>
              </w:rPr>
              <w:t>/d</w:t>
            </w:r>
            <w:r>
              <w:rPr>
                <w:rFonts w:hint="eastAsia"/>
                <w:lang w:val="en-US" w:eastAsia="zh-CN"/>
              </w:rPr>
              <w:t>一次建成。</w:t>
            </w:r>
          </w:p>
        </w:tc>
        <w:tc>
          <w:tcPr>
            <w:tcW w:w="1828" w:type="pct"/>
            <w:noWrap w:val="0"/>
            <w:vAlign w:val="center"/>
          </w:tcPr>
          <w:p>
            <w:pPr>
              <w:pStyle w:val="29"/>
              <w:bidi w:val="0"/>
              <w:ind w:firstLine="0" w:firstLineChars="0"/>
              <w:jc w:val="both"/>
              <w:rPr>
                <w:rFonts w:hint="eastAsia" w:ascii="Times New Roman" w:hAnsi="Times New Roman" w:eastAsia="宋体"/>
                <w:kern w:val="2"/>
                <w:sz w:val="21"/>
                <w:szCs w:val="22"/>
                <w:lang w:val="en-US" w:eastAsia="zh-CN" w:bidi="ar-SA"/>
              </w:rPr>
            </w:pPr>
            <w:r>
              <w:rPr>
                <w:rFonts w:hint="eastAsia"/>
                <w:lang w:val="en-US" w:eastAsia="zh-CN"/>
              </w:rPr>
              <w:t>1座，钢筋砼结构，</w:t>
            </w:r>
            <w:r>
              <w:rPr>
                <w:rFonts w:hint="default"/>
                <w:lang w:val="en-US" w:eastAsia="zh-CN"/>
              </w:rPr>
              <w:t>L×B×H=8.2×6.8×1.8m</w:t>
            </w:r>
            <w:r>
              <w:rPr>
                <w:rFonts w:hint="eastAsia"/>
                <w:lang w:val="en-US" w:eastAsia="zh-CN"/>
              </w:rPr>
              <w:t>，土建按</w:t>
            </w:r>
            <w:r>
              <w:rPr>
                <w:rFonts w:hint="default"/>
                <w:lang w:val="en-US" w:eastAsia="zh-CN"/>
              </w:rPr>
              <w:t>3000m</w:t>
            </w:r>
            <w:r>
              <w:rPr>
                <w:rFonts w:hint="default"/>
                <w:vertAlign w:val="superscript"/>
                <w:lang w:val="en-US" w:eastAsia="zh-CN"/>
              </w:rPr>
              <w:t>3</w:t>
            </w:r>
            <w:r>
              <w:rPr>
                <w:rFonts w:hint="default"/>
                <w:lang w:val="en-US" w:eastAsia="zh-CN"/>
              </w:rPr>
              <w:t>/d</w:t>
            </w:r>
            <w:r>
              <w:rPr>
                <w:rFonts w:hint="eastAsia"/>
                <w:lang w:val="en-US" w:eastAsia="zh-CN"/>
              </w:rPr>
              <w:t>一次建成。</w:t>
            </w:r>
          </w:p>
        </w:tc>
        <w:tc>
          <w:tcPr>
            <w:tcW w:w="351" w:type="pct"/>
            <w:noWrap w:val="0"/>
            <w:vAlign w:val="center"/>
          </w:tcPr>
          <w:p>
            <w:pPr>
              <w:pStyle w:val="29"/>
              <w:rPr>
                <w:rFonts w:hint="eastAsia" w:eastAsia="宋体"/>
                <w:szCs w:val="21"/>
                <w:lang w:val="en-US" w:eastAsia="zh-CN"/>
              </w:rPr>
            </w:pPr>
            <w:r>
              <w:rPr>
                <w:rFonts w:hint="eastAsia"/>
                <w:szCs w:val="21"/>
                <w:lang w:val="en-US" w:eastAsia="zh-CN"/>
              </w:rPr>
              <w:t>是</w:t>
            </w:r>
          </w:p>
        </w:tc>
        <w:tc>
          <w:tcPr>
            <w:tcW w:w="380" w:type="pct"/>
            <w:vMerge w:val="continue"/>
            <w:noWrap w:val="0"/>
            <w:vAlign w:val="center"/>
          </w:tcPr>
          <w:p>
            <w:pPr>
              <w:pStyle w:val="29"/>
              <w:rPr>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4" w:type="pct"/>
            <w:vMerge w:val="continue"/>
            <w:noWrap w:val="0"/>
            <w:vAlign w:val="center"/>
          </w:tcPr>
          <w:p>
            <w:pPr>
              <w:pStyle w:val="29"/>
              <w:rPr>
                <w:szCs w:val="21"/>
              </w:rPr>
            </w:pPr>
          </w:p>
        </w:tc>
        <w:tc>
          <w:tcPr>
            <w:tcW w:w="492" w:type="pct"/>
            <w:noWrap w:val="0"/>
            <w:vAlign w:val="center"/>
          </w:tcPr>
          <w:p>
            <w:pPr>
              <w:pStyle w:val="29"/>
              <w:bidi w:val="0"/>
              <w:rPr>
                <w:rFonts w:hint="eastAsia"/>
                <w:lang w:val="en-US" w:eastAsia="zh-CN"/>
              </w:rPr>
            </w:pPr>
            <w:r>
              <w:rPr>
                <w:rFonts w:hint="eastAsia"/>
                <w:lang w:val="en-US" w:eastAsia="zh-CN"/>
              </w:rPr>
              <w:t>接触消毒池</w:t>
            </w:r>
          </w:p>
        </w:tc>
        <w:tc>
          <w:tcPr>
            <w:tcW w:w="1822" w:type="pct"/>
            <w:noWrap w:val="0"/>
            <w:vAlign w:val="center"/>
          </w:tcPr>
          <w:p>
            <w:pPr>
              <w:pStyle w:val="29"/>
              <w:bidi w:val="0"/>
              <w:jc w:val="both"/>
              <w:rPr>
                <w:rFonts w:hint="eastAsia"/>
                <w:lang w:val="en-US" w:eastAsia="zh-CN"/>
              </w:rPr>
            </w:pPr>
            <w:r>
              <w:rPr>
                <w:rFonts w:hint="eastAsia"/>
                <w:lang w:val="en-US" w:eastAsia="zh-CN"/>
              </w:rPr>
              <w:t>1座，钢筋砼结构，L×B×H=17.5×4.6×2.4m，</w:t>
            </w:r>
          </w:p>
          <w:p>
            <w:pPr>
              <w:pStyle w:val="29"/>
              <w:bidi w:val="0"/>
              <w:jc w:val="both"/>
              <w:rPr>
                <w:rFonts w:hint="eastAsia"/>
                <w:lang w:val="en-US" w:eastAsia="zh-CN"/>
              </w:rPr>
            </w:pPr>
            <w:r>
              <w:rPr>
                <w:rFonts w:hint="eastAsia"/>
                <w:lang w:val="en-US" w:eastAsia="zh-CN"/>
              </w:rPr>
              <w:t>土建按3000m</w:t>
            </w:r>
            <w:r>
              <w:rPr>
                <w:rFonts w:hint="eastAsia"/>
                <w:vertAlign w:val="superscript"/>
                <w:lang w:val="en-US" w:eastAsia="zh-CN"/>
              </w:rPr>
              <w:t>3</w:t>
            </w:r>
            <w:r>
              <w:rPr>
                <w:rFonts w:hint="eastAsia"/>
                <w:lang w:val="en-US" w:eastAsia="zh-CN"/>
              </w:rPr>
              <w:t>/d一次建成。</w:t>
            </w:r>
          </w:p>
        </w:tc>
        <w:tc>
          <w:tcPr>
            <w:tcW w:w="1828" w:type="pct"/>
            <w:noWrap w:val="0"/>
            <w:vAlign w:val="center"/>
          </w:tcPr>
          <w:p>
            <w:pPr>
              <w:pStyle w:val="29"/>
              <w:bidi w:val="0"/>
              <w:jc w:val="both"/>
              <w:rPr>
                <w:rFonts w:hint="eastAsia"/>
                <w:lang w:val="en-US" w:eastAsia="zh-CN"/>
              </w:rPr>
            </w:pPr>
            <w:r>
              <w:rPr>
                <w:rFonts w:hint="eastAsia"/>
                <w:lang w:val="en-US" w:eastAsia="zh-CN"/>
              </w:rPr>
              <w:t>1座，钢筋砼结构，L×B×H=17.5×4.6×2.4m，</w:t>
            </w:r>
          </w:p>
          <w:p>
            <w:pPr>
              <w:pStyle w:val="29"/>
              <w:bidi w:val="0"/>
              <w:ind w:firstLine="0" w:firstLineChars="0"/>
              <w:jc w:val="both"/>
              <w:rPr>
                <w:rFonts w:hint="eastAsia" w:ascii="Times New Roman" w:hAnsi="Times New Roman" w:eastAsia="宋体"/>
                <w:kern w:val="2"/>
                <w:sz w:val="21"/>
                <w:szCs w:val="22"/>
                <w:lang w:val="en-US" w:eastAsia="zh-CN" w:bidi="ar-SA"/>
              </w:rPr>
            </w:pPr>
            <w:r>
              <w:rPr>
                <w:rFonts w:hint="eastAsia"/>
                <w:lang w:val="en-US" w:eastAsia="zh-CN"/>
              </w:rPr>
              <w:t>土建按3000m</w:t>
            </w:r>
            <w:r>
              <w:rPr>
                <w:rFonts w:hint="eastAsia"/>
                <w:vertAlign w:val="superscript"/>
                <w:lang w:val="en-US" w:eastAsia="zh-CN"/>
              </w:rPr>
              <w:t>3</w:t>
            </w:r>
            <w:r>
              <w:rPr>
                <w:rFonts w:hint="eastAsia"/>
                <w:lang w:val="en-US" w:eastAsia="zh-CN"/>
              </w:rPr>
              <w:t>/d一次建成。</w:t>
            </w:r>
          </w:p>
        </w:tc>
        <w:tc>
          <w:tcPr>
            <w:tcW w:w="351" w:type="pct"/>
            <w:noWrap w:val="0"/>
            <w:vAlign w:val="center"/>
          </w:tcPr>
          <w:p>
            <w:pPr>
              <w:pStyle w:val="29"/>
              <w:rPr>
                <w:rFonts w:hint="eastAsia" w:eastAsia="宋体"/>
                <w:szCs w:val="21"/>
                <w:lang w:eastAsia="zh-CN"/>
              </w:rPr>
            </w:pPr>
            <w:r>
              <w:rPr>
                <w:rFonts w:hint="eastAsia"/>
                <w:szCs w:val="21"/>
                <w:lang w:eastAsia="zh-CN"/>
              </w:rPr>
              <w:t>是</w:t>
            </w:r>
          </w:p>
        </w:tc>
        <w:tc>
          <w:tcPr>
            <w:tcW w:w="380" w:type="pct"/>
            <w:vMerge w:val="continue"/>
            <w:noWrap w:val="0"/>
            <w:vAlign w:val="center"/>
          </w:tcPr>
          <w:p>
            <w:pPr>
              <w:pStyle w:val="29"/>
              <w:rPr>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4" w:type="pct"/>
            <w:vMerge w:val="continue"/>
            <w:noWrap w:val="0"/>
            <w:vAlign w:val="center"/>
          </w:tcPr>
          <w:p>
            <w:pPr>
              <w:pStyle w:val="29"/>
              <w:rPr>
                <w:szCs w:val="21"/>
              </w:rPr>
            </w:pPr>
          </w:p>
        </w:tc>
        <w:tc>
          <w:tcPr>
            <w:tcW w:w="492" w:type="pct"/>
            <w:noWrap w:val="0"/>
            <w:vAlign w:val="center"/>
          </w:tcPr>
          <w:p>
            <w:pPr>
              <w:pStyle w:val="29"/>
              <w:bidi w:val="0"/>
              <w:rPr>
                <w:rFonts w:hint="eastAsia"/>
                <w:lang w:val="en-US" w:eastAsia="zh-CN"/>
              </w:rPr>
            </w:pPr>
            <w:r>
              <w:rPr>
                <w:rFonts w:hint="eastAsia"/>
                <w:lang w:val="en-US" w:eastAsia="zh-CN"/>
              </w:rPr>
              <w:t>流量渠</w:t>
            </w:r>
          </w:p>
        </w:tc>
        <w:tc>
          <w:tcPr>
            <w:tcW w:w="1822" w:type="pct"/>
            <w:noWrap w:val="0"/>
            <w:vAlign w:val="center"/>
          </w:tcPr>
          <w:p>
            <w:pPr>
              <w:pStyle w:val="29"/>
              <w:bidi w:val="0"/>
              <w:jc w:val="both"/>
              <w:rPr>
                <w:rFonts w:hint="eastAsia"/>
                <w:lang w:val="en-US" w:eastAsia="zh-CN"/>
              </w:rPr>
            </w:pPr>
            <w:r>
              <w:rPr>
                <w:rFonts w:hint="eastAsia"/>
                <w:lang w:val="en-US" w:eastAsia="zh-CN"/>
              </w:rPr>
              <w:t>1座，钢筋砼结构，L×B×H=7.0×0.8×1.1~2.1m，土建按3000m</w:t>
            </w:r>
            <w:r>
              <w:rPr>
                <w:rFonts w:hint="eastAsia"/>
                <w:vertAlign w:val="superscript"/>
                <w:lang w:val="en-US" w:eastAsia="zh-CN"/>
              </w:rPr>
              <w:t>3</w:t>
            </w:r>
            <w:r>
              <w:rPr>
                <w:rFonts w:hint="eastAsia"/>
                <w:lang w:val="en-US" w:eastAsia="zh-CN"/>
              </w:rPr>
              <w:t>/d一次建成。</w:t>
            </w:r>
          </w:p>
        </w:tc>
        <w:tc>
          <w:tcPr>
            <w:tcW w:w="1828" w:type="pct"/>
            <w:noWrap w:val="0"/>
            <w:vAlign w:val="center"/>
          </w:tcPr>
          <w:p>
            <w:pPr>
              <w:pStyle w:val="29"/>
              <w:bidi w:val="0"/>
              <w:ind w:firstLine="0" w:firstLineChars="0"/>
              <w:jc w:val="both"/>
              <w:rPr>
                <w:rFonts w:hint="eastAsia" w:ascii="Times New Roman" w:hAnsi="Times New Roman" w:eastAsia="宋体"/>
                <w:kern w:val="2"/>
                <w:sz w:val="21"/>
                <w:szCs w:val="22"/>
                <w:lang w:val="en-US" w:eastAsia="zh-CN" w:bidi="ar-SA"/>
              </w:rPr>
            </w:pPr>
            <w:r>
              <w:rPr>
                <w:rFonts w:hint="eastAsia"/>
                <w:lang w:val="en-US" w:eastAsia="zh-CN"/>
              </w:rPr>
              <w:t>1座，钢筋砼结构，L×B×H=7.0×0.8×1.1~2.1m，土建按3000m</w:t>
            </w:r>
            <w:r>
              <w:rPr>
                <w:rFonts w:hint="eastAsia"/>
                <w:vertAlign w:val="superscript"/>
                <w:lang w:val="en-US" w:eastAsia="zh-CN"/>
              </w:rPr>
              <w:t>3</w:t>
            </w:r>
            <w:r>
              <w:rPr>
                <w:rFonts w:hint="eastAsia"/>
                <w:lang w:val="en-US" w:eastAsia="zh-CN"/>
              </w:rPr>
              <w:t>/d一次建成。</w:t>
            </w:r>
          </w:p>
        </w:tc>
        <w:tc>
          <w:tcPr>
            <w:tcW w:w="351" w:type="pct"/>
            <w:noWrap w:val="0"/>
            <w:vAlign w:val="center"/>
          </w:tcPr>
          <w:p>
            <w:pPr>
              <w:pStyle w:val="29"/>
              <w:rPr>
                <w:rFonts w:hint="eastAsia" w:eastAsia="宋体"/>
                <w:szCs w:val="21"/>
                <w:lang w:eastAsia="zh-CN"/>
              </w:rPr>
            </w:pPr>
            <w:r>
              <w:rPr>
                <w:rFonts w:hint="eastAsia"/>
                <w:szCs w:val="21"/>
                <w:lang w:eastAsia="zh-CN"/>
              </w:rPr>
              <w:t>是</w:t>
            </w:r>
          </w:p>
        </w:tc>
        <w:tc>
          <w:tcPr>
            <w:tcW w:w="380" w:type="pct"/>
            <w:vMerge w:val="continue"/>
            <w:noWrap w:val="0"/>
            <w:vAlign w:val="center"/>
          </w:tcPr>
          <w:p>
            <w:pPr>
              <w:pStyle w:val="29"/>
              <w:rPr>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4" w:type="pct"/>
            <w:vMerge w:val="continue"/>
            <w:noWrap w:val="0"/>
            <w:vAlign w:val="center"/>
          </w:tcPr>
          <w:p>
            <w:pPr>
              <w:pStyle w:val="29"/>
              <w:rPr>
                <w:szCs w:val="21"/>
              </w:rPr>
            </w:pPr>
          </w:p>
        </w:tc>
        <w:tc>
          <w:tcPr>
            <w:tcW w:w="492" w:type="pct"/>
            <w:noWrap w:val="0"/>
            <w:vAlign w:val="center"/>
          </w:tcPr>
          <w:p>
            <w:pPr>
              <w:pStyle w:val="29"/>
              <w:bidi w:val="0"/>
            </w:pPr>
            <w:r>
              <w:rPr>
                <w:rFonts w:hint="eastAsia"/>
                <w:lang w:val="en-US" w:eastAsia="zh-CN"/>
              </w:rPr>
              <w:t>污泥储池</w:t>
            </w:r>
          </w:p>
        </w:tc>
        <w:tc>
          <w:tcPr>
            <w:tcW w:w="1822" w:type="pct"/>
            <w:noWrap w:val="0"/>
            <w:vAlign w:val="center"/>
          </w:tcPr>
          <w:p>
            <w:pPr>
              <w:pStyle w:val="29"/>
              <w:bidi w:val="0"/>
              <w:jc w:val="both"/>
            </w:pPr>
            <w:r>
              <w:rPr>
                <w:rFonts w:hint="eastAsia"/>
              </w:rPr>
              <w:t>1座，钢筋砼结构，L×B×H=4.1×4.1×4.0m，土建按3000m</w:t>
            </w:r>
            <w:r>
              <w:rPr>
                <w:rFonts w:hint="eastAsia"/>
                <w:vertAlign w:val="superscript"/>
              </w:rPr>
              <w:t>3</w:t>
            </w:r>
            <w:r>
              <w:rPr>
                <w:rFonts w:hint="eastAsia"/>
              </w:rPr>
              <w:t>/d一次建成。</w:t>
            </w:r>
          </w:p>
        </w:tc>
        <w:tc>
          <w:tcPr>
            <w:tcW w:w="1828" w:type="pct"/>
            <w:noWrap w:val="0"/>
            <w:vAlign w:val="center"/>
          </w:tcPr>
          <w:p>
            <w:pPr>
              <w:pStyle w:val="29"/>
              <w:bidi w:val="0"/>
              <w:ind w:firstLine="0" w:firstLineChars="0"/>
              <w:jc w:val="both"/>
              <w:rPr>
                <w:rFonts w:ascii="Times New Roman" w:hAnsi="Times New Roman" w:eastAsia="宋体"/>
                <w:kern w:val="2"/>
                <w:sz w:val="21"/>
                <w:szCs w:val="22"/>
                <w:lang w:val="en-US" w:eastAsia="zh-CN" w:bidi="ar-SA"/>
              </w:rPr>
            </w:pPr>
            <w:r>
              <w:rPr>
                <w:rFonts w:hint="eastAsia"/>
              </w:rPr>
              <w:t>1座，钢筋砼结构，L×B×H=4.1×4.1×4.0m，土建按3000m</w:t>
            </w:r>
            <w:r>
              <w:rPr>
                <w:rFonts w:hint="eastAsia"/>
                <w:vertAlign w:val="superscript"/>
              </w:rPr>
              <w:t>3</w:t>
            </w:r>
            <w:r>
              <w:rPr>
                <w:rFonts w:hint="eastAsia"/>
              </w:rPr>
              <w:t>/d一次建成。</w:t>
            </w:r>
          </w:p>
        </w:tc>
        <w:tc>
          <w:tcPr>
            <w:tcW w:w="351" w:type="pct"/>
            <w:noWrap w:val="0"/>
            <w:vAlign w:val="center"/>
          </w:tcPr>
          <w:p>
            <w:pPr>
              <w:pStyle w:val="29"/>
              <w:rPr>
                <w:szCs w:val="21"/>
              </w:rPr>
            </w:pPr>
            <w:r>
              <w:rPr>
                <w:szCs w:val="21"/>
              </w:rPr>
              <w:t>是</w:t>
            </w:r>
          </w:p>
        </w:tc>
        <w:tc>
          <w:tcPr>
            <w:tcW w:w="380" w:type="pct"/>
            <w:vMerge w:val="continue"/>
            <w:noWrap w:val="0"/>
            <w:vAlign w:val="center"/>
          </w:tcPr>
          <w:p>
            <w:pPr>
              <w:pStyle w:val="29"/>
              <w:rPr>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4" w:type="pct"/>
            <w:vMerge w:val="continue"/>
            <w:noWrap w:val="0"/>
            <w:vAlign w:val="center"/>
          </w:tcPr>
          <w:p>
            <w:pPr>
              <w:pStyle w:val="29"/>
              <w:rPr>
                <w:szCs w:val="21"/>
              </w:rPr>
            </w:pPr>
          </w:p>
        </w:tc>
        <w:tc>
          <w:tcPr>
            <w:tcW w:w="492" w:type="pct"/>
            <w:noWrap w:val="0"/>
            <w:vAlign w:val="center"/>
          </w:tcPr>
          <w:p>
            <w:pPr>
              <w:pStyle w:val="29"/>
              <w:bidi w:val="0"/>
            </w:pPr>
            <w:r>
              <w:rPr>
                <w:rFonts w:hint="eastAsia"/>
                <w:lang w:val="en-US" w:eastAsia="zh-CN"/>
              </w:rPr>
              <w:t>脱水间</w:t>
            </w:r>
          </w:p>
        </w:tc>
        <w:tc>
          <w:tcPr>
            <w:tcW w:w="1822" w:type="pct"/>
            <w:noWrap w:val="0"/>
            <w:vAlign w:val="center"/>
          </w:tcPr>
          <w:p>
            <w:pPr>
              <w:pStyle w:val="29"/>
              <w:bidi w:val="0"/>
              <w:jc w:val="both"/>
            </w:pPr>
            <w:r>
              <w:rPr>
                <w:rFonts w:hint="eastAsia"/>
              </w:rPr>
              <w:t>1座，框架结构，L×B×H=30.8×11.74×8.0m，土建按3000m</w:t>
            </w:r>
            <w:r>
              <w:rPr>
                <w:rFonts w:hint="eastAsia"/>
                <w:vertAlign w:val="superscript"/>
              </w:rPr>
              <w:t>3</w:t>
            </w:r>
            <w:r>
              <w:rPr>
                <w:rFonts w:hint="eastAsia"/>
              </w:rPr>
              <w:t>/d一次建成。</w:t>
            </w:r>
          </w:p>
        </w:tc>
        <w:tc>
          <w:tcPr>
            <w:tcW w:w="1828" w:type="pct"/>
            <w:noWrap w:val="0"/>
            <w:vAlign w:val="center"/>
          </w:tcPr>
          <w:p>
            <w:pPr>
              <w:pStyle w:val="29"/>
              <w:bidi w:val="0"/>
              <w:ind w:firstLine="0" w:firstLineChars="0"/>
              <w:jc w:val="both"/>
              <w:rPr>
                <w:rFonts w:ascii="Times New Roman" w:hAnsi="Times New Roman" w:eastAsia="宋体"/>
                <w:kern w:val="2"/>
                <w:sz w:val="21"/>
                <w:szCs w:val="22"/>
                <w:lang w:val="en-US" w:eastAsia="zh-CN" w:bidi="ar-SA"/>
              </w:rPr>
            </w:pPr>
            <w:r>
              <w:rPr>
                <w:rFonts w:hint="eastAsia"/>
              </w:rPr>
              <w:t>1座，框架结构，L×B×H=30.8×11.74×8.0m，土建按3000m</w:t>
            </w:r>
            <w:r>
              <w:rPr>
                <w:rFonts w:hint="eastAsia"/>
                <w:vertAlign w:val="superscript"/>
              </w:rPr>
              <w:t>3</w:t>
            </w:r>
            <w:r>
              <w:rPr>
                <w:rFonts w:hint="eastAsia"/>
              </w:rPr>
              <w:t>/d一次建成。</w:t>
            </w:r>
          </w:p>
        </w:tc>
        <w:tc>
          <w:tcPr>
            <w:tcW w:w="351" w:type="pct"/>
            <w:noWrap w:val="0"/>
            <w:vAlign w:val="center"/>
          </w:tcPr>
          <w:p>
            <w:pPr>
              <w:pStyle w:val="29"/>
              <w:rPr>
                <w:szCs w:val="21"/>
              </w:rPr>
            </w:pPr>
            <w:r>
              <w:rPr>
                <w:szCs w:val="21"/>
              </w:rPr>
              <w:t>是</w:t>
            </w:r>
          </w:p>
        </w:tc>
        <w:tc>
          <w:tcPr>
            <w:tcW w:w="380" w:type="pct"/>
            <w:vMerge w:val="continue"/>
            <w:noWrap w:val="0"/>
            <w:vAlign w:val="center"/>
          </w:tcPr>
          <w:p>
            <w:pPr>
              <w:pStyle w:val="29"/>
              <w:rPr>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4" w:type="pct"/>
            <w:vMerge w:val="restart"/>
            <w:noWrap w:val="0"/>
            <w:vAlign w:val="center"/>
          </w:tcPr>
          <w:p>
            <w:pPr>
              <w:pStyle w:val="29"/>
              <w:rPr>
                <w:szCs w:val="21"/>
              </w:rPr>
            </w:pPr>
            <w:r>
              <w:rPr>
                <w:szCs w:val="21"/>
              </w:rPr>
              <w:t>辅助</w:t>
            </w:r>
          </w:p>
          <w:p>
            <w:pPr>
              <w:pStyle w:val="29"/>
              <w:rPr>
                <w:szCs w:val="21"/>
              </w:rPr>
            </w:pPr>
            <w:r>
              <w:rPr>
                <w:szCs w:val="21"/>
              </w:rPr>
              <w:t>工程</w:t>
            </w:r>
          </w:p>
        </w:tc>
        <w:tc>
          <w:tcPr>
            <w:tcW w:w="492" w:type="pct"/>
            <w:noWrap w:val="0"/>
            <w:vAlign w:val="center"/>
          </w:tcPr>
          <w:p>
            <w:pPr>
              <w:pStyle w:val="29"/>
              <w:bidi w:val="0"/>
            </w:pPr>
            <w:r>
              <w:rPr>
                <w:rFonts w:hint="eastAsia"/>
                <w:lang w:val="en-US" w:eastAsia="zh-CN"/>
              </w:rPr>
              <w:t>管网工程</w:t>
            </w:r>
          </w:p>
        </w:tc>
        <w:tc>
          <w:tcPr>
            <w:tcW w:w="1822" w:type="pct"/>
            <w:noWrap w:val="0"/>
            <w:vAlign w:val="center"/>
          </w:tcPr>
          <w:p>
            <w:pPr>
              <w:pStyle w:val="29"/>
              <w:bidi w:val="0"/>
              <w:jc w:val="both"/>
            </w:pPr>
            <w:r>
              <w:rPr>
                <w:rFonts w:hint="eastAsia"/>
              </w:rPr>
              <w:t>新建尾水管网约2886m，DN400。</w:t>
            </w:r>
          </w:p>
        </w:tc>
        <w:tc>
          <w:tcPr>
            <w:tcW w:w="1828" w:type="pct"/>
            <w:noWrap w:val="0"/>
            <w:vAlign w:val="center"/>
          </w:tcPr>
          <w:p>
            <w:pPr>
              <w:pStyle w:val="29"/>
              <w:bidi w:val="0"/>
              <w:ind w:firstLine="0" w:firstLineChars="0"/>
              <w:jc w:val="both"/>
              <w:rPr>
                <w:rFonts w:ascii="Times New Roman" w:hAnsi="Times New Roman" w:eastAsia="宋体"/>
                <w:kern w:val="2"/>
                <w:sz w:val="21"/>
                <w:szCs w:val="22"/>
                <w:lang w:val="en-US" w:eastAsia="zh-CN" w:bidi="ar-SA"/>
              </w:rPr>
            </w:pPr>
            <w:r>
              <w:rPr>
                <w:rFonts w:hint="eastAsia"/>
              </w:rPr>
              <w:t>新建尾水管网约2886m，DN400。</w:t>
            </w:r>
          </w:p>
        </w:tc>
        <w:tc>
          <w:tcPr>
            <w:tcW w:w="351" w:type="pct"/>
            <w:noWrap w:val="0"/>
            <w:vAlign w:val="center"/>
          </w:tcPr>
          <w:p>
            <w:pPr>
              <w:pStyle w:val="29"/>
            </w:pPr>
            <w:r>
              <w:rPr>
                <w:rFonts w:hint="eastAsia"/>
              </w:rPr>
              <w:t>是</w:t>
            </w:r>
          </w:p>
        </w:tc>
        <w:tc>
          <w:tcPr>
            <w:tcW w:w="380" w:type="pct"/>
            <w:noWrap w:val="0"/>
            <w:vAlign w:val="center"/>
          </w:tcPr>
          <w:p>
            <w:pPr>
              <w:pStyle w:val="29"/>
              <w:rPr>
                <w:szCs w:val="21"/>
              </w:rPr>
            </w:pPr>
            <w:r>
              <w:rPr>
                <w:szCs w:val="21"/>
              </w:rPr>
              <w:t>固废、噪声、废水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4" w:type="pct"/>
            <w:vMerge w:val="continue"/>
            <w:noWrap w:val="0"/>
            <w:vAlign w:val="center"/>
          </w:tcPr>
          <w:p>
            <w:pPr>
              <w:pStyle w:val="29"/>
              <w:rPr>
                <w:szCs w:val="21"/>
              </w:rPr>
            </w:pPr>
          </w:p>
        </w:tc>
        <w:tc>
          <w:tcPr>
            <w:tcW w:w="492" w:type="pct"/>
            <w:noWrap w:val="0"/>
            <w:vAlign w:val="center"/>
          </w:tcPr>
          <w:p>
            <w:pPr>
              <w:pStyle w:val="29"/>
              <w:bidi w:val="0"/>
            </w:pPr>
            <w:r>
              <w:rPr>
                <w:rFonts w:hint="eastAsia"/>
                <w:lang w:val="en-US" w:eastAsia="zh-CN"/>
              </w:rPr>
              <w:t>加药间</w:t>
            </w:r>
          </w:p>
        </w:tc>
        <w:tc>
          <w:tcPr>
            <w:tcW w:w="1822" w:type="pct"/>
            <w:noWrap w:val="0"/>
            <w:vAlign w:val="center"/>
          </w:tcPr>
          <w:p>
            <w:pPr>
              <w:pStyle w:val="29"/>
              <w:bidi w:val="0"/>
              <w:jc w:val="both"/>
            </w:pPr>
            <w:r>
              <w:rPr>
                <w:rFonts w:hint="eastAsia"/>
                <w:lang w:val="en-US" w:eastAsia="zh-CN"/>
              </w:rPr>
              <w:t>1</w:t>
            </w:r>
            <w:r>
              <w:rPr>
                <w:rFonts w:hint="eastAsia"/>
              </w:rPr>
              <w:t>座，框架结构，L×B×H=39.7×4.44×4.2m</w:t>
            </w:r>
          </w:p>
        </w:tc>
        <w:tc>
          <w:tcPr>
            <w:tcW w:w="1828" w:type="pct"/>
            <w:noWrap w:val="0"/>
            <w:vAlign w:val="center"/>
          </w:tcPr>
          <w:p>
            <w:pPr>
              <w:pStyle w:val="29"/>
              <w:bidi w:val="0"/>
              <w:ind w:firstLine="0" w:firstLineChars="0"/>
              <w:jc w:val="both"/>
              <w:rPr>
                <w:rFonts w:ascii="Times New Roman" w:hAnsi="Times New Roman" w:eastAsia="宋体"/>
                <w:kern w:val="2"/>
                <w:sz w:val="21"/>
                <w:szCs w:val="22"/>
                <w:lang w:val="en-US" w:eastAsia="zh-CN" w:bidi="ar-SA"/>
              </w:rPr>
            </w:pPr>
            <w:r>
              <w:rPr>
                <w:rFonts w:hint="eastAsia"/>
                <w:lang w:val="en-US" w:eastAsia="zh-CN"/>
              </w:rPr>
              <w:t>1</w:t>
            </w:r>
            <w:r>
              <w:rPr>
                <w:rFonts w:hint="eastAsia"/>
              </w:rPr>
              <w:t>座，框架结构，L×B×H=39.7×4.44×4.2m</w:t>
            </w:r>
          </w:p>
        </w:tc>
        <w:tc>
          <w:tcPr>
            <w:tcW w:w="351" w:type="pct"/>
            <w:noWrap w:val="0"/>
            <w:vAlign w:val="center"/>
          </w:tcPr>
          <w:p>
            <w:pPr>
              <w:pStyle w:val="29"/>
            </w:pPr>
            <w:r>
              <w:rPr>
                <w:rFonts w:hint="eastAsia"/>
              </w:rPr>
              <w:t>是</w:t>
            </w:r>
          </w:p>
        </w:tc>
        <w:tc>
          <w:tcPr>
            <w:tcW w:w="380" w:type="pct"/>
            <w:noWrap w:val="0"/>
            <w:vAlign w:val="center"/>
          </w:tcPr>
          <w:p>
            <w:pPr>
              <w:pStyle w:val="29"/>
              <w:rPr>
                <w:rFonts w:hint="eastAsia"/>
                <w:szCs w:val="21"/>
              </w:rPr>
            </w:pPr>
            <w:r>
              <w:rPr>
                <w:rFonts w:hint="eastAsia"/>
                <w:szCs w:val="21"/>
              </w:rPr>
              <w:t>噪声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4" w:type="pct"/>
            <w:vMerge w:val="continue"/>
            <w:noWrap w:val="0"/>
            <w:vAlign w:val="center"/>
          </w:tcPr>
          <w:p>
            <w:pPr>
              <w:pStyle w:val="29"/>
              <w:rPr>
                <w:szCs w:val="21"/>
              </w:rPr>
            </w:pPr>
          </w:p>
        </w:tc>
        <w:tc>
          <w:tcPr>
            <w:tcW w:w="492" w:type="pct"/>
            <w:noWrap w:val="0"/>
            <w:vAlign w:val="center"/>
          </w:tcPr>
          <w:p>
            <w:pPr>
              <w:pStyle w:val="29"/>
              <w:bidi w:val="0"/>
            </w:pPr>
            <w:r>
              <w:rPr>
                <w:rFonts w:hint="eastAsia"/>
                <w:lang w:val="en-US" w:eastAsia="zh-CN"/>
              </w:rPr>
              <w:t>风机房及配电间</w:t>
            </w:r>
          </w:p>
        </w:tc>
        <w:tc>
          <w:tcPr>
            <w:tcW w:w="1822" w:type="pct"/>
            <w:noWrap w:val="0"/>
            <w:vAlign w:val="center"/>
          </w:tcPr>
          <w:p>
            <w:pPr>
              <w:pStyle w:val="29"/>
              <w:bidi w:val="0"/>
              <w:jc w:val="both"/>
            </w:pPr>
            <w:r>
              <w:rPr>
                <w:rFonts w:hint="eastAsia"/>
              </w:rPr>
              <w:t>1座，框架结构，L×B×H=23.2×6.2×3.9~5.2m</w:t>
            </w:r>
          </w:p>
        </w:tc>
        <w:tc>
          <w:tcPr>
            <w:tcW w:w="1828" w:type="pct"/>
            <w:noWrap w:val="0"/>
            <w:vAlign w:val="center"/>
          </w:tcPr>
          <w:p>
            <w:pPr>
              <w:pStyle w:val="29"/>
              <w:bidi w:val="0"/>
              <w:ind w:firstLine="0" w:firstLineChars="0"/>
              <w:jc w:val="both"/>
              <w:rPr>
                <w:rFonts w:ascii="Times New Roman" w:hAnsi="Times New Roman" w:eastAsia="宋体"/>
                <w:kern w:val="2"/>
                <w:sz w:val="21"/>
                <w:szCs w:val="22"/>
                <w:lang w:val="en-US" w:eastAsia="zh-CN" w:bidi="ar-SA"/>
              </w:rPr>
            </w:pPr>
            <w:r>
              <w:rPr>
                <w:rFonts w:hint="eastAsia"/>
              </w:rPr>
              <w:t>1座，框架结构，L×B×H=23.2×6.2×3.9~5.2m</w:t>
            </w:r>
          </w:p>
        </w:tc>
        <w:tc>
          <w:tcPr>
            <w:tcW w:w="351" w:type="pct"/>
            <w:noWrap w:val="0"/>
            <w:vAlign w:val="center"/>
          </w:tcPr>
          <w:p>
            <w:pPr>
              <w:pStyle w:val="29"/>
            </w:pPr>
            <w:r>
              <w:rPr>
                <w:rFonts w:hint="eastAsia"/>
              </w:rPr>
              <w:t>是</w:t>
            </w:r>
          </w:p>
        </w:tc>
        <w:tc>
          <w:tcPr>
            <w:tcW w:w="380" w:type="pct"/>
            <w:noWrap w:val="0"/>
            <w:vAlign w:val="center"/>
          </w:tcPr>
          <w:p>
            <w:pPr>
              <w:pStyle w:val="29"/>
              <w:rPr>
                <w:rFonts w:hint="eastAsia"/>
                <w:szCs w:val="21"/>
              </w:rPr>
            </w:pPr>
            <w:r>
              <w:rPr>
                <w:rFonts w:hint="eastAsia"/>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4" w:type="pct"/>
            <w:vMerge w:val="continue"/>
            <w:noWrap w:val="0"/>
            <w:vAlign w:val="center"/>
          </w:tcPr>
          <w:p>
            <w:pPr>
              <w:pStyle w:val="29"/>
              <w:rPr>
                <w:szCs w:val="21"/>
              </w:rPr>
            </w:pPr>
          </w:p>
        </w:tc>
        <w:tc>
          <w:tcPr>
            <w:tcW w:w="492" w:type="pct"/>
            <w:noWrap w:val="0"/>
            <w:vAlign w:val="center"/>
          </w:tcPr>
          <w:p>
            <w:pPr>
              <w:pStyle w:val="29"/>
              <w:rPr>
                <w:szCs w:val="21"/>
              </w:rPr>
            </w:pPr>
            <w:r>
              <w:rPr>
                <w:rFonts w:hint="eastAsia"/>
                <w:szCs w:val="21"/>
              </w:rPr>
              <w:t>综合楼</w:t>
            </w:r>
          </w:p>
        </w:tc>
        <w:tc>
          <w:tcPr>
            <w:tcW w:w="1822" w:type="pct"/>
            <w:noWrap w:val="0"/>
            <w:vAlign w:val="center"/>
          </w:tcPr>
          <w:p>
            <w:pPr>
              <w:pStyle w:val="29"/>
              <w:jc w:val="both"/>
              <w:rPr>
                <w:szCs w:val="21"/>
              </w:rPr>
            </w:pPr>
            <w:r>
              <w:rPr>
                <w:rFonts w:hint="eastAsia"/>
                <w:szCs w:val="21"/>
              </w:rPr>
              <w:t>1栋，框架结构，L×B×H=21.4×7.3×8.6m</w:t>
            </w:r>
          </w:p>
        </w:tc>
        <w:tc>
          <w:tcPr>
            <w:tcW w:w="1828" w:type="pct"/>
            <w:noWrap w:val="0"/>
            <w:vAlign w:val="center"/>
          </w:tcPr>
          <w:p>
            <w:pPr>
              <w:pStyle w:val="29"/>
              <w:ind w:firstLine="0" w:firstLineChars="0"/>
              <w:jc w:val="both"/>
              <w:rPr>
                <w:rFonts w:ascii="Times New Roman" w:hAnsi="Times New Roman" w:eastAsia="宋体"/>
                <w:kern w:val="2"/>
                <w:sz w:val="21"/>
                <w:szCs w:val="21"/>
                <w:lang w:val="en-US" w:eastAsia="zh-CN" w:bidi="ar-SA"/>
              </w:rPr>
            </w:pPr>
            <w:r>
              <w:rPr>
                <w:rFonts w:hint="eastAsia"/>
                <w:szCs w:val="21"/>
              </w:rPr>
              <w:t>1栋，框架结构，L×B×H=21.4×7.3×8.6m</w:t>
            </w:r>
          </w:p>
        </w:tc>
        <w:tc>
          <w:tcPr>
            <w:tcW w:w="351" w:type="pct"/>
            <w:noWrap w:val="0"/>
            <w:vAlign w:val="center"/>
          </w:tcPr>
          <w:p>
            <w:pPr>
              <w:pStyle w:val="29"/>
            </w:pPr>
            <w:r>
              <w:rPr>
                <w:rFonts w:hint="eastAsia"/>
              </w:rPr>
              <w:t>是</w:t>
            </w:r>
          </w:p>
        </w:tc>
        <w:tc>
          <w:tcPr>
            <w:tcW w:w="380" w:type="pct"/>
            <w:noWrap w:val="0"/>
            <w:vAlign w:val="center"/>
          </w:tcPr>
          <w:p>
            <w:pPr>
              <w:pStyle w:val="29"/>
              <w:rPr>
                <w:szCs w:val="21"/>
              </w:rPr>
            </w:pPr>
            <w:r>
              <w:rPr>
                <w:szCs w:val="21"/>
              </w:rPr>
              <w:t>噪声、恶臭</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4" w:type="pct"/>
            <w:vMerge w:val="continue"/>
            <w:noWrap w:val="0"/>
            <w:vAlign w:val="center"/>
          </w:tcPr>
          <w:p>
            <w:pPr>
              <w:pStyle w:val="29"/>
              <w:rPr>
                <w:szCs w:val="21"/>
              </w:rPr>
            </w:pPr>
          </w:p>
        </w:tc>
        <w:tc>
          <w:tcPr>
            <w:tcW w:w="492" w:type="pct"/>
            <w:noWrap w:val="0"/>
            <w:vAlign w:val="center"/>
          </w:tcPr>
          <w:p>
            <w:pPr>
              <w:pStyle w:val="29"/>
              <w:rPr>
                <w:szCs w:val="21"/>
              </w:rPr>
            </w:pPr>
            <w:r>
              <w:rPr>
                <w:rFonts w:hint="eastAsia"/>
                <w:szCs w:val="21"/>
              </w:rPr>
              <w:t>水</w:t>
            </w:r>
            <w:r>
              <w:rPr>
                <w:rFonts w:hint="eastAsia"/>
                <w:szCs w:val="21"/>
                <w:lang w:eastAsia="zh-CN"/>
              </w:rPr>
              <w:t>质</w:t>
            </w:r>
            <w:r>
              <w:rPr>
                <w:rFonts w:hint="eastAsia"/>
                <w:szCs w:val="21"/>
              </w:rPr>
              <w:t>检测室</w:t>
            </w:r>
          </w:p>
        </w:tc>
        <w:tc>
          <w:tcPr>
            <w:tcW w:w="1822" w:type="pct"/>
            <w:noWrap w:val="0"/>
            <w:vAlign w:val="center"/>
          </w:tcPr>
          <w:p>
            <w:pPr>
              <w:pStyle w:val="29"/>
              <w:jc w:val="both"/>
              <w:rPr>
                <w:szCs w:val="21"/>
              </w:rPr>
            </w:pPr>
            <w:r>
              <w:rPr>
                <w:rFonts w:hint="eastAsia"/>
                <w:szCs w:val="21"/>
              </w:rPr>
              <w:t>2间，砖混结构，L×B×H=4.4×3.8×3.6m</w:t>
            </w:r>
          </w:p>
        </w:tc>
        <w:tc>
          <w:tcPr>
            <w:tcW w:w="1828" w:type="pct"/>
            <w:noWrap w:val="0"/>
            <w:vAlign w:val="center"/>
          </w:tcPr>
          <w:p>
            <w:pPr>
              <w:pStyle w:val="29"/>
              <w:ind w:firstLine="0" w:firstLineChars="0"/>
              <w:jc w:val="both"/>
              <w:rPr>
                <w:rFonts w:ascii="Times New Roman" w:hAnsi="Times New Roman" w:eastAsia="宋体"/>
                <w:kern w:val="2"/>
                <w:sz w:val="21"/>
                <w:szCs w:val="21"/>
                <w:lang w:val="en-US" w:eastAsia="zh-CN" w:bidi="ar-SA"/>
              </w:rPr>
            </w:pPr>
            <w:r>
              <w:rPr>
                <w:rFonts w:hint="eastAsia"/>
                <w:szCs w:val="21"/>
              </w:rPr>
              <w:t>2间，砖混结构，L×B×H=4.4×3.8×3.6m</w:t>
            </w:r>
          </w:p>
        </w:tc>
        <w:tc>
          <w:tcPr>
            <w:tcW w:w="351" w:type="pct"/>
            <w:noWrap w:val="0"/>
            <w:vAlign w:val="center"/>
          </w:tcPr>
          <w:p>
            <w:pPr>
              <w:pStyle w:val="29"/>
            </w:pPr>
            <w:r>
              <w:rPr>
                <w:rFonts w:hint="eastAsia"/>
              </w:rPr>
              <w:t>是</w:t>
            </w:r>
          </w:p>
        </w:tc>
        <w:tc>
          <w:tcPr>
            <w:tcW w:w="380" w:type="pct"/>
            <w:noWrap w:val="0"/>
            <w:vAlign w:val="center"/>
          </w:tcPr>
          <w:p>
            <w:pPr>
              <w:pStyle w:val="29"/>
              <w:rPr>
                <w:szCs w:val="21"/>
              </w:rPr>
            </w:pPr>
            <w:r>
              <w:rPr>
                <w:szCs w:val="21"/>
              </w:rPr>
              <w:t>噪声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4" w:type="pct"/>
            <w:vMerge w:val="continue"/>
            <w:noWrap w:val="0"/>
            <w:vAlign w:val="center"/>
          </w:tcPr>
          <w:p>
            <w:pPr>
              <w:pStyle w:val="29"/>
              <w:rPr>
                <w:szCs w:val="21"/>
              </w:rPr>
            </w:pPr>
          </w:p>
        </w:tc>
        <w:tc>
          <w:tcPr>
            <w:tcW w:w="492" w:type="pct"/>
            <w:noWrap w:val="0"/>
            <w:vAlign w:val="center"/>
          </w:tcPr>
          <w:p>
            <w:pPr>
              <w:pStyle w:val="29"/>
              <w:rPr>
                <w:szCs w:val="21"/>
              </w:rPr>
            </w:pPr>
            <w:r>
              <w:rPr>
                <w:rFonts w:hint="eastAsia"/>
                <w:szCs w:val="21"/>
              </w:rPr>
              <w:t>传达室</w:t>
            </w:r>
          </w:p>
        </w:tc>
        <w:tc>
          <w:tcPr>
            <w:tcW w:w="1822" w:type="pct"/>
            <w:noWrap w:val="0"/>
            <w:vAlign w:val="center"/>
          </w:tcPr>
          <w:p>
            <w:pPr>
              <w:pStyle w:val="29"/>
              <w:jc w:val="both"/>
              <w:rPr>
                <w:szCs w:val="21"/>
              </w:rPr>
            </w:pPr>
            <w:r>
              <w:rPr>
                <w:rFonts w:hint="eastAsia"/>
                <w:szCs w:val="21"/>
                <w:lang w:val="en-US" w:eastAsia="zh-CN"/>
              </w:rPr>
              <w:t>1</w:t>
            </w:r>
            <w:r>
              <w:rPr>
                <w:rFonts w:hint="eastAsia"/>
                <w:szCs w:val="21"/>
              </w:rPr>
              <w:t>间，砖混结构，L×B×H=6.3×4.4×4.95m</w:t>
            </w:r>
          </w:p>
        </w:tc>
        <w:tc>
          <w:tcPr>
            <w:tcW w:w="1828" w:type="pct"/>
            <w:noWrap w:val="0"/>
            <w:vAlign w:val="center"/>
          </w:tcPr>
          <w:p>
            <w:pPr>
              <w:pStyle w:val="29"/>
              <w:ind w:firstLine="0" w:firstLineChars="0"/>
              <w:jc w:val="both"/>
              <w:rPr>
                <w:rFonts w:ascii="Times New Roman" w:hAnsi="Times New Roman" w:eastAsia="宋体"/>
                <w:kern w:val="2"/>
                <w:sz w:val="21"/>
                <w:szCs w:val="21"/>
                <w:lang w:val="en-US" w:eastAsia="zh-CN" w:bidi="ar-SA"/>
              </w:rPr>
            </w:pPr>
            <w:r>
              <w:rPr>
                <w:rFonts w:hint="eastAsia"/>
                <w:szCs w:val="21"/>
                <w:lang w:val="en-US" w:eastAsia="zh-CN"/>
              </w:rPr>
              <w:t>1</w:t>
            </w:r>
            <w:r>
              <w:rPr>
                <w:rFonts w:hint="eastAsia"/>
                <w:szCs w:val="21"/>
              </w:rPr>
              <w:t>间，砖混结构，L×B×H=6.3×4.4×4.95m</w:t>
            </w:r>
          </w:p>
        </w:tc>
        <w:tc>
          <w:tcPr>
            <w:tcW w:w="351" w:type="pct"/>
            <w:noWrap w:val="0"/>
            <w:vAlign w:val="center"/>
          </w:tcPr>
          <w:p>
            <w:pPr>
              <w:pStyle w:val="29"/>
            </w:pPr>
            <w:r>
              <w:rPr>
                <w:rFonts w:hint="eastAsia"/>
              </w:rPr>
              <w:t>是</w:t>
            </w:r>
          </w:p>
        </w:tc>
        <w:tc>
          <w:tcPr>
            <w:tcW w:w="380" w:type="pct"/>
            <w:noWrap w:val="0"/>
            <w:vAlign w:val="center"/>
          </w:tcPr>
          <w:p>
            <w:pPr>
              <w:pStyle w:val="29"/>
              <w:rPr>
                <w:szCs w:val="21"/>
              </w:rPr>
            </w:pPr>
            <w:r>
              <w:rPr>
                <w:szCs w:val="21"/>
              </w:rPr>
              <w:t>噪声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4" w:type="pct"/>
            <w:vMerge w:val="restart"/>
            <w:noWrap w:val="0"/>
            <w:vAlign w:val="center"/>
          </w:tcPr>
          <w:p>
            <w:pPr>
              <w:pStyle w:val="29"/>
              <w:rPr>
                <w:szCs w:val="21"/>
              </w:rPr>
            </w:pPr>
            <w:r>
              <w:rPr>
                <w:szCs w:val="21"/>
              </w:rPr>
              <w:t>公用</w:t>
            </w:r>
          </w:p>
          <w:p>
            <w:pPr>
              <w:pStyle w:val="29"/>
              <w:rPr>
                <w:szCs w:val="21"/>
              </w:rPr>
            </w:pPr>
            <w:r>
              <w:rPr>
                <w:szCs w:val="21"/>
              </w:rPr>
              <w:t>工程</w:t>
            </w:r>
          </w:p>
          <w:p>
            <w:pPr>
              <w:pStyle w:val="29"/>
              <w:rPr>
                <w:szCs w:val="21"/>
              </w:rPr>
            </w:pPr>
          </w:p>
        </w:tc>
        <w:tc>
          <w:tcPr>
            <w:tcW w:w="492" w:type="pct"/>
            <w:noWrap w:val="0"/>
            <w:vAlign w:val="center"/>
          </w:tcPr>
          <w:p>
            <w:pPr>
              <w:pStyle w:val="29"/>
              <w:rPr>
                <w:rFonts w:hint="eastAsia" w:eastAsia="宋体"/>
                <w:szCs w:val="21"/>
                <w:lang w:val="en-US" w:eastAsia="zh-CN"/>
              </w:rPr>
            </w:pPr>
            <w:r>
              <w:rPr>
                <w:rFonts w:hint="eastAsia"/>
                <w:szCs w:val="21"/>
                <w:lang w:val="en-US" w:eastAsia="zh-CN"/>
              </w:rPr>
              <w:t>供电</w:t>
            </w:r>
          </w:p>
        </w:tc>
        <w:tc>
          <w:tcPr>
            <w:tcW w:w="1822" w:type="pct"/>
            <w:noWrap w:val="0"/>
            <w:vAlign w:val="center"/>
          </w:tcPr>
          <w:p>
            <w:pPr>
              <w:pStyle w:val="29"/>
              <w:jc w:val="both"/>
              <w:rPr>
                <w:szCs w:val="21"/>
              </w:rPr>
            </w:pPr>
            <w:r>
              <w:rPr>
                <w:rFonts w:hint="eastAsia"/>
                <w:szCs w:val="21"/>
              </w:rPr>
              <w:t>厂区供电负荷为二级，采用双回路10kV市电电源，由当地供电部门提供2路10kV输电线路</w:t>
            </w:r>
          </w:p>
        </w:tc>
        <w:tc>
          <w:tcPr>
            <w:tcW w:w="1828" w:type="pct"/>
            <w:noWrap w:val="0"/>
            <w:vAlign w:val="center"/>
          </w:tcPr>
          <w:p>
            <w:pPr>
              <w:pStyle w:val="29"/>
              <w:ind w:firstLine="0" w:firstLineChars="0"/>
              <w:jc w:val="both"/>
              <w:rPr>
                <w:rFonts w:ascii="Times New Roman" w:hAnsi="Times New Roman" w:eastAsia="宋体"/>
                <w:kern w:val="2"/>
                <w:sz w:val="21"/>
                <w:szCs w:val="21"/>
                <w:lang w:val="en-US" w:eastAsia="zh-CN" w:bidi="ar-SA"/>
              </w:rPr>
            </w:pPr>
            <w:r>
              <w:rPr>
                <w:rFonts w:hint="eastAsia"/>
                <w:szCs w:val="21"/>
              </w:rPr>
              <w:t>厂区供电负荷为二级，采用双回路10kV市电电源，由当地供电部门提供2路10kV输电线路</w:t>
            </w:r>
          </w:p>
        </w:tc>
        <w:tc>
          <w:tcPr>
            <w:tcW w:w="351" w:type="pct"/>
            <w:noWrap w:val="0"/>
            <w:vAlign w:val="center"/>
          </w:tcPr>
          <w:p>
            <w:pPr>
              <w:pStyle w:val="29"/>
              <w:rPr>
                <w:szCs w:val="21"/>
              </w:rPr>
            </w:pPr>
            <w:r>
              <w:rPr>
                <w:szCs w:val="21"/>
              </w:rPr>
              <w:t>是</w:t>
            </w:r>
          </w:p>
        </w:tc>
        <w:tc>
          <w:tcPr>
            <w:tcW w:w="380" w:type="pct"/>
            <w:noWrap w:val="0"/>
            <w:vAlign w:val="center"/>
          </w:tcPr>
          <w:p>
            <w:pPr>
              <w:pStyle w:val="29"/>
              <w:rPr>
                <w:szCs w:val="21"/>
              </w:rPr>
            </w:pPr>
            <w:r>
              <w:rPr>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4" w:type="pct"/>
            <w:vMerge w:val="continue"/>
            <w:noWrap w:val="0"/>
            <w:vAlign w:val="center"/>
          </w:tcPr>
          <w:p>
            <w:pPr>
              <w:pStyle w:val="29"/>
              <w:rPr>
                <w:szCs w:val="21"/>
              </w:rPr>
            </w:pPr>
          </w:p>
        </w:tc>
        <w:tc>
          <w:tcPr>
            <w:tcW w:w="492" w:type="pct"/>
            <w:noWrap w:val="0"/>
            <w:vAlign w:val="center"/>
          </w:tcPr>
          <w:p>
            <w:pPr>
              <w:pStyle w:val="29"/>
              <w:rPr>
                <w:rFonts w:hint="eastAsia" w:eastAsia="宋体"/>
                <w:szCs w:val="21"/>
                <w:lang w:val="en-US" w:eastAsia="zh-CN"/>
              </w:rPr>
            </w:pPr>
            <w:r>
              <w:rPr>
                <w:rFonts w:hint="eastAsia"/>
                <w:szCs w:val="21"/>
                <w:lang w:val="en-US" w:eastAsia="zh-CN"/>
              </w:rPr>
              <w:t>供水</w:t>
            </w:r>
          </w:p>
        </w:tc>
        <w:tc>
          <w:tcPr>
            <w:tcW w:w="1822" w:type="pct"/>
            <w:noWrap w:val="0"/>
            <w:vAlign w:val="center"/>
          </w:tcPr>
          <w:p>
            <w:pPr>
              <w:pStyle w:val="29"/>
              <w:jc w:val="both"/>
              <w:rPr>
                <w:szCs w:val="21"/>
              </w:rPr>
            </w:pPr>
            <w:r>
              <w:rPr>
                <w:rFonts w:hint="eastAsia"/>
                <w:szCs w:val="21"/>
              </w:rPr>
              <w:t>厂区给水由市政供水管网提供，主要用于消防和生活用水</w:t>
            </w:r>
          </w:p>
        </w:tc>
        <w:tc>
          <w:tcPr>
            <w:tcW w:w="1828" w:type="pct"/>
            <w:noWrap w:val="0"/>
            <w:vAlign w:val="center"/>
          </w:tcPr>
          <w:p>
            <w:pPr>
              <w:pStyle w:val="29"/>
              <w:ind w:firstLine="0" w:firstLineChars="0"/>
              <w:jc w:val="both"/>
              <w:rPr>
                <w:rFonts w:ascii="Times New Roman" w:hAnsi="Times New Roman" w:eastAsia="宋体"/>
                <w:kern w:val="2"/>
                <w:sz w:val="21"/>
                <w:szCs w:val="21"/>
                <w:lang w:val="en-US" w:eastAsia="zh-CN" w:bidi="ar-SA"/>
              </w:rPr>
            </w:pPr>
            <w:r>
              <w:rPr>
                <w:rFonts w:hint="eastAsia"/>
                <w:szCs w:val="21"/>
              </w:rPr>
              <w:t>厂区给水由市政供水管网提供，主要用于消防和生活用水</w:t>
            </w:r>
          </w:p>
        </w:tc>
        <w:tc>
          <w:tcPr>
            <w:tcW w:w="351" w:type="pct"/>
            <w:noWrap w:val="0"/>
            <w:vAlign w:val="center"/>
          </w:tcPr>
          <w:p>
            <w:pPr>
              <w:pStyle w:val="29"/>
              <w:rPr>
                <w:szCs w:val="21"/>
              </w:rPr>
            </w:pPr>
            <w:r>
              <w:rPr>
                <w:szCs w:val="21"/>
              </w:rPr>
              <w:t>是</w:t>
            </w:r>
          </w:p>
        </w:tc>
        <w:tc>
          <w:tcPr>
            <w:tcW w:w="380" w:type="pct"/>
            <w:noWrap w:val="0"/>
            <w:vAlign w:val="center"/>
          </w:tcPr>
          <w:p>
            <w:pPr>
              <w:pStyle w:val="29"/>
              <w:rPr>
                <w:szCs w:val="21"/>
              </w:rPr>
            </w:pPr>
            <w:r>
              <w:rPr>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4" w:type="pct"/>
            <w:vMerge w:val="continue"/>
            <w:noWrap w:val="0"/>
            <w:vAlign w:val="center"/>
          </w:tcPr>
          <w:p>
            <w:pPr>
              <w:pStyle w:val="29"/>
              <w:rPr>
                <w:szCs w:val="21"/>
              </w:rPr>
            </w:pPr>
          </w:p>
        </w:tc>
        <w:tc>
          <w:tcPr>
            <w:tcW w:w="492" w:type="pct"/>
            <w:noWrap w:val="0"/>
            <w:vAlign w:val="center"/>
          </w:tcPr>
          <w:p>
            <w:pPr>
              <w:pStyle w:val="29"/>
              <w:rPr>
                <w:rFonts w:hint="eastAsia" w:eastAsia="宋体"/>
                <w:szCs w:val="21"/>
                <w:lang w:val="en-US" w:eastAsia="zh-CN"/>
              </w:rPr>
            </w:pPr>
            <w:r>
              <w:rPr>
                <w:rFonts w:hint="eastAsia"/>
                <w:szCs w:val="21"/>
                <w:lang w:val="en-US" w:eastAsia="zh-CN"/>
              </w:rPr>
              <w:t>排水</w:t>
            </w:r>
          </w:p>
        </w:tc>
        <w:tc>
          <w:tcPr>
            <w:tcW w:w="1822" w:type="pct"/>
            <w:noWrap w:val="0"/>
            <w:vAlign w:val="center"/>
          </w:tcPr>
          <w:p>
            <w:pPr>
              <w:pStyle w:val="29"/>
              <w:jc w:val="both"/>
              <w:rPr>
                <w:szCs w:val="21"/>
              </w:rPr>
            </w:pPr>
            <w:r>
              <w:rPr>
                <w:rFonts w:hint="eastAsia"/>
                <w:szCs w:val="21"/>
              </w:rPr>
              <w:t>厂区排水采取雨污分流制，雨水经道路雨水口收集后汇入雨水管道；厂区生活污水、生产废水进入水处理系统</w:t>
            </w:r>
          </w:p>
        </w:tc>
        <w:tc>
          <w:tcPr>
            <w:tcW w:w="1828" w:type="pct"/>
            <w:noWrap w:val="0"/>
            <w:vAlign w:val="center"/>
          </w:tcPr>
          <w:p>
            <w:pPr>
              <w:pStyle w:val="29"/>
              <w:ind w:firstLine="0" w:firstLineChars="0"/>
              <w:jc w:val="both"/>
              <w:rPr>
                <w:rFonts w:ascii="Times New Roman" w:hAnsi="Times New Roman" w:eastAsia="宋体"/>
                <w:kern w:val="2"/>
                <w:sz w:val="21"/>
                <w:szCs w:val="21"/>
                <w:lang w:val="en-US" w:eastAsia="zh-CN" w:bidi="ar-SA"/>
              </w:rPr>
            </w:pPr>
            <w:r>
              <w:rPr>
                <w:rFonts w:hint="eastAsia"/>
                <w:szCs w:val="21"/>
              </w:rPr>
              <w:t>厂区排水采取雨污分流制，雨水经道路雨水口收集后汇入雨水管道；厂区生活污水、生产废水进入水处理系统</w:t>
            </w:r>
          </w:p>
        </w:tc>
        <w:tc>
          <w:tcPr>
            <w:tcW w:w="351" w:type="pct"/>
            <w:noWrap w:val="0"/>
            <w:vAlign w:val="center"/>
          </w:tcPr>
          <w:p>
            <w:pPr>
              <w:pStyle w:val="29"/>
              <w:rPr>
                <w:szCs w:val="21"/>
              </w:rPr>
            </w:pPr>
            <w:r>
              <w:rPr>
                <w:szCs w:val="21"/>
              </w:rPr>
              <w:t>是</w:t>
            </w:r>
          </w:p>
        </w:tc>
        <w:tc>
          <w:tcPr>
            <w:tcW w:w="380" w:type="pct"/>
            <w:noWrap w:val="0"/>
            <w:vAlign w:val="center"/>
          </w:tcPr>
          <w:p>
            <w:pPr>
              <w:pStyle w:val="29"/>
              <w:rPr>
                <w:szCs w:val="21"/>
              </w:rPr>
            </w:pPr>
            <w:r>
              <w:rPr>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4" w:type="pct"/>
            <w:vMerge w:val="continue"/>
            <w:noWrap w:val="0"/>
            <w:vAlign w:val="center"/>
          </w:tcPr>
          <w:p>
            <w:pPr>
              <w:pStyle w:val="29"/>
              <w:rPr>
                <w:szCs w:val="21"/>
              </w:rPr>
            </w:pPr>
          </w:p>
        </w:tc>
        <w:tc>
          <w:tcPr>
            <w:tcW w:w="492" w:type="pct"/>
            <w:noWrap w:val="0"/>
            <w:vAlign w:val="center"/>
          </w:tcPr>
          <w:p>
            <w:pPr>
              <w:pStyle w:val="29"/>
              <w:rPr>
                <w:rFonts w:hint="eastAsia" w:eastAsia="宋体"/>
                <w:szCs w:val="21"/>
                <w:lang w:val="en-US" w:eastAsia="zh-CN"/>
              </w:rPr>
            </w:pPr>
            <w:r>
              <w:rPr>
                <w:rFonts w:hint="eastAsia"/>
                <w:szCs w:val="21"/>
                <w:lang w:val="en-US" w:eastAsia="zh-CN"/>
              </w:rPr>
              <w:t>停车坪</w:t>
            </w:r>
          </w:p>
        </w:tc>
        <w:tc>
          <w:tcPr>
            <w:tcW w:w="1822" w:type="pct"/>
            <w:noWrap w:val="0"/>
            <w:vAlign w:val="center"/>
          </w:tcPr>
          <w:p>
            <w:pPr>
              <w:pStyle w:val="29"/>
              <w:jc w:val="both"/>
              <w:rPr>
                <w:szCs w:val="21"/>
              </w:rPr>
            </w:pPr>
            <w:r>
              <w:rPr>
                <w:rFonts w:hint="eastAsia"/>
                <w:szCs w:val="21"/>
              </w:rPr>
              <w:t>厂内管理区设停车坪1座，面积约300m</w:t>
            </w:r>
            <w:r>
              <w:rPr>
                <w:rFonts w:hint="eastAsia"/>
                <w:szCs w:val="21"/>
                <w:vertAlign w:val="superscript"/>
              </w:rPr>
              <w:t>2</w:t>
            </w:r>
          </w:p>
        </w:tc>
        <w:tc>
          <w:tcPr>
            <w:tcW w:w="1828" w:type="pct"/>
            <w:noWrap w:val="0"/>
            <w:vAlign w:val="center"/>
          </w:tcPr>
          <w:p>
            <w:pPr>
              <w:pStyle w:val="29"/>
              <w:ind w:firstLine="0" w:firstLineChars="0"/>
              <w:jc w:val="both"/>
              <w:rPr>
                <w:rFonts w:ascii="Times New Roman" w:hAnsi="Times New Roman" w:eastAsia="宋体"/>
                <w:kern w:val="2"/>
                <w:sz w:val="21"/>
                <w:szCs w:val="21"/>
                <w:lang w:val="en-US" w:eastAsia="zh-CN" w:bidi="ar-SA"/>
              </w:rPr>
            </w:pPr>
            <w:r>
              <w:rPr>
                <w:rFonts w:hint="eastAsia"/>
                <w:szCs w:val="21"/>
              </w:rPr>
              <w:t>厂内管理区设停车坪1座，面积约300m</w:t>
            </w:r>
            <w:r>
              <w:rPr>
                <w:rFonts w:hint="eastAsia"/>
                <w:szCs w:val="21"/>
                <w:vertAlign w:val="superscript"/>
              </w:rPr>
              <w:t>2</w:t>
            </w:r>
          </w:p>
        </w:tc>
        <w:tc>
          <w:tcPr>
            <w:tcW w:w="351" w:type="pct"/>
            <w:noWrap w:val="0"/>
            <w:vAlign w:val="center"/>
          </w:tcPr>
          <w:p>
            <w:pPr>
              <w:pStyle w:val="29"/>
              <w:rPr>
                <w:szCs w:val="21"/>
              </w:rPr>
            </w:pPr>
            <w:r>
              <w:rPr>
                <w:szCs w:val="21"/>
              </w:rPr>
              <w:t>是</w:t>
            </w:r>
          </w:p>
        </w:tc>
        <w:tc>
          <w:tcPr>
            <w:tcW w:w="380" w:type="pct"/>
            <w:noWrap w:val="0"/>
            <w:vAlign w:val="center"/>
          </w:tcPr>
          <w:p>
            <w:pPr>
              <w:pStyle w:val="29"/>
              <w:rPr>
                <w:szCs w:val="21"/>
              </w:rPr>
            </w:pPr>
            <w:r>
              <w:rPr>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4" w:type="pct"/>
            <w:vMerge w:val="continue"/>
            <w:noWrap w:val="0"/>
            <w:vAlign w:val="center"/>
          </w:tcPr>
          <w:p>
            <w:pPr>
              <w:pStyle w:val="29"/>
              <w:rPr>
                <w:szCs w:val="21"/>
              </w:rPr>
            </w:pPr>
          </w:p>
        </w:tc>
        <w:tc>
          <w:tcPr>
            <w:tcW w:w="492" w:type="pct"/>
            <w:noWrap w:val="0"/>
            <w:vAlign w:val="center"/>
          </w:tcPr>
          <w:p>
            <w:pPr>
              <w:pStyle w:val="29"/>
              <w:rPr>
                <w:szCs w:val="21"/>
              </w:rPr>
            </w:pPr>
            <w:r>
              <w:rPr>
                <w:rFonts w:hint="eastAsia"/>
                <w:szCs w:val="21"/>
              </w:rPr>
              <w:t>厂区道路</w:t>
            </w:r>
          </w:p>
        </w:tc>
        <w:tc>
          <w:tcPr>
            <w:tcW w:w="1822" w:type="pct"/>
            <w:noWrap w:val="0"/>
            <w:vAlign w:val="center"/>
          </w:tcPr>
          <w:p>
            <w:pPr>
              <w:pStyle w:val="29"/>
              <w:jc w:val="both"/>
              <w:rPr>
                <w:szCs w:val="21"/>
              </w:rPr>
            </w:pPr>
            <w:r>
              <w:rPr>
                <w:rFonts w:hint="eastAsia"/>
                <w:szCs w:val="21"/>
              </w:rPr>
              <w:t>新修厂区道路布置成网格状的交通网络，通向每个建（构）筑物均设有道路；路面结构采用混凝土，主要干宽4m</w:t>
            </w:r>
          </w:p>
        </w:tc>
        <w:tc>
          <w:tcPr>
            <w:tcW w:w="1828" w:type="pct"/>
            <w:noWrap w:val="0"/>
            <w:vAlign w:val="center"/>
          </w:tcPr>
          <w:p>
            <w:pPr>
              <w:pStyle w:val="29"/>
              <w:ind w:firstLine="0" w:firstLineChars="0"/>
              <w:jc w:val="both"/>
              <w:rPr>
                <w:rFonts w:ascii="Times New Roman" w:hAnsi="Times New Roman" w:eastAsia="宋体"/>
                <w:kern w:val="2"/>
                <w:sz w:val="21"/>
                <w:szCs w:val="21"/>
                <w:lang w:val="en-US" w:eastAsia="zh-CN" w:bidi="ar-SA"/>
              </w:rPr>
            </w:pPr>
            <w:r>
              <w:rPr>
                <w:rFonts w:hint="eastAsia"/>
                <w:szCs w:val="21"/>
              </w:rPr>
              <w:t>新修厂区道路布置成网格状的交通网络，通向每个建（构）筑物均设有道路；路面结构采用混凝土，主要干宽4m</w:t>
            </w:r>
          </w:p>
        </w:tc>
        <w:tc>
          <w:tcPr>
            <w:tcW w:w="351" w:type="pct"/>
            <w:noWrap w:val="0"/>
            <w:vAlign w:val="center"/>
          </w:tcPr>
          <w:p>
            <w:pPr>
              <w:pStyle w:val="29"/>
              <w:rPr>
                <w:szCs w:val="21"/>
              </w:rPr>
            </w:pPr>
            <w:r>
              <w:rPr>
                <w:szCs w:val="21"/>
              </w:rPr>
              <w:t>是</w:t>
            </w:r>
          </w:p>
        </w:tc>
        <w:tc>
          <w:tcPr>
            <w:tcW w:w="380" w:type="pct"/>
            <w:noWrap w:val="0"/>
            <w:vAlign w:val="center"/>
          </w:tcPr>
          <w:p>
            <w:pPr>
              <w:pStyle w:val="29"/>
              <w:rPr>
                <w:szCs w:val="21"/>
              </w:rPr>
            </w:pPr>
            <w:r>
              <w:rPr>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4" w:type="pct"/>
            <w:vMerge w:val="restart"/>
            <w:noWrap w:val="0"/>
            <w:vAlign w:val="center"/>
          </w:tcPr>
          <w:p>
            <w:pPr>
              <w:pStyle w:val="29"/>
              <w:rPr>
                <w:szCs w:val="21"/>
              </w:rPr>
            </w:pPr>
            <w:r>
              <w:rPr>
                <w:szCs w:val="21"/>
              </w:rPr>
              <w:t>环保</w:t>
            </w:r>
          </w:p>
          <w:p>
            <w:pPr>
              <w:pStyle w:val="29"/>
              <w:rPr>
                <w:szCs w:val="21"/>
              </w:rPr>
            </w:pPr>
            <w:r>
              <w:rPr>
                <w:szCs w:val="21"/>
              </w:rPr>
              <w:t>工程</w:t>
            </w:r>
          </w:p>
        </w:tc>
        <w:tc>
          <w:tcPr>
            <w:tcW w:w="492" w:type="pct"/>
            <w:noWrap w:val="0"/>
            <w:vAlign w:val="center"/>
          </w:tcPr>
          <w:p>
            <w:pPr>
              <w:pStyle w:val="29"/>
              <w:rPr>
                <w:szCs w:val="21"/>
              </w:rPr>
            </w:pPr>
            <w:r>
              <w:rPr>
                <w:rFonts w:hint="eastAsia"/>
                <w:szCs w:val="21"/>
              </w:rPr>
              <w:t>除臭装置</w:t>
            </w:r>
          </w:p>
        </w:tc>
        <w:tc>
          <w:tcPr>
            <w:tcW w:w="1822" w:type="pct"/>
            <w:noWrap w:val="0"/>
            <w:vAlign w:val="center"/>
          </w:tcPr>
          <w:p>
            <w:pPr>
              <w:pStyle w:val="29"/>
              <w:jc w:val="both"/>
              <w:rPr>
                <w:szCs w:val="21"/>
              </w:rPr>
            </w:pPr>
            <w:r>
              <w:rPr>
                <w:rFonts w:hint="eastAsia"/>
                <w:szCs w:val="21"/>
              </w:rPr>
              <w:t>项目设1套生物除臭系统，分别用于预处理区、生化区及污泥处理系统；对产生臭气的构（建）筑物及设备加盖（或罩），臭气收集后通过风管送至除臭设备，位于项目东南角</w:t>
            </w:r>
          </w:p>
        </w:tc>
        <w:tc>
          <w:tcPr>
            <w:tcW w:w="1828" w:type="pct"/>
            <w:noWrap w:val="0"/>
            <w:vAlign w:val="center"/>
          </w:tcPr>
          <w:p>
            <w:pPr>
              <w:pStyle w:val="29"/>
              <w:ind w:firstLine="0" w:firstLineChars="0"/>
              <w:jc w:val="both"/>
              <w:rPr>
                <w:rFonts w:ascii="Times New Roman" w:hAnsi="Times New Roman" w:eastAsia="宋体"/>
                <w:kern w:val="2"/>
                <w:sz w:val="21"/>
                <w:szCs w:val="21"/>
                <w:lang w:val="en-US" w:eastAsia="zh-CN" w:bidi="ar-SA"/>
              </w:rPr>
            </w:pPr>
            <w:r>
              <w:rPr>
                <w:rFonts w:hint="eastAsia"/>
                <w:szCs w:val="21"/>
              </w:rPr>
              <w:t>项目设1套生物除臭系统，分别用于预处理区、生化区及污泥处理系统；对产生臭气的构（建）筑物及设备加盖（或罩），臭气收集后通过风管送至除臭设备，位于项目东南角</w:t>
            </w:r>
          </w:p>
        </w:tc>
        <w:tc>
          <w:tcPr>
            <w:tcW w:w="351" w:type="pct"/>
            <w:noWrap w:val="0"/>
            <w:vAlign w:val="center"/>
          </w:tcPr>
          <w:p>
            <w:pPr>
              <w:pStyle w:val="29"/>
              <w:rPr>
                <w:rFonts w:hint="eastAsia" w:eastAsia="宋体"/>
                <w:szCs w:val="21"/>
                <w:lang w:eastAsia="zh-CN"/>
              </w:rPr>
            </w:pPr>
            <w:r>
              <w:rPr>
                <w:rFonts w:hint="eastAsia"/>
                <w:szCs w:val="21"/>
                <w:lang w:eastAsia="zh-CN"/>
              </w:rPr>
              <w:t>是</w:t>
            </w:r>
          </w:p>
        </w:tc>
        <w:tc>
          <w:tcPr>
            <w:tcW w:w="380" w:type="pct"/>
            <w:noWrap w:val="0"/>
            <w:vAlign w:val="center"/>
          </w:tcPr>
          <w:p>
            <w:pPr>
              <w:pStyle w:val="29"/>
              <w:rPr>
                <w:szCs w:val="21"/>
              </w:rPr>
            </w:pPr>
            <w:r>
              <w:rPr>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4" w:type="pct"/>
            <w:vMerge w:val="continue"/>
            <w:noWrap w:val="0"/>
            <w:vAlign w:val="center"/>
          </w:tcPr>
          <w:p>
            <w:pPr>
              <w:pStyle w:val="29"/>
              <w:rPr>
                <w:szCs w:val="21"/>
              </w:rPr>
            </w:pPr>
          </w:p>
        </w:tc>
        <w:tc>
          <w:tcPr>
            <w:tcW w:w="492" w:type="pct"/>
            <w:noWrap w:val="0"/>
            <w:vAlign w:val="center"/>
          </w:tcPr>
          <w:p>
            <w:pPr>
              <w:pStyle w:val="29"/>
              <w:rPr>
                <w:szCs w:val="21"/>
              </w:rPr>
            </w:pPr>
            <w:r>
              <w:rPr>
                <w:rFonts w:hint="eastAsia"/>
                <w:szCs w:val="21"/>
              </w:rPr>
              <w:t>预处理池</w:t>
            </w:r>
          </w:p>
        </w:tc>
        <w:tc>
          <w:tcPr>
            <w:tcW w:w="1822" w:type="pct"/>
            <w:noWrap w:val="0"/>
            <w:vAlign w:val="center"/>
          </w:tcPr>
          <w:p>
            <w:pPr>
              <w:pStyle w:val="29"/>
              <w:jc w:val="both"/>
              <w:rPr>
                <w:rFonts w:hint="eastAsia" w:eastAsia="宋体"/>
                <w:szCs w:val="21"/>
                <w:lang w:eastAsia="zh-CN"/>
              </w:rPr>
            </w:pPr>
            <w:r>
              <w:rPr>
                <w:rFonts w:hint="eastAsia"/>
                <w:szCs w:val="21"/>
              </w:rPr>
              <w:t>一座，有效容积10m</w:t>
            </w:r>
            <w:r>
              <w:rPr>
                <w:rFonts w:hint="eastAsia"/>
                <w:szCs w:val="21"/>
                <w:vertAlign w:val="superscript"/>
              </w:rPr>
              <w:t>3</w:t>
            </w:r>
          </w:p>
        </w:tc>
        <w:tc>
          <w:tcPr>
            <w:tcW w:w="1828" w:type="pct"/>
            <w:noWrap w:val="0"/>
            <w:vAlign w:val="center"/>
          </w:tcPr>
          <w:p>
            <w:pPr>
              <w:pStyle w:val="29"/>
              <w:ind w:firstLine="0" w:firstLineChars="0"/>
              <w:jc w:val="both"/>
              <w:rPr>
                <w:rFonts w:hint="eastAsia" w:ascii="Times New Roman" w:hAnsi="Times New Roman" w:eastAsia="宋体"/>
                <w:kern w:val="2"/>
                <w:sz w:val="21"/>
                <w:szCs w:val="21"/>
                <w:lang w:val="en-US" w:eastAsia="zh-CN" w:bidi="ar-SA"/>
              </w:rPr>
            </w:pPr>
            <w:r>
              <w:rPr>
                <w:rFonts w:hint="eastAsia"/>
                <w:szCs w:val="21"/>
              </w:rPr>
              <w:t>一座，有效容积10m</w:t>
            </w:r>
            <w:r>
              <w:rPr>
                <w:rFonts w:hint="eastAsia"/>
                <w:szCs w:val="21"/>
                <w:vertAlign w:val="superscript"/>
              </w:rPr>
              <w:t>3</w:t>
            </w:r>
          </w:p>
        </w:tc>
        <w:tc>
          <w:tcPr>
            <w:tcW w:w="351" w:type="pct"/>
            <w:noWrap w:val="0"/>
            <w:vAlign w:val="center"/>
          </w:tcPr>
          <w:p>
            <w:pPr>
              <w:pStyle w:val="29"/>
              <w:rPr>
                <w:szCs w:val="21"/>
              </w:rPr>
            </w:pPr>
            <w:r>
              <w:rPr>
                <w:szCs w:val="21"/>
              </w:rPr>
              <w:t>是</w:t>
            </w:r>
          </w:p>
        </w:tc>
        <w:tc>
          <w:tcPr>
            <w:tcW w:w="380" w:type="pct"/>
            <w:noWrap w:val="0"/>
            <w:vAlign w:val="center"/>
          </w:tcPr>
          <w:p>
            <w:pPr>
              <w:pStyle w:val="29"/>
              <w:rPr>
                <w:szCs w:val="21"/>
              </w:rPr>
            </w:pPr>
            <w:r>
              <w:rPr>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4" w:type="pct"/>
            <w:vMerge w:val="continue"/>
            <w:noWrap w:val="0"/>
            <w:vAlign w:val="center"/>
          </w:tcPr>
          <w:p>
            <w:pPr>
              <w:pStyle w:val="29"/>
              <w:rPr>
                <w:szCs w:val="21"/>
              </w:rPr>
            </w:pPr>
          </w:p>
        </w:tc>
        <w:tc>
          <w:tcPr>
            <w:tcW w:w="492" w:type="pct"/>
            <w:noWrap w:val="0"/>
            <w:vAlign w:val="center"/>
          </w:tcPr>
          <w:p>
            <w:pPr>
              <w:pStyle w:val="29"/>
              <w:rPr>
                <w:szCs w:val="21"/>
              </w:rPr>
            </w:pPr>
            <w:r>
              <w:rPr>
                <w:rFonts w:hint="eastAsia"/>
                <w:szCs w:val="21"/>
              </w:rPr>
              <w:t>降噪措施</w:t>
            </w:r>
          </w:p>
        </w:tc>
        <w:tc>
          <w:tcPr>
            <w:tcW w:w="1822" w:type="pct"/>
            <w:noWrap w:val="0"/>
            <w:vAlign w:val="center"/>
          </w:tcPr>
          <w:p>
            <w:pPr>
              <w:pStyle w:val="29"/>
              <w:jc w:val="both"/>
              <w:rPr>
                <w:szCs w:val="21"/>
              </w:rPr>
            </w:pPr>
            <w:r>
              <w:rPr>
                <w:rFonts w:hint="eastAsia"/>
                <w:szCs w:val="21"/>
              </w:rPr>
              <w:t>加药间、污泥浓缩脱水间、泵房等产噪建筑物安装隔声门窗、风机减震降噪</w:t>
            </w:r>
          </w:p>
        </w:tc>
        <w:tc>
          <w:tcPr>
            <w:tcW w:w="1828" w:type="pct"/>
            <w:noWrap w:val="0"/>
            <w:vAlign w:val="center"/>
          </w:tcPr>
          <w:p>
            <w:pPr>
              <w:pStyle w:val="29"/>
              <w:ind w:firstLine="0" w:firstLineChars="0"/>
              <w:jc w:val="both"/>
              <w:rPr>
                <w:rFonts w:ascii="Times New Roman" w:hAnsi="Times New Roman" w:eastAsia="宋体"/>
                <w:kern w:val="2"/>
                <w:sz w:val="21"/>
                <w:szCs w:val="21"/>
                <w:lang w:val="en-US" w:eastAsia="zh-CN" w:bidi="ar-SA"/>
              </w:rPr>
            </w:pPr>
            <w:r>
              <w:rPr>
                <w:rFonts w:hint="eastAsia"/>
                <w:szCs w:val="21"/>
              </w:rPr>
              <w:t>加药间、污泥浓缩脱水间、泵房等产噪建筑物安装隔声门窗、风机减震降噪</w:t>
            </w:r>
          </w:p>
        </w:tc>
        <w:tc>
          <w:tcPr>
            <w:tcW w:w="351" w:type="pct"/>
            <w:noWrap w:val="0"/>
            <w:vAlign w:val="center"/>
          </w:tcPr>
          <w:p>
            <w:pPr>
              <w:pStyle w:val="29"/>
              <w:rPr>
                <w:rFonts w:hint="eastAsia" w:eastAsia="宋体"/>
                <w:szCs w:val="21"/>
                <w:lang w:eastAsia="zh-CN"/>
              </w:rPr>
            </w:pPr>
            <w:r>
              <w:rPr>
                <w:rFonts w:hint="eastAsia"/>
                <w:szCs w:val="21"/>
                <w:lang w:eastAsia="zh-CN"/>
              </w:rPr>
              <w:t>是</w:t>
            </w:r>
          </w:p>
        </w:tc>
        <w:tc>
          <w:tcPr>
            <w:tcW w:w="380" w:type="pct"/>
            <w:noWrap w:val="0"/>
            <w:vAlign w:val="center"/>
          </w:tcPr>
          <w:p>
            <w:pPr>
              <w:pStyle w:val="29"/>
              <w:rPr>
                <w:szCs w:val="21"/>
              </w:rPr>
            </w:pPr>
            <w:r>
              <w:rPr>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4" w:type="pct"/>
            <w:vMerge w:val="continue"/>
            <w:noWrap w:val="0"/>
            <w:vAlign w:val="center"/>
          </w:tcPr>
          <w:p>
            <w:pPr>
              <w:pStyle w:val="29"/>
              <w:rPr>
                <w:szCs w:val="21"/>
              </w:rPr>
            </w:pPr>
          </w:p>
        </w:tc>
        <w:tc>
          <w:tcPr>
            <w:tcW w:w="492" w:type="pct"/>
            <w:noWrap w:val="0"/>
            <w:vAlign w:val="center"/>
          </w:tcPr>
          <w:p>
            <w:pPr>
              <w:pStyle w:val="29"/>
              <w:rPr>
                <w:rFonts w:hint="eastAsia"/>
                <w:szCs w:val="21"/>
              </w:rPr>
            </w:pPr>
            <w:r>
              <w:rPr>
                <w:rFonts w:hint="eastAsia"/>
                <w:szCs w:val="21"/>
              </w:rPr>
              <w:t>绿化</w:t>
            </w:r>
          </w:p>
        </w:tc>
        <w:tc>
          <w:tcPr>
            <w:tcW w:w="1822" w:type="pct"/>
            <w:noWrap w:val="0"/>
            <w:vAlign w:val="center"/>
          </w:tcPr>
          <w:p>
            <w:pPr>
              <w:pStyle w:val="29"/>
              <w:jc w:val="both"/>
              <w:rPr>
                <w:rFonts w:hint="eastAsia" w:eastAsia="宋体"/>
                <w:szCs w:val="21"/>
                <w:lang w:eastAsia="zh-CN"/>
              </w:rPr>
            </w:pPr>
            <w:r>
              <w:rPr>
                <w:rFonts w:hint="eastAsia"/>
                <w:szCs w:val="21"/>
              </w:rPr>
              <w:t>厂区绿化用地总面积3560.7m</w:t>
            </w:r>
            <w:r>
              <w:rPr>
                <w:rFonts w:hint="eastAsia"/>
                <w:szCs w:val="21"/>
                <w:vertAlign w:val="superscript"/>
              </w:rPr>
              <w:t>2</w:t>
            </w:r>
          </w:p>
        </w:tc>
        <w:tc>
          <w:tcPr>
            <w:tcW w:w="1828" w:type="pct"/>
            <w:noWrap w:val="0"/>
            <w:vAlign w:val="center"/>
          </w:tcPr>
          <w:p>
            <w:pPr>
              <w:pStyle w:val="29"/>
              <w:ind w:firstLine="0" w:firstLineChars="0"/>
              <w:jc w:val="both"/>
              <w:rPr>
                <w:rFonts w:hint="eastAsia" w:ascii="Times New Roman" w:hAnsi="Times New Roman" w:eastAsia="宋体"/>
                <w:kern w:val="2"/>
                <w:sz w:val="21"/>
                <w:szCs w:val="21"/>
                <w:lang w:val="en-US" w:eastAsia="zh-CN" w:bidi="ar-SA"/>
              </w:rPr>
            </w:pPr>
            <w:r>
              <w:rPr>
                <w:rFonts w:hint="eastAsia"/>
                <w:szCs w:val="21"/>
              </w:rPr>
              <w:t>厂区绿化用地总面积3560.7m</w:t>
            </w:r>
            <w:r>
              <w:rPr>
                <w:rFonts w:hint="eastAsia"/>
                <w:szCs w:val="21"/>
                <w:vertAlign w:val="superscript"/>
              </w:rPr>
              <w:t>2</w:t>
            </w:r>
          </w:p>
        </w:tc>
        <w:tc>
          <w:tcPr>
            <w:tcW w:w="351" w:type="pct"/>
            <w:noWrap w:val="0"/>
            <w:vAlign w:val="center"/>
          </w:tcPr>
          <w:p>
            <w:pPr>
              <w:pStyle w:val="29"/>
              <w:rPr>
                <w:rFonts w:hint="eastAsia" w:eastAsia="宋体"/>
                <w:szCs w:val="21"/>
                <w:lang w:eastAsia="zh-CN"/>
              </w:rPr>
            </w:pPr>
            <w:r>
              <w:rPr>
                <w:rFonts w:hint="eastAsia"/>
                <w:szCs w:val="21"/>
                <w:lang w:eastAsia="zh-CN"/>
              </w:rPr>
              <w:t>是</w:t>
            </w:r>
          </w:p>
        </w:tc>
        <w:tc>
          <w:tcPr>
            <w:tcW w:w="380" w:type="pct"/>
            <w:noWrap w:val="0"/>
            <w:vAlign w:val="center"/>
          </w:tcPr>
          <w:p>
            <w:pPr>
              <w:pStyle w:val="29"/>
              <w:rPr>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4" w:type="pct"/>
            <w:vMerge w:val="continue"/>
            <w:noWrap w:val="0"/>
            <w:vAlign w:val="center"/>
          </w:tcPr>
          <w:p>
            <w:pPr>
              <w:pStyle w:val="29"/>
              <w:rPr>
                <w:szCs w:val="21"/>
              </w:rPr>
            </w:pPr>
          </w:p>
        </w:tc>
        <w:tc>
          <w:tcPr>
            <w:tcW w:w="492" w:type="pct"/>
            <w:noWrap w:val="0"/>
            <w:vAlign w:val="center"/>
          </w:tcPr>
          <w:p>
            <w:pPr>
              <w:pStyle w:val="29"/>
              <w:rPr>
                <w:szCs w:val="21"/>
              </w:rPr>
            </w:pPr>
            <w:r>
              <w:rPr>
                <w:rFonts w:hint="eastAsia"/>
                <w:szCs w:val="21"/>
              </w:rPr>
              <w:t>厂区防渗</w:t>
            </w:r>
          </w:p>
        </w:tc>
        <w:tc>
          <w:tcPr>
            <w:tcW w:w="1822" w:type="pct"/>
            <w:noWrap w:val="0"/>
            <w:vAlign w:val="center"/>
          </w:tcPr>
          <w:p>
            <w:pPr>
              <w:pStyle w:val="29"/>
              <w:rPr>
                <w:szCs w:val="21"/>
              </w:rPr>
            </w:pPr>
            <w:r>
              <w:rPr>
                <w:rFonts w:hint="eastAsia"/>
                <w:szCs w:val="21"/>
              </w:rPr>
              <w:t>重点防渗区重点防渗区采用P8等级混凝土+2mmHDPE膜防渗结构，一般防渗区地面采取采用P6等级混凝土</w:t>
            </w:r>
          </w:p>
        </w:tc>
        <w:tc>
          <w:tcPr>
            <w:tcW w:w="1828" w:type="pct"/>
            <w:noWrap w:val="0"/>
            <w:vAlign w:val="center"/>
          </w:tcPr>
          <w:p>
            <w:pPr>
              <w:pStyle w:val="29"/>
              <w:ind w:firstLine="0" w:firstLineChars="0"/>
              <w:rPr>
                <w:rFonts w:ascii="Times New Roman" w:hAnsi="Times New Roman" w:eastAsia="宋体"/>
                <w:kern w:val="2"/>
                <w:sz w:val="21"/>
                <w:szCs w:val="21"/>
                <w:lang w:val="en-US" w:eastAsia="zh-CN" w:bidi="ar-SA"/>
              </w:rPr>
            </w:pPr>
            <w:r>
              <w:rPr>
                <w:rFonts w:hint="eastAsia"/>
                <w:szCs w:val="21"/>
              </w:rPr>
              <w:t>重点防渗区重点防渗区采用P8等级混凝土+2mmHDPE膜防渗结构，一般防渗区地面采取采用P6等级混凝土</w:t>
            </w:r>
          </w:p>
        </w:tc>
        <w:tc>
          <w:tcPr>
            <w:tcW w:w="351" w:type="pct"/>
            <w:noWrap w:val="0"/>
            <w:vAlign w:val="center"/>
          </w:tcPr>
          <w:p>
            <w:pPr>
              <w:pStyle w:val="29"/>
              <w:rPr>
                <w:szCs w:val="21"/>
              </w:rPr>
            </w:pPr>
            <w:r>
              <w:rPr>
                <w:szCs w:val="21"/>
              </w:rPr>
              <w:t>是</w:t>
            </w:r>
          </w:p>
        </w:tc>
        <w:tc>
          <w:tcPr>
            <w:tcW w:w="380" w:type="pct"/>
            <w:noWrap w:val="0"/>
            <w:vAlign w:val="center"/>
          </w:tcPr>
          <w:p>
            <w:pPr>
              <w:pStyle w:val="29"/>
              <w:rPr>
                <w:szCs w:val="21"/>
              </w:rPr>
            </w:pPr>
            <w:r>
              <w:rPr>
                <w:szCs w:val="21"/>
              </w:rPr>
              <w:t>/</w:t>
            </w:r>
          </w:p>
        </w:tc>
      </w:tr>
    </w:tbl>
    <w:p>
      <w:pPr>
        <w:wordWrap w:val="0"/>
        <w:topLinePunct/>
        <w:ind w:firstLine="0" w:firstLineChars="0"/>
        <w:rPr>
          <w:color w:val="000000"/>
          <w:sz w:val="24"/>
          <w:szCs w:val="24"/>
        </w:rPr>
        <w:sectPr>
          <w:pgSz w:w="16838" w:h="11906" w:orient="landscape"/>
          <w:pgMar w:top="1134" w:right="1417" w:bottom="1134" w:left="1417" w:header="850" w:footer="850" w:gutter="0"/>
          <w:pgBorders>
            <w:top w:val="none" w:sz="0" w:space="0"/>
            <w:left w:val="none" w:sz="0" w:space="0"/>
            <w:bottom w:val="none" w:sz="0" w:space="0"/>
            <w:right w:val="none" w:sz="0" w:space="0"/>
          </w:pgBorders>
          <w:pgNumType w:fmt="decimal"/>
          <w:cols w:space="720" w:num="1"/>
          <w:docGrid w:type="lines" w:linePitch="416" w:charSpace="0"/>
        </w:sectPr>
      </w:pPr>
    </w:p>
    <w:p>
      <w:r>
        <w:t>项目主要工程见表3-2，主要设备见表3-3。</w:t>
      </w:r>
    </w:p>
    <w:p>
      <w:pPr>
        <w:pStyle w:val="28"/>
        <w:ind w:firstLine="482"/>
      </w:pPr>
      <w:r>
        <w:t>表3-2  项目主要工程一览表</w:t>
      </w:r>
    </w:p>
    <w:tbl>
      <w:tblPr>
        <w:tblStyle w:val="19"/>
        <w:tblW w:w="0" w:type="auto"/>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265"/>
        <w:gridCol w:w="795"/>
        <w:gridCol w:w="1665"/>
        <w:gridCol w:w="1065"/>
        <w:gridCol w:w="1140"/>
        <w:gridCol w:w="157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noWrap w:val="0"/>
            <w:vAlign w:val="center"/>
          </w:tcPr>
          <w:p>
            <w:pPr>
              <w:pStyle w:val="29"/>
              <w:rPr>
                <w:b/>
                <w:bCs/>
              </w:rPr>
            </w:pPr>
            <w:r>
              <w:rPr>
                <w:b/>
                <w:bCs/>
              </w:rPr>
              <w:t>序号</w:t>
            </w:r>
          </w:p>
        </w:tc>
        <w:tc>
          <w:tcPr>
            <w:tcW w:w="2265" w:type="dxa"/>
            <w:noWrap w:val="0"/>
            <w:vAlign w:val="center"/>
          </w:tcPr>
          <w:p>
            <w:pPr>
              <w:pStyle w:val="29"/>
              <w:rPr>
                <w:b/>
                <w:bCs/>
              </w:rPr>
            </w:pPr>
            <w:r>
              <w:rPr>
                <w:b/>
                <w:bCs/>
              </w:rPr>
              <w:t>设备名称</w:t>
            </w:r>
          </w:p>
        </w:tc>
        <w:tc>
          <w:tcPr>
            <w:tcW w:w="795" w:type="dxa"/>
            <w:noWrap w:val="0"/>
            <w:vAlign w:val="center"/>
          </w:tcPr>
          <w:p>
            <w:pPr>
              <w:pStyle w:val="29"/>
              <w:rPr>
                <w:b/>
                <w:bCs/>
              </w:rPr>
            </w:pPr>
            <w:r>
              <w:rPr>
                <w:b/>
                <w:bCs/>
              </w:rPr>
              <w:t>单位</w:t>
            </w:r>
          </w:p>
        </w:tc>
        <w:tc>
          <w:tcPr>
            <w:tcW w:w="1665" w:type="dxa"/>
            <w:noWrap w:val="0"/>
            <w:vAlign w:val="center"/>
          </w:tcPr>
          <w:p>
            <w:pPr>
              <w:pStyle w:val="29"/>
              <w:rPr>
                <w:b/>
                <w:bCs/>
              </w:rPr>
            </w:pPr>
            <w:r>
              <w:rPr>
                <w:b/>
                <w:bCs/>
              </w:rPr>
              <w:t>环评设计数量</w:t>
            </w:r>
          </w:p>
        </w:tc>
        <w:tc>
          <w:tcPr>
            <w:tcW w:w="1065" w:type="dxa"/>
            <w:noWrap w:val="0"/>
            <w:vAlign w:val="center"/>
          </w:tcPr>
          <w:p>
            <w:pPr>
              <w:pStyle w:val="29"/>
              <w:rPr>
                <w:b/>
                <w:bCs/>
              </w:rPr>
            </w:pPr>
            <w:r>
              <w:rPr>
                <w:b/>
                <w:bCs/>
              </w:rPr>
              <w:t>实际数量</w:t>
            </w:r>
          </w:p>
        </w:tc>
        <w:tc>
          <w:tcPr>
            <w:tcW w:w="1140" w:type="dxa"/>
            <w:noWrap w:val="0"/>
            <w:vAlign w:val="center"/>
          </w:tcPr>
          <w:p>
            <w:pPr>
              <w:pStyle w:val="29"/>
              <w:rPr>
                <w:b/>
                <w:bCs/>
              </w:rPr>
            </w:pPr>
            <w:r>
              <w:rPr>
                <w:b/>
                <w:bCs/>
              </w:rPr>
              <w:t>变动情况</w:t>
            </w:r>
          </w:p>
        </w:tc>
        <w:tc>
          <w:tcPr>
            <w:tcW w:w="1578" w:type="dxa"/>
            <w:noWrap w:val="0"/>
            <w:vAlign w:val="center"/>
          </w:tcPr>
          <w:p>
            <w:pPr>
              <w:pStyle w:val="29"/>
              <w:rPr>
                <w:b/>
                <w:bCs/>
              </w:rPr>
            </w:pPr>
            <w:r>
              <w:rPr>
                <w:b/>
                <w:bCs/>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noWrap w:val="0"/>
            <w:vAlign w:val="center"/>
          </w:tcPr>
          <w:p>
            <w:pPr>
              <w:pStyle w:val="29"/>
            </w:pPr>
            <w:r>
              <w:t>1</w:t>
            </w:r>
          </w:p>
        </w:tc>
        <w:tc>
          <w:tcPr>
            <w:tcW w:w="2265" w:type="dxa"/>
            <w:noWrap w:val="0"/>
            <w:vAlign w:val="center"/>
          </w:tcPr>
          <w:p>
            <w:pPr>
              <w:pStyle w:val="29"/>
            </w:pPr>
            <w:r>
              <w:rPr>
                <w:rFonts w:hint="eastAsia"/>
              </w:rPr>
              <w:t>粗格栅、提升泵房</w:t>
            </w:r>
          </w:p>
        </w:tc>
        <w:tc>
          <w:tcPr>
            <w:tcW w:w="795" w:type="dxa"/>
            <w:noWrap w:val="0"/>
            <w:vAlign w:val="center"/>
          </w:tcPr>
          <w:p>
            <w:pPr>
              <w:pStyle w:val="29"/>
            </w:pPr>
            <w:r>
              <w:t>座</w:t>
            </w:r>
          </w:p>
        </w:tc>
        <w:tc>
          <w:tcPr>
            <w:tcW w:w="1665" w:type="dxa"/>
            <w:noWrap w:val="0"/>
            <w:vAlign w:val="center"/>
          </w:tcPr>
          <w:p>
            <w:pPr>
              <w:pStyle w:val="29"/>
            </w:pPr>
            <w:r>
              <w:t>1</w:t>
            </w:r>
          </w:p>
        </w:tc>
        <w:tc>
          <w:tcPr>
            <w:tcW w:w="1065" w:type="dxa"/>
            <w:noWrap w:val="0"/>
            <w:vAlign w:val="center"/>
          </w:tcPr>
          <w:p>
            <w:pPr>
              <w:pStyle w:val="29"/>
            </w:pPr>
            <w:r>
              <w:t>1</w:t>
            </w:r>
          </w:p>
        </w:tc>
        <w:tc>
          <w:tcPr>
            <w:tcW w:w="1140" w:type="dxa"/>
            <w:noWrap w:val="0"/>
            <w:vAlign w:val="center"/>
          </w:tcPr>
          <w:p>
            <w:pPr>
              <w:pStyle w:val="29"/>
            </w:pPr>
            <w:r>
              <w:t>无</w:t>
            </w:r>
          </w:p>
        </w:tc>
        <w:tc>
          <w:tcPr>
            <w:tcW w:w="1578" w:type="dxa"/>
            <w:vMerge w:val="restart"/>
            <w:noWrap w:val="0"/>
            <w:vAlign w:val="center"/>
          </w:tcPr>
          <w:p>
            <w:pPr>
              <w:pStyle w:val="29"/>
              <w:rPr>
                <w:rFonts w:hint="eastAsia" w:eastAsia="宋体"/>
                <w:lang w:val="en-US" w:eastAsia="zh-CN"/>
              </w:rPr>
            </w:pPr>
            <w:r>
              <w:rPr>
                <w:rFonts w:hint="eastAsia"/>
                <w:lang w:val="en-US" w:eastAsia="zh-CN"/>
              </w:rPr>
              <w:t>按3000m</w:t>
            </w:r>
            <w:r>
              <w:rPr>
                <w:rFonts w:hint="eastAsia"/>
                <w:vertAlign w:val="superscript"/>
                <w:lang w:val="en-US" w:eastAsia="zh-CN"/>
              </w:rPr>
              <w:t>3</w:t>
            </w:r>
            <w:r>
              <w:rPr>
                <w:rFonts w:hint="eastAsia"/>
                <w:lang w:val="en-US" w:eastAsia="zh-CN"/>
              </w:rPr>
              <w:t>/d土建工程设计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noWrap w:val="0"/>
            <w:vAlign w:val="center"/>
          </w:tcPr>
          <w:p>
            <w:pPr>
              <w:pStyle w:val="29"/>
            </w:pPr>
            <w:r>
              <w:t>2</w:t>
            </w:r>
          </w:p>
        </w:tc>
        <w:tc>
          <w:tcPr>
            <w:tcW w:w="2265" w:type="dxa"/>
            <w:noWrap w:val="0"/>
            <w:vAlign w:val="center"/>
          </w:tcPr>
          <w:p>
            <w:pPr>
              <w:pStyle w:val="29"/>
            </w:pPr>
            <w:r>
              <w:rPr>
                <w:rFonts w:hint="eastAsia"/>
              </w:rPr>
              <w:t>细格栅及曝气沉淀池</w:t>
            </w:r>
          </w:p>
        </w:tc>
        <w:tc>
          <w:tcPr>
            <w:tcW w:w="795" w:type="dxa"/>
            <w:noWrap w:val="0"/>
            <w:vAlign w:val="center"/>
          </w:tcPr>
          <w:p>
            <w:pPr>
              <w:pStyle w:val="29"/>
            </w:pPr>
            <w:r>
              <w:t>座</w:t>
            </w:r>
          </w:p>
        </w:tc>
        <w:tc>
          <w:tcPr>
            <w:tcW w:w="1665" w:type="dxa"/>
            <w:noWrap w:val="0"/>
            <w:vAlign w:val="center"/>
          </w:tcPr>
          <w:p>
            <w:pPr>
              <w:pStyle w:val="29"/>
            </w:pPr>
            <w:r>
              <w:t>1</w:t>
            </w:r>
          </w:p>
        </w:tc>
        <w:tc>
          <w:tcPr>
            <w:tcW w:w="1065" w:type="dxa"/>
            <w:noWrap w:val="0"/>
            <w:vAlign w:val="center"/>
          </w:tcPr>
          <w:p>
            <w:pPr>
              <w:pStyle w:val="29"/>
            </w:pPr>
            <w:r>
              <w:t>1</w:t>
            </w:r>
          </w:p>
        </w:tc>
        <w:tc>
          <w:tcPr>
            <w:tcW w:w="1140" w:type="dxa"/>
            <w:noWrap w:val="0"/>
            <w:vAlign w:val="center"/>
          </w:tcPr>
          <w:p>
            <w:pPr>
              <w:pStyle w:val="29"/>
            </w:pPr>
            <w:r>
              <w:t>无</w:t>
            </w:r>
          </w:p>
        </w:tc>
        <w:tc>
          <w:tcPr>
            <w:tcW w:w="1578" w:type="dxa"/>
            <w:vMerge w:val="continue"/>
            <w:noWrap w:val="0"/>
            <w:vAlign w:val="center"/>
          </w:tcPr>
          <w:p>
            <w:pPr>
              <w:pStyle w:val="29"/>
              <w:rPr>
                <w:rFonts w:hint="eastAsia" w:eastAsia="宋体"/>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noWrap w:val="0"/>
            <w:vAlign w:val="center"/>
          </w:tcPr>
          <w:p>
            <w:pPr>
              <w:pStyle w:val="29"/>
            </w:pPr>
            <w:r>
              <w:t>3</w:t>
            </w:r>
          </w:p>
        </w:tc>
        <w:tc>
          <w:tcPr>
            <w:tcW w:w="2265" w:type="dxa"/>
            <w:noWrap w:val="0"/>
            <w:vAlign w:val="center"/>
          </w:tcPr>
          <w:p>
            <w:pPr>
              <w:pStyle w:val="29"/>
            </w:pPr>
            <w:r>
              <w:rPr>
                <w:rFonts w:hint="eastAsia"/>
              </w:rPr>
              <w:t>缓冲调节池</w:t>
            </w:r>
          </w:p>
        </w:tc>
        <w:tc>
          <w:tcPr>
            <w:tcW w:w="795" w:type="dxa"/>
            <w:noWrap w:val="0"/>
            <w:vAlign w:val="center"/>
          </w:tcPr>
          <w:p>
            <w:pPr>
              <w:pStyle w:val="29"/>
            </w:pPr>
            <w:r>
              <w:t>座</w:t>
            </w:r>
          </w:p>
        </w:tc>
        <w:tc>
          <w:tcPr>
            <w:tcW w:w="1665" w:type="dxa"/>
            <w:noWrap w:val="0"/>
            <w:vAlign w:val="center"/>
          </w:tcPr>
          <w:p>
            <w:pPr>
              <w:pStyle w:val="29"/>
            </w:pPr>
            <w:r>
              <w:t>1</w:t>
            </w:r>
          </w:p>
        </w:tc>
        <w:tc>
          <w:tcPr>
            <w:tcW w:w="1065" w:type="dxa"/>
            <w:noWrap w:val="0"/>
            <w:vAlign w:val="center"/>
          </w:tcPr>
          <w:p>
            <w:pPr>
              <w:pStyle w:val="29"/>
            </w:pPr>
            <w:r>
              <w:t>1</w:t>
            </w:r>
          </w:p>
        </w:tc>
        <w:tc>
          <w:tcPr>
            <w:tcW w:w="1140" w:type="dxa"/>
            <w:noWrap w:val="0"/>
            <w:vAlign w:val="center"/>
          </w:tcPr>
          <w:p>
            <w:pPr>
              <w:pStyle w:val="29"/>
            </w:pPr>
            <w:r>
              <w:t>无</w:t>
            </w:r>
          </w:p>
        </w:tc>
        <w:tc>
          <w:tcPr>
            <w:tcW w:w="1578" w:type="dxa"/>
            <w:vMerge w:val="continue"/>
            <w:noWrap w:val="0"/>
            <w:vAlign w:val="center"/>
          </w:tcPr>
          <w:p>
            <w:pPr>
              <w:pStyle w:val="29"/>
              <w:rPr>
                <w:rFonts w:hint="eastAsia" w:eastAsia="宋体"/>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noWrap w:val="0"/>
            <w:vAlign w:val="center"/>
          </w:tcPr>
          <w:p>
            <w:pPr>
              <w:pStyle w:val="29"/>
              <w:ind w:firstLine="0" w:firstLineChars="0"/>
              <w:rPr>
                <w:rFonts w:ascii="Times New Roman" w:hAnsi="Times New Roman" w:eastAsia="宋体"/>
                <w:kern w:val="2"/>
                <w:sz w:val="21"/>
                <w:szCs w:val="22"/>
                <w:lang w:val="en-US" w:eastAsia="zh-CN" w:bidi="ar-SA"/>
              </w:rPr>
            </w:pPr>
            <w:r>
              <w:t>4</w:t>
            </w:r>
          </w:p>
        </w:tc>
        <w:tc>
          <w:tcPr>
            <w:tcW w:w="2265" w:type="dxa"/>
            <w:noWrap w:val="0"/>
            <w:vAlign w:val="center"/>
          </w:tcPr>
          <w:p>
            <w:pPr>
              <w:pStyle w:val="29"/>
              <w:rPr>
                <w:rFonts w:hint="eastAsia"/>
              </w:rPr>
            </w:pPr>
            <w:r>
              <w:rPr>
                <w:rFonts w:hint="eastAsia"/>
              </w:rPr>
              <w:t>水解酸化池</w:t>
            </w:r>
          </w:p>
        </w:tc>
        <w:tc>
          <w:tcPr>
            <w:tcW w:w="795" w:type="dxa"/>
            <w:noWrap w:val="0"/>
            <w:vAlign w:val="center"/>
          </w:tcPr>
          <w:p>
            <w:pPr>
              <w:pStyle w:val="29"/>
              <w:ind w:firstLine="0" w:firstLineChars="0"/>
              <w:rPr>
                <w:rFonts w:ascii="Times New Roman" w:hAnsi="Times New Roman" w:eastAsia="宋体"/>
                <w:kern w:val="2"/>
                <w:sz w:val="21"/>
                <w:szCs w:val="22"/>
                <w:lang w:val="en-US" w:eastAsia="zh-CN" w:bidi="ar-SA"/>
              </w:rPr>
            </w:pPr>
            <w:r>
              <w:t>座</w:t>
            </w:r>
          </w:p>
        </w:tc>
        <w:tc>
          <w:tcPr>
            <w:tcW w:w="1665" w:type="dxa"/>
            <w:noWrap w:val="0"/>
            <w:vAlign w:val="center"/>
          </w:tcPr>
          <w:p>
            <w:pPr>
              <w:pStyle w:val="29"/>
              <w:ind w:firstLine="0" w:firstLineChars="0"/>
              <w:rPr>
                <w:rFonts w:ascii="Times New Roman" w:hAnsi="Times New Roman" w:eastAsia="宋体"/>
                <w:kern w:val="2"/>
                <w:sz w:val="21"/>
                <w:szCs w:val="22"/>
                <w:lang w:val="en-US" w:eastAsia="zh-CN" w:bidi="ar-SA"/>
              </w:rPr>
            </w:pPr>
            <w:r>
              <w:t>1</w:t>
            </w:r>
          </w:p>
        </w:tc>
        <w:tc>
          <w:tcPr>
            <w:tcW w:w="1065" w:type="dxa"/>
            <w:noWrap w:val="0"/>
            <w:vAlign w:val="center"/>
          </w:tcPr>
          <w:p>
            <w:pPr>
              <w:pStyle w:val="29"/>
              <w:ind w:firstLine="0" w:firstLineChars="0"/>
              <w:rPr>
                <w:rFonts w:ascii="Times New Roman" w:hAnsi="Times New Roman" w:eastAsia="宋体"/>
                <w:kern w:val="2"/>
                <w:sz w:val="21"/>
                <w:szCs w:val="22"/>
                <w:lang w:val="en-US" w:eastAsia="zh-CN" w:bidi="ar-SA"/>
              </w:rPr>
            </w:pPr>
            <w:r>
              <w:t>1</w:t>
            </w:r>
          </w:p>
        </w:tc>
        <w:tc>
          <w:tcPr>
            <w:tcW w:w="1140" w:type="dxa"/>
            <w:noWrap w:val="0"/>
            <w:vAlign w:val="center"/>
          </w:tcPr>
          <w:p>
            <w:pPr>
              <w:pStyle w:val="29"/>
              <w:ind w:firstLine="0" w:firstLineChars="0"/>
              <w:rPr>
                <w:rFonts w:ascii="Times New Roman" w:hAnsi="Times New Roman" w:eastAsia="宋体"/>
                <w:kern w:val="2"/>
                <w:sz w:val="21"/>
                <w:szCs w:val="22"/>
                <w:lang w:val="en-US" w:eastAsia="zh-CN" w:bidi="ar-SA"/>
              </w:rPr>
            </w:pPr>
            <w:r>
              <w:t>无</w:t>
            </w:r>
          </w:p>
        </w:tc>
        <w:tc>
          <w:tcPr>
            <w:tcW w:w="1578" w:type="dxa"/>
            <w:vMerge w:val="restart"/>
            <w:noWrap w:val="0"/>
            <w:vAlign w:val="center"/>
          </w:tcPr>
          <w:p>
            <w:pPr>
              <w:pStyle w:val="29"/>
              <w:rPr>
                <w:rFonts w:hint="eastAsia" w:eastAsia="宋体"/>
                <w:lang w:val="en-US" w:eastAsia="zh-CN"/>
              </w:rPr>
            </w:pPr>
            <w:r>
              <w:rPr>
                <w:rFonts w:hint="eastAsia"/>
                <w:lang w:val="en-US" w:eastAsia="zh-CN"/>
              </w:rPr>
              <w:t>按1000m</w:t>
            </w:r>
            <w:r>
              <w:rPr>
                <w:rFonts w:hint="eastAsia"/>
                <w:vertAlign w:val="superscript"/>
                <w:lang w:val="en-US" w:eastAsia="zh-CN"/>
              </w:rPr>
              <w:t>3</w:t>
            </w:r>
            <w:r>
              <w:rPr>
                <w:rFonts w:hint="eastAsia"/>
                <w:lang w:val="en-US" w:eastAsia="zh-CN"/>
              </w:rPr>
              <w:t>/d土建工程设计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noWrap w:val="0"/>
            <w:vAlign w:val="center"/>
          </w:tcPr>
          <w:p>
            <w:pPr>
              <w:pStyle w:val="29"/>
              <w:ind w:firstLine="0" w:firstLineChars="0"/>
              <w:rPr>
                <w:rFonts w:ascii="Times New Roman" w:hAnsi="Times New Roman" w:eastAsia="宋体"/>
                <w:kern w:val="2"/>
                <w:sz w:val="21"/>
                <w:szCs w:val="22"/>
                <w:lang w:val="en-US" w:eastAsia="zh-CN" w:bidi="ar-SA"/>
              </w:rPr>
            </w:pPr>
            <w:r>
              <w:t>5</w:t>
            </w:r>
          </w:p>
        </w:tc>
        <w:tc>
          <w:tcPr>
            <w:tcW w:w="2265" w:type="dxa"/>
            <w:noWrap w:val="0"/>
            <w:vAlign w:val="center"/>
          </w:tcPr>
          <w:p>
            <w:pPr>
              <w:pStyle w:val="29"/>
            </w:pPr>
            <w:r>
              <w:rPr>
                <w:rFonts w:hint="eastAsia"/>
                <w:lang w:eastAsia="zh-CN"/>
              </w:rPr>
              <w:t>改良</w:t>
            </w:r>
            <w:r>
              <w:t>A</w:t>
            </w:r>
            <w:r>
              <w:rPr>
                <w:rFonts w:hint="eastAsia"/>
                <w:lang w:val="en-US" w:eastAsia="zh-CN"/>
              </w:rPr>
              <w:t>2</w:t>
            </w:r>
            <w:r>
              <w:t>O生化池</w:t>
            </w:r>
          </w:p>
        </w:tc>
        <w:tc>
          <w:tcPr>
            <w:tcW w:w="795" w:type="dxa"/>
            <w:noWrap w:val="0"/>
            <w:vAlign w:val="center"/>
          </w:tcPr>
          <w:p>
            <w:pPr>
              <w:pStyle w:val="29"/>
              <w:ind w:firstLine="0" w:firstLineChars="0"/>
              <w:rPr>
                <w:rFonts w:ascii="Times New Roman" w:hAnsi="Times New Roman" w:eastAsia="宋体"/>
                <w:kern w:val="2"/>
                <w:sz w:val="21"/>
                <w:szCs w:val="22"/>
                <w:lang w:val="en-US" w:eastAsia="zh-CN" w:bidi="ar-SA"/>
              </w:rPr>
            </w:pPr>
            <w:r>
              <w:t>座</w:t>
            </w:r>
          </w:p>
        </w:tc>
        <w:tc>
          <w:tcPr>
            <w:tcW w:w="1665" w:type="dxa"/>
            <w:noWrap w:val="0"/>
            <w:vAlign w:val="center"/>
          </w:tcPr>
          <w:p>
            <w:pPr>
              <w:pStyle w:val="29"/>
              <w:ind w:firstLine="0" w:firstLineChars="0"/>
              <w:rPr>
                <w:rFonts w:ascii="Times New Roman" w:hAnsi="Times New Roman" w:eastAsia="宋体"/>
                <w:kern w:val="2"/>
                <w:sz w:val="21"/>
                <w:szCs w:val="22"/>
                <w:lang w:val="en-US" w:eastAsia="zh-CN" w:bidi="ar-SA"/>
              </w:rPr>
            </w:pPr>
            <w:r>
              <w:t>1</w:t>
            </w:r>
          </w:p>
        </w:tc>
        <w:tc>
          <w:tcPr>
            <w:tcW w:w="1065" w:type="dxa"/>
            <w:noWrap w:val="0"/>
            <w:vAlign w:val="center"/>
          </w:tcPr>
          <w:p>
            <w:pPr>
              <w:pStyle w:val="29"/>
              <w:ind w:firstLine="0" w:firstLineChars="0"/>
              <w:rPr>
                <w:rFonts w:ascii="Times New Roman" w:hAnsi="Times New Roman" w:eastAsia="宋体"/>
                <w:kern w:val="2"/>
                <w:sz w:val="21"/>
                <w:szCs w:val="22"/>
                <w:lang w:val="en-US" w:eastAsia="zh-CN" w:bidi="ar-SA"/>
              </w:rPr>
            </w:pPr>
            <w:r>
              <w:t>1</w:t>
            </w:r>
          </w:p>
        </w:tc>
        <w:tc>
          <w:tcPr>
            <w:tcW w:w="1140" w:type="dxa"/>
            <w:noWrap w:val="0"/>
            <w:vAlign w:val="center"/>
          </w:tcPr>
          <w:p>
            <w:pPr>
              <w:pStyle w:val="29"/>
              <w:ind w:firstLine="0" w:firstLineChars="0"/>
              <w:rPr>
                <w:rFonts w:ascii="Times New Roman" w:hAnsi="Times New Roman" w:eastAsia="宋体"/>
                <w:kern w:val="2"/>
                <w:sz w:val="21"/>
                <w:szCs w:val="22"/>
                <w:lang w:val="en-US" w:eastAsia="zh-CN" w:bidi="ar-SA"/>
              </w:rPr>
            </w:pPr>
            <w:r>
              <w:t>无</w:t>
            </w:r>
          </w:p>
        </w:tc>
        <w:tc>
          <w:tcPr>
            <w:tcW w:w="1578" w:type="dxa"/>
            <w:vMerge w:val="continue"/>
            <w:noWrap w:val="0"/>
            <w:vAlign w:val="center"/>
          </w:tcPr>
          <w:p>
            <w:pPr>
              <w:pStyle w:val="29"/>
              <w:rPr>
                <w:rFonts w:hint="eastAsia" w:eastAsia="宋体"/>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noWrap w:val="0"/>
            <w:vAlign w:val="center"/>
          </w:tcPr>
          <w:p>
            <w:pPr>
              <w:pStyle w:val="29"/>
              <w:ind w:firstLine="0" w:firstLineChars="0"/>
              <w:rPr>
                <w:rFonts w:ascii="Times New Roman" w:hAnsi="Times New Roman" w:eastAsia="宋体"/>
                <w:kern w:val="2"/>
                <w:sz w:val="21"/>
                <w:szCs w:val="22"/>
                <w:lang w:val="en-US" w:eastAsia="zh-CN" w:bidi="ar-SA"/>
              </w:rPr>
            </w:pPr>
            <w:r>
              <w:t>6</w:t>
            </w:r>
          </w:p>
        </w:tc>
        <w:tc>
          <w:tcPr>
            <w:tcW w:w="2265" w:type="dxa"/>
            <w:noWrap w:val="0"/>
            <w:vAlign w:val="center"/>
          </w:tcPr>
          <w:p>
            <w:pPr>
              <w:pStyle w:val="29"/>
              <w:ind w:firstLine="0" w:firstLineChars="0"/>
              <w:rPr>
                <w:rFonts w:ascii="Times New Roman" w:hAnsi="Times New Roman" w:eastAsia="宋体"/>
                <w:kern w:val="2"/>
                <w:sz w:val="21"/>
                <w:szCs w:val="22"/>
                <w:lang w:val="en-US" w:eastAsia="zh-CN" w:bidi="ar-SA"/>
              </w:rPr>
            </w:pPr>
            <w:r>
              <w:t>高效沉淀池</w:t>
            </w:r>
          </w:p>
        </w:tc>
        <w:tc>
          <w:tcPr>
            <w:tcW w:w="795" w:type="dxa"/>
            <w:noWrap w:val="0"/>
            <w:vAlign w:val="center"/>
          </w:tcPr>
          <w:p>
            <w:pPr>
              <w:pStyle w:val="29"/>
              <w:ind w:firstLine="0" w:firstLineChars="0"/>
              <w:rPr>
                <w:rFonts w:ascii="Times New Roman" w:hAnsi="Times New Roman" w:eastAsia="宋体"/>
                <w:kern w:val="2"/>
                <w:sz w:val="21"/>
                <w:szCs w:val="22"/>
                <w:lang w:val="en-US" w:eastAsia="zh-CN" w:bidi="ar-SA"/>
              </w:rPr>
            </w:pPr>
            <w:r>
              <w:t>座</w:t>
            </w:r>
          </w:p>
        </w:tc>
        <w:tc>
          <w:tcPr>
            <w:tcW w:w="1665" w:type="dxa"/>
            <w:noWrap w:val="0"/>
            <w:vAlign w:val="center"/>
          </w:tcPr>
          <w:p>
            <w:pPr>
              <w:pStyle w:val="29"/>
              <w:ind w:firstLine="0" w:firstLineChars="0"/>
              <w:rPr>
                <w:rFonts w:ascii="Times New Roman" w:hAnsi="Times New Roman" w:eastAsia="宋体"/>
                <w:kern w:val="2"/>
                <w:sz w:val="21"/>
                <w:szCs w:val="22"/>
                <w:lang w:val="en-US" w:eastAsia="zh-CN" w:bidi="ar-SA"/>
              </w:rPr>
            </w:pPr>
            <w:r>
              <w:t>1</w:t>
            </w:r>
          </w:p>
        </w:tc>
        <w:tc>
          <w:tcPr>
            <w:tcW w:w="1065" w:type="dxa"/>
            <w:noWrap w:val="0"/>
            <w:vAlign w:val="center"/>
          </w:tcPr>
          <w:p>
            <w:pPr>
              <w:pStyle w:val="29"/>
              <w:ind w:firstLine="0" w:firstLineChars="0"/>
              <w:rPr>
                <w:rFonts w:ascii="Times New Roman" w:hAnsi="Times New Roman" w:eastAsia="宋体"/>
                <w:kern w:val="2"/>
                <w:sz w:val="21"/>
                <w:szCs w:val="22"/>
                <w:lang w:val="en-US" w:eastAsia="zh-CN" w:bidi="ar-SA"/>
              </w:rPr>
            </w:pPr>
            <w:r>
              <w:t>1</w:t>
            </w:r>
          </w:p>
        </w:tc>
        <w:tc>
          <w:tcPr>
            <w:tcW w:w="1140" w:type="dxa"/>
            <w:noWrap w:val="0"/>
            <w:vAlign w:val="center"/>
          </w:tcPr>
          <w:p>
            <w:pPr>
              <w:pStyle w:val="29"/>
              <w:ind w:firstLine="0" w:firstLineChars="0"/>
              <w:rPr>
                <w:rFonts w:ascii="Times New Roman" w:hAnsi="Times New Roman" w:eastAsia="宋体"/>
                <w:kern w:val="2"/>
                <w:sz w:val="21"/>
                <w:szCs w:val="22"/>
                <w:lang w:val="en-US" w:eastAsia="zh-CN" w:bidi="ar-SA"/>
              </w:rPr>
            </w:pPr>
            <w:r>
              <w:t>无</w:t>
            </w:r>
          </w:p>
        </w:tc>
        <w:tc>
          <w:tcPr>
            <w:tcW w:w="1578" w:type="dxa"/>
            <w:vMerge w:val="restart"/>
            <w:noWrap w:val="0"/>
            <w:vAlign w:val="center"/>
          </w:tcPr>
          <w:p>
            <w:pPr>
              <w:pStyle w:val="29"/>
              <w:rPr>
                <w:rFonts w:hint="eastAsia" w:eastAsia="宋体"/>
                <w:lang w:val="en-US" w:eastAsia="zh-CN"/>
              </w:rPr>
            </w:pPr>
            <w:r>
              <w:rPr>
                <w:rFonts w:hint="eastAsia"/>
                <w:lang w:val="en-US" w:eastAsia="zh-CN"/>
              </w:rPr>
              <w:t>按3000m</w:t>
            </w:r>
            <w:r>
              <w:rPr>
                <w:rFonts w:hint="eastAsia"/>
                <w:vertAlign w:val="superscript"/>
                <w:lang w:val="en-US" w:eastAsia="zh-CN"/>
              </w:rPr>
              <w:t>3</w:t>
            </w:r>
            <w:r>
              <w:rPr>
                <w:rFonts w:hint="eastAsia"/>
                <w:lang w:val="en-US" w:eastAsia="zh-CN"/>
              </w:rPr>
              <w:t>/d土建工程设计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noWrap w:val="0"/>
            <w:vAlign w:val="center"/>
          </w:tcPr>
          <w:p>
            <w:pPr>
              <w:pStyle w:val="29"/>
              <w:ind w:firstLine="0" w:firstLineChars="0"/>
              <w:rPr>
                <w:rFonts w:ascii="Times New Roman" w:hAnsi="Times New Roman" w:eastAsia="宋体"/>
                <w:kern w:val="2"/>
                <w:sz w:val="21"/>
                <w:szCs w:val="22"/>
                <w:lang w:val="en-US" w:eastAsia="zh-CN" w:bidi="ar-SA"/>
              </w:rPr>
            </w:pPr>
            <w:r>
              <w:t>7</w:t>
            </w:r>
          </w:p>
        </w:tc>
        <w:tc>
          <w:tcPr>
            <w:tcW w:w="2265" w:type="dxa"/>
            <w:noWrap w:val="0"/>
            <w:vAlign w:val="center"/>
          </w:tcPr>
          <w:p>
            <w:pPr>
              <w:pStyle w:val="29"/>
              <w:ind w:firstLine="0" w:firstLineChars="0"/>
              <w:rPr>
                <w:rFonts w:ascii="Times New Roman" w:hAnsi="Times New Roman" w:eastAsia="宋体"/>
                <w:kern w:val="2"/>
                <w:sz w:val="21"/>
                <w:szCs w:val="22"/>
                <w:lang w:val="en-US" w:eastAsia="zh-CN" w:bidi="ar-SA"/>
              </w:rPr>
            </w:pPr>
            <w:r>
              <w:rPr>
                <w:rFonts w:hint="eastAsia" w:ascii="Times New Roman" w:hAnsi="Times New Roman" w:eastAsia="宋体"/>
                <w:kern w:val="2"/>
                <w:sz w:val="21"/>
                <w:szCs w:val="22"/>
                <w:lang w:val="en-US" w:eastAsia="zh-CN" w:bidi="ar-SA"/>
              </w:rPr>
              <w:t>转鼓精密过滤器</w:t>
            </w:r>
          </w:p>
        </w:tc>
        <w:tc>
          <w:tcPr>
            <w:tcW w:w="795" w:type="dxa"/>
            <w:noWrap w:val="0"/>
            <w:vAlign w:val="center"/>
          </w:tcPr>
          <w:p>
            <w:pPr>
              <w:pStyle w:val="29"/>
              <w:ind w:firstLine="0" w:firstLineChars="0"/>
              <w:rPr>
                <w:rFonts w:ascii="Times New Roman" w:hAnsi="Times New Roman" w:eastAsia="宋体"/>
                <w:kern w:val="2"/>
                <w:sz w:val="21"/>
                <w:szCs w:val="22"/>
                <w:lang w:val="en-US" w:eastAsia="zh-CN" w:bidi="ar-SA"/>
              </w:rPr>
            </w:pPr>
            <w:r>
              <w:t>座</w:t>
            </w:r>
          </w:p>
        </w:tc>
        <w:tc>
          <w:tcPr>
            <w:tcW w:w="1665" w:type="dxa"/>
            <w:noWrap w:val="0"/>
            <w:vAlign w:val="center"/>
          </w:tcPr>
          <w:p>
            <w:pPr>
              <w:pStyle w:val="29"/>
              <w:ind w:firstLine="0" w:firstLineChars="0"/>
              <w:rPr>
                <w:rFonts w:ascii="Times New Roman" w:hAnsi="Times New Roman" w:eastAsia="宋体"/>
                <w:kern w:val="2"/>
                <w:sz w:val="21"/>
                <w:szCs w:val="22"/>
                <w:lang w:val="en-US" w:eastAsia="zh-CN" w:bidi="ar-SA"/>
              </w:rPr>
            </w:pPr>
            <w:r>
              <w:t>1</w:t>
            </w:r>
          </w:p>
        </w:tc>
        <w:tc>
          <w:tcPr>
            <w:tcW w:w="1065" w:type="dxa"/>
            <w:noWrap w:val="0"/>
            <w:vAlign w:val="center"/>
          </w:tcPr>
          <w:p>
            <w:pPr>
              <w:pStyle w:val="29"/>
              <w:ind w:firstLine="0" w:firstLineChars="0"/>
              <w:rPr>
                <w:rFonts w:ascii="Times New Roman" w:hAnsi="Times New Roman" w:eastAsia="宋体"/>
                <w:kern w:val="2"/>
                <w:sz w:val="21"/>
                <w:szCs w:val="22"/>
                <w:lang w:val="en-US" w:eastAsia="zh-CN" w:bidi="ar-SA"/>
              </w:rPr>
            </w:pPr>
            <w:r>
              <w:t>1</w:t>
            </w:r>
          </w:p>
        </w:tc>
        <w:tc>
          <w:tcPr>
            <w:tcW w:w="1140" w:type="dxa"/>
            <w:noWrap w:val="0"/>
            <w:vAlign w:val="center"/>
          </w:tcPr>
          <w:p>
            <w:pPr>
              <w:pStyle w:val="29"/>
              <w:ind w:firstLine="0" w:firstLineChars="0"/>
              <w:rPr>
                <w:rFonts w:ascii="Times New Roman" w:hAnsi="Times New Roman" w:eastAsia="宋体"/>
                <w:kern w:val="2"/>
                <w:sz w:val="21"/>
                <w:szCs w:val="22"/>
                <w:lang w:val="en-US" w:eastAsia="zh-CN" w:bidi="ar-SA"/>
              </w:rPr>
            </w:pPr>
            <w:r>
              <w:t>无</w:t>
            </w:r>
          </w:p>
        </w:tc>
        <w:tc>
          <w:tcPr>
            <w:tcW w:w="1578" w:type="dxa"/>
            <w:vMerge w:val="continue"/>
            <w:noWrap w:val="0"/>
            <w:vAlign w:val="center"/>
          </w:tcPr>
          <w:p>
            <w:pPr>
              <w:pStyle w:val="29"/>
              <w:rPr>
                <w:rFonts w:hint="eastAsia" w:eastAsia="宋体"/>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noWrap w:val="0"/>
            <w:vAlign w:val="center"/>
          </w:tcPr>
          <w:p>
            <w:pPr>
              <w:pStyle w:val="29"/>
              <w:ind w:firstLine="0" w:firstLineChars="0"/>
            </w:pPr>
            <w:r>
              <w:t>8</w:t>
            </w:r>
          </w:p>
        </w:tc>
        <w:tc>
          <w:tcPr>
            <w:tcW w:w="2265" w:type="dxa"/>
            <w:noWrap w:val="0"/>
            <w:vAlign w:val="center"/>
          </w:tcPr>
          <w:p>
            <w:pPr>
              <w:pStyle w:val="29"/>
              <w:ind w:firstLine="0" w:firstLineChars="0"/>
            </w:pPr>
            <w:r>
              <w:rPr>
                <w:rFonts w:hint="eastAsia"/>
              </w:rPr>
              <w:t>接触消毒池</w:t>
            </w:r>
          </w:p>
        </w:tc>
        <w:tc>
          <w:tcPr>
            <w:tcW w:w="795" w:type="dxa"/>
            <w:noWrap w:val="0"/>
            <w:vAlign w:val="center"/>
          </w:tcPr>
          <w:p>
            <w:pPr>
              <w:pStyle w:val="29"/>
              <w:ind w:firstLine="0" w:firstLineChars="0"/>
              <w:rPr>
                <w:rFonts w:ascii="Times New Roman" w:hAnsi="Times New Roman" w:eastAsia="宋体"/>
                <w:kern w:val="2"/>
                <w:sz w:val="21"/>
                <w:szCs w:val="22"/>
                <w:lang w:val="en-US" w:eastAsia="zh-CN" w:bidi="ar-SA"/>
              </w:rPr>
            </w:pPr>
            <w:r>
              <w:t>座</w:t>
            </w:r>
          </w:p>
        </w:tc>
        <w:tc>
          <w:tcPr>
            <w:tcW w:w="1665" w:type="dxa"/>
            <w:noWrap w:val="0"/>
            <w:vAlign w:val="center"/>
          </w:tcPr>
          <w:p>
            <w:pPr>
              <w:pStyle w:val="29"/>
              <w:ind w:firstLine="0" w:firstLineChars="0"/>
              <w:rPr>
                <w:rFonts w:hint="eastAsia" w:eastAsia="宋体"/>
                <w:lang w:val="en-US" w:eastAsia="zh-CN"/>
              </w:rPr>
            </w:pPr>
            <w:r>
              <w:rPr>
                <w:rFonts w:hint="eastAsia"/>
                <w:lang w:val="en-US" w:eastAsia="zh-CN"/>
              </w:rPr>
              <w:t>2</w:t>
            </w:r>
          </w:p>
        </w:tc>
        <w:tc>
          <w:tcPr>
            <w:tcW w:w="1065" w:type="dxa"/>
            <w:noWrap w:val="0"/>
            <w:vAlign w:val="center"/>
          </w:tcPr>
          <w:p>
            <w:pPr>
              <w:pStyle w:val="29"/>
              <w:ind w:firstLine="0" w:firstLineChars="0"/>
              <w:rPr>
                <w:rFonts w:hint="eastAsia" w:eastAsia="宋体"/>
                <w:lang w:val="en-US" w:eastAsia="zh-CN"/>
              </w:rPr>
            </w:pPr>
            <w:r>
              <w:rPr>
                <w:rFonts w:hint="eastAsia"/>
                <w:lang w:val="en-US" w:eastAsia="zh-CN"/>
              </w:rPr>
              <w:t>2</w:t>
            </w:r>
          </w:p>
        </w:tc>
        <w:tc>
          <w:tcPr>
            <w:tcW w:w="1140" w:type="dxa"/>
            <w:noWrap w:val="0"/>
            <w:vAlign w:val="center"/>
          </w:tcPr>
          <w:p>
            <w:pPr>
              <w:pStyle w:val="29"/>
              <w:ind w:firstLine="0" w:firstLineChars="0"/>
              <w:rPr>
                <w:rFonts w:ascii="Times New Roman" w:hAnsi="Times New Roman" w:eastAsia="宋体"/>
                <w:kern w:val="2"/>
                <w:sz w:val="21"/>
                <w:szCs w:val="22"/>
                <w:lang w:val="en-US" w:eastAsia="zh-CN" w:bidi="ar-SA"/>
              </w:rPr>
            </w:pPr>
            <w:r>
              <w:t>无</w:t>
            </w:r>
          </w:p>
        </w:tc>
        <w:tc>
          <w:tcPr>
            <w:tcW w:w="1578" w:type="dxa"/>
            <w:vMerge w:val="continue"/>
            <w:noWrap w:val="0"/>
            <w:vAlign w:val="center"/>
          </w:tcPr>
          <w:p>
            <w:pPr>
              <w:pStyle w:val="29"/>
              <w:rPr>
                <w:rFonts w:hint="eastAsia"/>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noWrap w:val="0"/>
            <w:vAlign w:val="center"/>
          </w:tcPr>
          <w:p>
            <w:pPr>
              <w:pStyle w:val="29"/>
              <w:ind w:firstLine="0" w:firstLineChars="0"/>
              <w:rPr>
                <w:rFonts w:hint="eastAsia" w:eastAsia="宋体"/>
                <w:lang w:val="en-US" w:eastAsia="zh-CN"/>
              </w:rPr>
            </w:pPr>
            <w:r>
              <w:rPr>
                <w:rFonts w:hint="eastAsia"/>
                <w:lang w:val="en-US" w:eastAsia="zh-CN"/>
              </w:rPr>
              <w:t>9</w:t>
            </w:r>
          </w:p>
        </w:tc>
        <w:tc>
          <w:tcPr>
            <w:tcW w:w="2265" w:type="dxa"/>
            <w:noWrap w:val="0"/>
            <w:vAlign w:val="center"/>
          </w:tcPr>
          <w:p>
            <w:pPr>
              <w:pStyle w:val="29"/>
              <w:ind w:firstLine="0" w:firstLineChars="0"/>
              <w:rPr>
                <w:rFonts w:ascii="Times New Roman" w:hAnsi="Times New Roman" w:eastAsia="宋体"/>
                <w:kern w:val="2"/>
                <w:sz w:val="21"/>
                <w:szCs w:val="22"/>
                <w:lang w:val="en-US" w:eastAsia="zh-CN" w:bidi="ar-SA"/>
              </w:rPr>
            </w:pPr>
            <w:r>
              <w:rPr>
                <w:rFonts w:hint="eastAsia" w:ascii="Times New Roman" w:hAnsi="Times New Roman" w:eastAsia="宋体"/>
                <w:kern w:val="2"/>
                <w:sz w:val="21"/>
                <w:szCs w:val="22"/>
                <w:lang w:val="en-US" w:eastAsia="zh-CN" w:bidi="ar-SA"/>
              </w:rPr>
              <w:t>流量渠</w:t>
            </w:r>
          </w:p>
        </w:tc>
        <w:tc>
          <w:tcPr>
            <w:tcW w:w="795" w:type="dxa"/>
            <w:noWrap w:val="0"/>
            <w:vAlign w:val="center"/>
          </w:tcPr>
          <w:p>
            <w:pPr>
              <w:pStyle w:val="29"/>
              <w:ind w:firstLine="0" w:firstLineChars="0"/>
              <w:rPr>
                <w:rFonts w:ascii="Times New Roman" w:hAnsi="Times New Roman" w:eastAsia="宋体"/>
                <w:kern w:val="2"/>
                <w:sz w:val="21"/>
                <w:szCs w:val="22"/>
                <w:lang w:val="en-US" w:eastAsia="zh-CN" w:bidi="ar-SA"/>
              </w:rPr>
            </w:pPr>
            <w:r>
              <w:t>座</w:t>
            </w:r>
          </w:p>
        </w:tc>
        <w:tc>
          <w:tcPr>
            <w:tcW w:w="1665" w:type="dxa"/>
            <w:noWrap w:val="0"/>
            <w:vAlign w:val="center"/>
          </w:tcPr>
          <w:p>
            <w:pPr>
              <w:pStyle w:val="29"/>
              <w:ind w:firstLine="0" w:firstLineChars="0"/>
              <w:rPr>
                <w:rFonts w:hint="default" w:ascii="Times New Roman" w:hAnsi="Times New Roman" w:eastAsia="宋体"/>
                <w:kern w:val="2"/>
                <w:sz w:val="21"/>
                <w:szCs w:val="22"/>
                <w:lang w:val="en-US" w:eastAsia="zh-CN" w:bidi="ar-SA"/>
              </w:rPr>
            </w:pPr>
            <w:r>
              <w:rPr>
                <w:rFonts w:hint="eastAsia" w:ascii="Times New Roman" w:hAnsi="Times New Roman" w:eastAsia="宋体"/>
                <w:kern w:val="2"/>
                <w:sz w:val="21"/>
                <w:szCs w:val="22"/>
                <w:lang w:val="en-US" w:eastAsia="zh-CN" w:bidi="ar-SA"/>
              </w:rPr>
              <w:t>4</w:t>
            </w:r>
          </w:p>
        </w:tc>
        <w:tc>
          <w:tcPr>
            <w:tcW w:w="1065" w:type="dxa"/>
            <w:noWrap w:val="0"/>
            <w:vAlign w:val="center"/>
          </w:tcPr>
          <w:p>
            <w:pPr>
              <w:pStyle w:val="29"/>
              <w:ind w:firstLine="0" w:firstLineChars="0"/>
              <w:rPr>
                <w:rFonts w:hint="default" w:ascii="Times New Roman" w:hAnsi="Times New Roman" w:eastAsia="宋体"/>
                <w:kern w:val="2"/>
                <w:sz w:val="21"/>
                <w:szCs w:val="22"/>
                <w:lang w:val="en-US" w:eastAsia="zh-CN" w:bidi="ar-SA"/>
              </w:rPr>
            </w:pPr>
            <w:r>
              <w:rPr>
                <w:rFonts w:hint="eastAsia" w:ascii="Times New Roman" w:hAnsi="Times New Roman" w:eastAsia="宋体"/>
                <w:kern w:val="2"/>
                <w:sz w:val="21"/>
                <w:szCs w:val="22"/>
                <w:lang w:val="en-US" w:eastAsia="zh-CN" w:bidi="ar-SA"/>
              </w:rPr>
              <w:t>4</w:t>
            </w:r>
          </w:p>
        </w:tc>
        <w:tc>
          <w:tcPr>
            <w:tcW w:w="1140" w:type="dxa"/>
            <w:noWrap w:val="0"/>
            <w:vAlign w:val="center"/>
          </w:tcPr>
          <w:p>
            <w:pPr>
              <w:pStyle w:val="29"/>
              <w:ind w:firstLine="0" w:firstLineChars="0"/>
              <w:rPr>
                <w:rFonts w:ascii="Times New Roman" w:hAnsi="Times New Roman" w:eastAsia="宋体"/>
                <w:kern w:val="2"/>
                <w:sz w:val="21"/>
                <w:szCs w:val="22"/>
                <w:lang w:val="en-US" w:eastAsia="zh-CN" w:bidi="ar-SA"/>
              </w:rPr>
            </w:pPr>
            <w:r>
              <w:t>无</w:t>
            </w:r>
          </w:p>
        </w:tc>
        <w:tc>
          <w:tcPr>
            <w:tcW w:w="1578" w:type="dxa"/>
            <w:vMerge w:val="continue"/>
            <w:noWrap w:val="0"/>
            <w:vAlign w:val="center"/>
          </w:tcPr>
          <w:p>
            <w:pPr>
              <w:pStyle w:val="29"/>
              <w:rPr>
                <w:rFonts w:hint="eastAsia"/>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noWrap w:val="0"/>
            <w:vAlign w:val="center"/>
          </w:tcPr>
          <w:p>
            <w:pPr>
              <w:pStyle w:val="29"/>
              <w:ind w:firstLine="0" w:firstLineChars="0"/>
              <w:rPr>
                <w:rFonts w:hint="default" w:ascii="Times New Roman" w:hAnsi="Times New Roman" w:eastAsia="宋体"/>
                <w:kern w:val="2"/>
                <w:sz w:val="21"/>
                <w:szCs w:val="22"/>
                <w:lang w:val="en-US" w:eastAsia="zh-CN" w:bidi="ar-SA"/>
              </w:rPr>
            </w:pPr>
            <w:r>
              <w:rPr>
                <w:rFonts w:hint="eastAsia"/>
                <w:kern w:val="2"/>
                <w:sz w:val="21"/>
                <w:szCs w:val="22"/>
                <w:lang w:val="en-US" w:eastAsia="zh-CN" w:bidi="ar-SA"/>
              </w:rPr>
              <w:t>10</w:t>
            </w:r>
          </w:p>
        </w:tc>
        <w:tc>
          <w:tcPr>
            <w:tcW w:w="2265" w:type="dxa"/>
            <w:noWrap w:val="0"/>
            <w:vAlign w:val="center"/>
          </w:tcPr>
          <w:p>
            <w:pPr>
              <w:pStyle w:val="29"/>
              <w:ind w:firstLine="0" w:firstLineChars="0"/>
              <w:rPr>
                <w:rFonts w:ascii="Times New Roman" w:hAnsi="Times New Roman" w:eastAsia="宋体"/>
                <w:kern w:val="2"/>
                <w:sz w:val="21"/>
                <w:szCs w:val="22"/>
                <w:lang w:val="en-US" w:eastAsia="zh-CN" w:bidi="ar-SA"/>
              </w:rPr>
            </w:pPr>
            <w:r>
              <w:rPr>
                <w:rFonts w:hint="eastAsia" w:ascii="Times New Roman" w:hAnsi="Times New Roman" w:eastAsia="宋体"/>
                <w:kern w:val="2"/>
                <w:sz w:val="21"/>
                <w:szCs w:val="22"/>
                <w:lang w:val="en-US" w:eastAsia="zh-CN" w:bidi="ar-SA"/>
              </w:rPr>
              <w:t>污泥储池</w:t>
            </w:r>
          </w:p>
        </w:tc>
        <w:tc>
          <w:tcPr>
            <w:tcW w:w="795" w:type="dxa"/>
            <w:noWrap w:val="0"/>
            <w:vAlign w:val="center"/>
          </w:tcPr>
          <w:p>
            <w:pPr>
              <w:pStyle w:val="29"/>
              <w:ind w:firstLine="0" w:firstLineChars="0"/>
              <w:rPr>
                <w:rFonts w:ascii="Times New Roman" w:hAnsi="Times New Roman" w:eastAsia="宋体"/>
                <w:kern w:val="2"/>
                <w:sz w:val="21"/>
                <w:szCs w:val="22"/>
                <w:lang w:val="en-US" w:eastAsia="zh-CN" w:bidi="ar-SA"/>
              </w:rPr>
            </w:pPr>
            <w:r>
              <w:t>座</w:t>
            </w:r>
          </w:p>
        </w:tc>
        <w:tc>
          <w:tcPr>
            <w:tcW w:w="1665" w:type="dxa"/>
            <w:noWrap w:val="0"/>
            <w:vAlign w:val="center"/>
          </w:tcPr>
          <w:p>
            <w:pPr>
              <w:pStyle w:val="29"/>
              <w:ind w:firstLine="0" w:firstLineChars="0"/>
              <w:rPr>
                <w:rFonts w:ascii="Times New Roman" w:hAnsi="Times New Roman" w:eastAsia="宋体"/>
                <w:kern w:val="2"/>
                <w:sz w:val="21"/>
                <w:szCs w:val="22"/>
                <w:lang w:val="en-US" w:eastAsia="zh-CN" w:bidi="ar-SA"/>
              </w:rPr>
            </w:pPr>
            <w:r>
              <w:t>1</w:t>
            </w:r>
          </w:p>
        </w:tc>
        <w:tc>
          <w:tcPr>
            <w:tcW w:w="1065" w:type="dxa"/>
            <w:noWrap w:val="0"/>
            <w:vAlign w:val="center"/>
          </w:tcPr>
          <w:p>
            <w:pPr>
              <w:pStyle w:val="29"/>
              <w:ind w:firstLine="0" w:firstLineChars="0"/>
              <w:rPr>
                <w:rFonts w:ascii="Times New Roman" w:hAnsi="Times New Roman" w:eastAsia="宋体"/>
                <w:kern w:val="2"/>
                <w:sz w:val="21"/>
                <w:szCs w:val="22"/>
                <w:lang w:val="en-US" w:eastAsia="zh-CN" w:bidi="ar-SA"/>
              </w:rPr>
            </w:pPr>
            <w:r>
              <w:t>1</w:t>
            </w:r>
          </w:p>
        </w:tc>
        <w:tc>
          <w:tcPr>
            <w:tcW w:w="1140" w:type="dxa"/>
            <w:noWrap w:val="0"/>
            <w:vAlign w:val="center"/>
          </w:tcPr>
          <w:p>
            <w:pPr>
              <w:pStyle w:val="29"/>
              <w:ind w:firstLine="0" w:firstLineChars="0"/>
              <w:rPr>
                <w:rFonts w:ascii="Times New Roman" w:hAnsi="Times New Roman" w:eastAsia="宋体"/>
                <w:kern w:val="2"/>
                <w:sz w:val="21"/>
                <w:szCs w:val="22"/>
                <w:lang w:val="en-US" w:eastAsia="zh-CN" w:bidi="ar-SA"/>
              </w:rPr>
            </w:pPr>
            <w:r>
              <w:t>无</w:t>
            </w:r>
          </w:p>
        </w:tc>
        <w:tc>
          <w:tcPr>
            <w:tcW w:w="1578" w:type="dxa"/>
            <w:vMerge w:val="continue"/>
            <w:noWrap w:val="0"/>
            <w:vAlign w:val="center"/>
          </w:tcPr>
          <w:p>
            <w:pPr>
              <w:pStyle w:val="29"/>
              <w:rPr>
                <w:rFonts w:hint="eastAsia" w:eastAsia="宋体"/>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noWrap w:val="0"/>
            <w:vAlign w:val="center"/>
          </w:tcPr>
          <w:p>
            <w:pPr>
              <w:pStyle w:val="29"/>
              <w:ind w:firstLine="0" w:firstLineChars="0"/>
              <w:rPr>
                <w:rFonts w:hint="eastAsia" w:ascii="Times New Roman" w:hAnsi="Times New Roman" w:eastAsia="宋体"/>
                <w:kern w:val="2"/>
                <w:sz w:val="21"/>
                <w:szCs w:val="22"/>
                <w:lang w:val="en-US" w:eastAsia="zh-CN" w:bidi="ar-SA"/>
              </w:rPr>
            </w:pPr>
            <w:bookmarkStart w:id="34" w:name="_Toc14174"/>
            <w:bookmarkStart w:id="35" w:name="_Toc145"/>
            <w:r>
              <w:t>1</w:t>
            </w:r>
            <w:r>
              <w:rPr>
                <w:rFonts w:hint="eastAsia"/>
                <w:lang w:val="en-US" w:eastAsia="zh-CN"/>
              </w:rPr>
              <w:t>1</w:t>
            </w:r>
          </w:p>
        </w:tc>
        <w:tc>
          <w:tcPr>
            <w:tcW w:w="2265" w:type="dxa"/>
            <w:noWrap w:val="0"/>
            <w:vAlign w:val="center"/>
          </w:tcPr>
          <w:p>
            <w:pPr>
              <w:pStyle w:val="29"/>
              <w:ind w:firstLine="0" w:firstLineChars="0"/>
              <w:rPr>
                <w:rFonts w:hint="eastAsia" w:ascii="Times New Roman" w:hAnsi="Times New Roman" w:eastAsia="宋体"/>
                <w:kern w:val="2"/>
                <w:sz w:val="21"/>
                <w:szCs w:val="22"/>
                <w:lang w:val="en-US" w:eastAsia="zh-CN" w:bidi="ar-SA"/>
              </w:rPr>
            </w:pPr>
            <w:r>
              <w:t>脱水</w:t>
            </w:r>
            <w:r>
              <w:rPr>
                <w:rFonts w:hint="eastAsia"/>
                <w:lang w:eastAsia="zh-CN"/>
              </w:rPr>
              <w:t>间</w:t>
            </w:r>
          </w:p>
        </w:tc>
        <w:tc>
          <w:tcPr>
            <w:tcW w:w="795" w:type="dxa"/>
            <w:noWrap w:val="0"/>
            <w:vAlign w:val="center"/>
          </w:tcPr>
          <w:p>
            <w:pPr>
              <w:pStyle w:val="29"/>
              <w:ind w:firstLine="0" w:firstLineChars="0"/>
              <w:rPr>
                <w:rFonts w:ascii="Times New Roman" w:hAnsi="Times New Roman" w:eastAsia="宋体"/>
                <w:kern w:val="2"/>
                <w:sz w:val="21"/>
                <w:szCs w:val="22"/>
                <w:lang w:val="en-US" w:eastAsia="zh-CN" w:bidi="ar-SA"/>
              </w:rPr>
            </w:pPr>
            <w:r>
              <w:t>座</w:t>
            </w:r>
          </w:p>
        </w:tc>
        <w:tc>
          <w:tcPr>
            <w:tcW w:w="1665" w:type="dxa"/>
            <w:noWrap w:val="0"/>
            <w:vAlign w:val="center"/>
          </w:tcPr>
          <w:p>
            <w:pPr>
              <w:pStyle w:val="29"/>
              <w:ind w:firstLine="0" w:firstLineChars="0"/>
              <w:rPr>
                <w:rFonts w:ascii="Times New Roman" w:hAnsi="Times New Roman" w:eastAsia="宋体"/>
                <w:kern w:val="2"/>
                <w:sz w:val="21"/>
                <w:szCs w:val="22"/>
                <w:lang w:val="en-US" w:eastAsia="zh-CN" w:bidi="ar-SA"/>
              </w:rPr>
            </w:pPr>
            <w:r>
              <w:t>1</w:t>
            </w:r>
          </w:p>
        </w:tc>
        <w:tc>
          <w:tcPr>
            <w:tcW w:w="1065" w:type="dxa"/>
            <w:noWrap w:val="0"/>
            <w:vAlign w:val="center"/>
          </w:tcPr>
          <w:p>
            <w:pPr>
              <w:pStyle w:val="29"/>
              <w:ind w:firstLine="0" w:firstLineChars="0"/>
              <w:rPr>
                <w:rFonts w:ascii="Times New Roman" w:hAnsi="Times New Roman" w:eastAsia="宋体"/>
                <w:kern w:val="2"/>
                <w:sz w:val="21"/>
                <w:szCs w:val="22"/>
                <w:lang w:val="en-US" w:eastAsia="zh-CN" w:bidi="ar-SA"/>
              </w:rPr>
            </w:pPr>
            <w:r>
              <w:t>1</w:t>
            </w:r>
          </w:p>
        </w:tc>
        <w:tc>
          <w:tcPr>
            <w:tcW w:w="1140" w:type="dxa"/>
            <w:noWrap w:val="0"/>
            <w:vAlign w:val="center"/>
          </w:tcPr>
          <w:p>
            <w:pPr>
              <w:pStyle w:val="29"/>
              <w:ind w:firstLine="0" w:firstLineChars="0"/>
              <w:rPr>
                <w:rFonts w:ascii="Times New Roman" w:hAnsi="Times New Roman" w:eastAsia="宋体"/>
                <w:kern w:val="2"/>
                <w:sz w:val="21"/>
                <w:szCs w:val="22"/>
                <w:lang w:val="en-US" w:eastAsia="zh-CN" w:bidi="ar-SA"/>
              </w:rPr>
            </w:pPr>
            <w:r>
              <w:t>无</w:t>
            </w:r>
          </w:p>
        </w:tc>
        <w:tc>
          <w:tcPr>
            <w:tcW w:w="1578" w:type="dxa"/>
            <w:vMerge w:val="continue"/>
            <w:noWrap w:val="0"/>
            <w:vAlign w:val="center"/>
          </w:tcPr>
          <w:p>
            <w:pPr>
              <w:pStyle w:val="29"/>
              <w:rPr>
                <w:rFonts w:hint="eastAsia" w:eastAsia="宋体"/>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noWrap w:val="0"/>
            <w:vAlign w:val="center"/>
          </w:tcPr>
          <w:p>
            <w:pPr>
              <w:pStyle w:val="29"/>
              <w:rPr>
                <w:rFonts w:hint="default" w:eastAsia="宋体"/>
                <w:lang w:val="en-US" w:eastAsia="zh-CN"/>
              </w:rPr>
            </w:pPr>
            <w:r>
              <w:rPr>
                <w:rFonts w:hint="eastAsia"/>
                <w:lang w:val="en-US" w:eastAsia="zh-CN"/>
              </w:rPr>
              <w:t>12</w:t>
            </w:r>
          </w:p>
        </w:tc>
        <w:tc>
          <w:tcPr>
            <w:tcW w:w="2265" w:type="dxa"/>
            <w:noWrap w:val="0"/>
            <w:vAlign w:val="center"/>
          </w:tcPr>
          <w:p>
            <w:pPr>
              <w:pStyle w:val="29"/>
              <w:rPr>
                <w:rFonts w:hint="eastAsia" w:eastAsia="宋体"/>
                <w:lang w:eastAsia="zh-CN"/>
              </w:rPr>
            </w:pPr>
            <w:r>
              <w:rPr>
                <w:rFonts w:hint="eastAsia"/>
                <w:lang w:eastAsia="zh-CN"/>
              </w:rPr>
              <w:t>加药间</w:t>
            </w:r>
          </w:p>
        </w:tc>
        <w:tc>
          <w:tcPr>
            <w:tcW w:w="795" w:type="dxa"/>
            <w:noWrap w:val="0"/>
            <w:vAlign w:val="center"/>
          </w:tcPr>
          <w:p>
            <w:pPr>
              <w:pStyle w:val="29"/>
              <w:ind w:firstLine="0" w:firstLineChars="0"/>
              <w:rPr>
                <w:rFonts w:ascii="Times New Roman" w:hAnsi="Times New Roman" w:eastAsia="宋体"/>
                <w:kern w:val="2"/>
                <w:sz w:val="21"/>
                <w:szCs w:val="22"/>
                <w:lang w:val="en-US" w:eastAsia="zh-CN" w:bidi="ar-SA"/>
              </w:rPr>
            </w:pPr>
            <w:r>
              <w:t>座</w:t>
            </w:r>
          </w:p>
        </w:tc>
        <w:tc>
          <w:tcPr>
            <w:tcW w:w="1665" w:type="dxa"/>
            <w:noWrap w:val="0"/>
            <w:vAlign w:val="center"/>
          </w:tcPr>
          <w:p>
            <w:pPr>
              <w:pStyle w:val="29"/>
              <w:ind w:firstLine="0" w:firstLineChars="0"/>
              <w:rPr>
                <w:rFonts w:ascii="Times New Roman" w:hAnsi="Times New Roman" w:eastAsia="宋体"/>
                <w:kern w:val="2"/>
                <w:sz w:val="21"/>
                <w:szCs w:val="22"/>
                <w:lang w:val="en-US" w:eastAsia="zh-CN" w:bidi="ar-SA"/>
              </w:rPr>
            </w:pPr>
            <w:r>
              <w:t>1</w:t>
            </w:r>
          </w:p>
        </w:tc>
        <w:tc>
          <w:tcPr>
            <w:tcW w:w="1065" w:type="dxa"/>
            <w:noWrap w:val="0"/>
            <w:vAlign w:val="center"/>
          </w:tcPr>
          <w:p>
            <w:pPr>
              <w:pStyle w:val="29"/>
              <w:ind w:firstLine="0" w:firstLineChars="0"/>
              <w:rPr>
                <w:rFonts w:ascii="Times New Roman" w:hAnsi="Times New Roman" w:eastAsia="宋体"/>
                <w:kern w:val="2"/>
                <w:sz w:val="21"/>
                <w:szCs w:val="22"/>
                <w:lang w:val="en-US" w:eastAsia="zh-CN" w:bidi="ar-SA"/>
              </w:rPr>
            </w:pPr>
            <w:r>
              <w:t>1</w:t>
            </w:r>
          </w:p>
        </w:tc>
        <w:tc>
          <w:tcPr>
            <w:tcW w:w="1140" w:type="dxa"/>
            <w:noWrap w:val="0"/>
            <w:vAlign w:val="center"/>
          </w:tcPr>
          <w:p>
            <w:pPr>
              <w:pStyle w:val="29"/>
              <w:ind w:firstLine="0" w:firstLineChars="0"/>
              <w:rPr>
                <w:rFonts w:ascii="Times New Roman" w:hAnsi="Times New Roman" w:eastAsia="宋体"/>
                <w:kern w:val="2"/>
                <w:sz w:val="21"/>
                <w:szCs w:val="22"/>
                <w:lang w:val="en-US" w:eastAsia="zh-CN" w:bidi="ar-SA"/>
              </w:rPr>
            </w:pPr>
            <w:r>
              <w:t>无</w:t>
            </w:r>
          </w:p>
        </w:tc>
        <w:tc>
          <w:tcPr>
            <w:tcW w:w="1578" w:type="dxa"/>
            <w:vMerge w:val="continue"/>
            <w:noWrap w:val="0"/>
            <w:vAlign w:val="center"/>
          </w:tcPr>
          <w:p>
            <w:pPr>
              <w:pStyle w:val="29"/>
              <w:rPr>
                <w:rFonts w:hint="eastAsia"/>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noWrap w:val="0"/>
            <w:vAlign w:val="center"/>
          </w:tcPr>
          <w:p>
            <w:pPr>
              <w:pStyle w:val="29"/>
              <w:rPr>
                <w:rFonts w:hint="default" w:eastAsia="宋体"/>
                <w:lang w:val="en-US" w:eastAsia="zh-CN"/>
              </w:rPr>
            </w:pPr>
            <w:r>
              <w:rPr>
                <w:rFonts w:hint="eastAsia"/>
                <w:lang w:val="en-US" w:eastAsia="zh-CN"/>
              </w:rPr>
              <w:t>13</w:t>
            </w:r>
          </w:p>
        </w:tc>
        <w:tc>
          <w:tcPr>
            <w:tcW w:w="2265" w:type="dxa"/>
            <w:noWrap w:val="0"/>
            <w:vAlign w:val="center"/>
          </w:tcPr>
          <w:p>
            <w:pPr>
              <w:pStyle w:val="29"/>
            </w:pPr>
            <w:r>
              <w:rPr>
                <w:rFonts w:hint="eastAsia"/>
              </w:rPr>
              <w:t>风机房及配电间</w:t>
            </w:r>
          </w:p>
        </w:tc>
        <w:tc>
          <w:tcPr>
            <w:tcW w:w="795" w:type="dxa"/>
            <w:noWrap w:val="0"/>
            <w:vAlign w:val="center"/>
          </w:tcPr>
          <w:p>
            <w:pPr>
              <w:pStyle w:val="29"/>
              <w:ind w:firstLine="0" w:firstLineChars="0"/>
              <w:rPr>
                <w:rFonts w:ascii="Times New Roman" w:hAnsi="Times New Roman" w:eastAsia="宋体"/>
                <w:kern w:val="2"/>
                <w:sz w:val="21"/>
                <w:szCs w:val="22"/>
                <w:lang w:val="en-US" w:eastAsia="zh-CN" w:bidi="ar-SA"/>
              </w:rPr>
            </w:pPr>
            <w:r>
              <w:t>座</w:t>
            </w:r>
          </w:p>
        </w:tc>
        <w:tc>
          <w:tcPr>
            <w:tcW w:w="1665" w:type="dxa"/>
            <w:noWrap w:val="0"/>
            <w:vAlign w:val="center"/>
          </w:tcPr>
          <w:p>
            <w:pPr>
              <w:pStyle w:val="29"/>
              <w:ind w:firstLine="0" w:firstLineChars="0"/>
              <w:rPr>
                <w:rFonts w:ascii="Times New Roman" w:hAnsi="Times New Roman" w:eastAsia="宋体"/>
                <w:kern w:val="2"/>
                <w:sz w:val="21"/>
                <w:szCs w:val="22"/>
                <w:lang w:val="en-US" w:eastAsia="zh-CN" w:bidi="ar-SA"/>
              </w:rPr>
            </w:pPr>
            <w:r>
              <w:t>1</w:t>
            </w:r>
          </w:p>
        </w:tc>
        <w:tc>
          <w:tcPr>
            <w:tcW w:w="1065" w:type="dxa"/>
            <w:noWrap w:val="0"/>
            <w:vAlign w:val="center"/>
          </w:tcPr>
          <w:p>
            <w:pPr>
              <w:pStyle w:val="29"/>
              <w:ind w:firstLine="0" w:firstLineChars="0"/>
              <w:rPr>
                <w:rFonts w:ascii="Times New Roman" w:hAnsi="Times New Roman" w:eastAsia="宋体"/>
                <w:kern w:val="2"/>
                <w:sz w:val="21"/>
                <w:szCs w:val="22"/>
                <w:lang w:val="en-US" w:eastAsia="zh-CN" w:bidi="ar-SA"/>
              </w:rPr>
            </w:pPr>
            <w:r>
              <w:t>1</w:t>
            </w:r>
          </w:p>
        </w:tc>
        <w:tc>
          <w:tcPr>
            <w:tcW w:w="1140" w:type="dxa"/>
            <w:noWrap w:val="0"/>
            <w:vAlign w:val="center"/>
          </w:tcPr>
          <w:p>
            <w:pPr>
              <w:pStyle w:val="29"/>
              <w:ind w:firstLine="0" w:firstLineChars="0"/>
              <w:rPr>
                <w:rFonts w:ascii="Times New Roman" w:hAnsi="Times New Roman" w:eastAsia="宋体"/>
                <w:kern w:val="2"/>
                <w:sz w:val="21"/>
                <w:szCs w:val="22"/>
                <w:lang w:val="en-US" w:eastAsia="zh-CN" w:bidi="ar-SA"/>
              </w:rPr>
            </w:pPr>
            <w:r>
              <w:t>无</w:t>
            </w:r>
          </w:p>
        </w:tc>
        <w:tc>
          <w:tcPr>
            <w:tcW w:w="1578" w:type="dxa"/>
            <w:vMerge w:val="continue"/>
            <w:noWrap w:val="0"/>
            <w:vAlign w:val="center"/>
          </w:tcPr>
          <w:p>
            <w:pPr>
              <w:pStyle w:val="29"/>
              <w:rPr>
                <w:rFonts w:hint="eastAsia"/>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0" w:type="dxa"/>
            <w:noWrap w:val="0"/>
            <w:vAlign w:val="center"/>
          </w:tcPr>
          <w:p>
            <w:pPr>
              <w:pStyle w:val="29"/>
              <w:rPr>
                <w:rFonts w:hint="default" w:eastAsia="宋体"/>
                <w:lang w:val="en-US" w:eastAsia="zh-CN"/>
              </w:rPr>
            </w:pPr>
            <w:r>
              <w:rPr>
                <w:rFonts w:hint="eastAsia"/>
                <w:lang w:val="en-US" w:eastAsia="zh-CN"/>
              </w:rPr>
              <w:t>14</w:t>
            </w:r>
          </w:p>
        </w:tc>
        <w:tc>
          <w:tcPr>
            <w:tcW w:w="2265" w:type="dxa"/>
            <w:noWrap w:val="0"/>
            <w:vAlign w:val="center"/>
          </w:tcPr>
          <w:p>
            <w:pPr>
              <w:pStyle w:val="29"/>
            </w:pPr>
            <w:r>
              <w:rPr>
                <w:rFonts w:hint="eastAsia"/>
              </w:rPr>
              <w:t>综合楼</w:t>
            </w:r>
          </w:p>
        </w:tc>
        <w:tc>
          <w:tcPr>
            <w:tcW w:w="795" w:type="dxa"/>
            <w:noWrap w:val="0"/>
            <w:vAlign w:val="center"/>
          </w:tcPr>
          <w:p>
            <w:pPr>
              <w:pStyle w:val="29"/>
              <w:ind w:firstLine="0" w:firstLineChars="0"/>
              <w:rPr>
                <w:rFonts w:hint="eastAsia" w:ascii="Times New Roman" w:hAnsi="Times New Roman" w:eastAsia="宋体"/>
                <w:kern w:val="2"/>
                <w:sz w:val="21"/>
                <w:szCs w:val="22"/>
                <w:lang w:val="en-US" w:eastAsia="zh-CN" w:bidi="ar-SA"/>
              </w:rPr>
            </w:pPr>
            <w:r>
              <w:rPr>
                <w:rFonts w:hint="eastAsia" w:eastAsia="宋体"/>
                <w:lang w:eastAsia="zh-CN"/>
              </w:rPr>
              <w:t>栋</w:t>
            </w:r>
          </w:p>
        </w:tc>
        <w:tc>
          <w:tcPr>
            <w:tcW w:w="1665" w:type="dxa"/>
            <w:noWrap w:val="0"/>
            <w:vAlign w:val="center"/>
          </w:tcPr>
          <w:p>
            <w:pPr>
              <w:pStyle w:val="29"/>
              <w:ind w:firstLine="0" w:firstLineChars="0"/>
              <w:rPr>
                <w:rFonts w:ascii="Times New Roman" w:hAnsi="Times New Roman" w:eastAsia="宋体"/>
                <w:kern w:val="2"/>
                <w:sz w:val="21"/>
                <w:szCs w:val="22"/>
                <w:lang w:val="en-US" w:eastAsia="zh-CN" w:bidi="ar-SA"/>
              </w:rPr>
            </w:pPr>
            <w:r>
              <w:t>1</w:t>
            </w:r>
          </w:p>
        </w:tc>
        <w:tc>
          <w:tcPr>
            <w:tcW w:w="1065" w:type="dxa"/>
            <w:noWrap w:val="0"/>
            <w:vAlign w:val="center"/>
          </w:tcPr>
          <w:p>
            <w:pPr>
              <w:pStyle w:val="29"/>
              <w:ind w:firstLine="0" w:firstLineChars="0"/>
              <w:rPr>
                <w:rFonts w:ascii="Times New Roman" w:hAnsi="Times New Roman" w:eastAsia="宋体"/>
                <w:kern w:val="2"/>
                <w:sz w:val="21"/>
                <w:szCs w:val="22"/>
                <w:lang w:val="en-US" w:eastAsia="zh-CN" w:bidi="ar-SA"/>
              </w:rPr>
            </w:pPr>
            <w:r>
              <w:t>1</w:t>
            </w:r>
          </w:p>
        </w:tc>
        <w:tc>
          <w:tcPr>
            <w:tcW w:w="1140" w:type="dxa"/>
            <w:noWrap w:val="0"/>
            <w:vAlign w:val="center"/>
          </w:tcPr>
          <w:p>
            <w:pPr>
              <w:pStyle w:val="29"/>
              <w:ind w:firstLine="0" w:firstLineChars="0"/>
              <w:rPr>
                <w:rFonts w:ascii="Times New Roman" w:hAnsi="Times New Roman" w:eastAsia="宋体"/>
                <w:kern w:val="2"/>
                <w:sz w:val="21"/>
                <w:szCs w:val="22"/>
                <w:lang w:val="en-US" w:eastAsia="zh-CN" w:bidi="ar-SA"/>
              </w:rPr>
            </w:pPr>
            <w:r>
              <w:t>无</w:t>
            </w:r>
          </w:p>
        </w:tc>
        <w:tc>
          <w:tcPr>
            <w:tcW w:w="1578" w:type="dxa"/>
            <w:noWrap w:val="0"/>
            <w:vAlign w:val="center"/>
          </w:tcPr>
          <w:p>
            <w:pPr>
              <w:pStyle w:val="29"/>
              <w:rPr>
                <w:rFonts w:hint="eastAsia" w:eastAsia="宋体"/>
                <w:lang w:val="en-US" w:eastAsia="zh-CN"/>
              </w:rPr>
            </w:pPr>
            <w:r>
              <w:rPr>
                <w:rFonts w:hint="eastAsia"/>
                <w:lang w:val="en-US" w:eastAsia="zh-CN"/>
              </w:rPr>
              <w:t>/</w:t>
            </w:r>
          </w:p>
        </w:tc>
      </w:tr>
    </w:tbl>
    <w:p>
      <w:pPr>
        <w:wordWrap w:val="0"/>
        <w:topLinePunct/>
        <w:spacing w:line="240" w:lineRule="auto"/>
        <w:ind w:firstLine="0" w:firstLineChars="0"/>
        <w:jc w:val="center"/>
        <w:rPr>
          <w:b/>
          <w:sz w:val="21"/>
          <w:szCs w:val="21"/>
        </w:rPr>
      </w:pPr>
      <w:r>
        <w:rPr>
          <w:b/>
          <w:sz w:val="21"/>
          <w:szCs w:val="21"/>
        </w:rPr>
        <w:t>表3-3  项目主要设备一览表</w:t>
      </w:r>
    </w:p>
    <w:tbl>
      <w:tblPr>
        <w:tblStyle w:val="19"/>
        <w:tblW w:w="4996"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2686"/>
        <w:gridCol w:w="648"/>
        <w:gridCol w:w="1565"/>
        <w:gridCol w:w="1077"/>
        <w:gridCol w:w="1064"/>
        <w:gridCol w:w="1504"/>
        <w:gridCol w:w="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2" w:hRule="atLeast"/>
          <w:tblHeader/>
          <w:jc w:val="center"/>
        </w:trPr>
        <w:tc>
          <w:tcPr>
            <w:tcW w:w="394" w:type="pct"/>
            <w:noWrap w:val="0"/>
            <w:vAlign w:val="center"/>
          </w:tcPr>
          <w:p>
            <w:pPr>
              <w:adjustRightInd w:val="0"/>
              <w:snapToGrid w:val="0"/>
              <w:spacing w:line="320" w:lineRule="exact"/>
              <w:ind w:firstLine="0" w:firstLineChars="0"/>
              <w:jc w:val="center"/>
              <w:rPr>
                <w:b/>
                <w:bCs/>
                <w:snapToGrid w:val="0"/>
                <w:kern w:val="0"/>
                <w:sz w:val="21"/>
                <w:szCs w:val="21"/>
              </w:rPr>
            </w:pPr>
            <w:r>
              <w:rPr>
                <w:b/>
                <w:bCs/>
                <w:snapToGrid w:val="0"/>
                <w:kern w:val="0"/>
                <w:sz w:val="21"/>
                <w:szCs w:val="21"/>
              </w:rPr>
              <w:t>序号</w:t>
            </w:r>
          </w:p>
        </w:tc>
        <w:tc>
          <w:tcPr>
            <w:tcW w:w="1447" w:type="pct"/>
            <w:noWrap w:val="0"/>
            <w:vAlign w:val="center"/>
          </w:tcPr>
          <w:p>
            <w:pPr>
              <w:adjustRightInd w:val="0"/>
              <w:snapToGrid w:val="0"/>
              <w:spacing w:line="320" w:lineRule="exact"/>
              <w:ind w:firstLine="0" w:firstLineChars="0"/>
              <w:jc w:val="center"/>
              <w:rPr>
                <w:b/>
                <w:bCs/>
                <w:snapToGrid w:val="0"/>
                <w:kern w:val="0"/>
                <w:sz w:val="21"/>
                <w:szCs w:val="21"/>
              </w:rPr>
            </w:pPr>
            <w:r>
              <w:rPr>
                <w:b/>
                <w:bCs/>
                <w:snapToGrid w:val="0"/>
                <w:kern w:val="0"/>
                <w:sz w:val="21"/>
                <w:szCs w:val="21"/>
              </w:rPr>
              <w:t>设备名称</w:t>
            </w:r>
          </w:p>
        </w:tc>
        <w:tc>
          <w:tcPr>
            <w:tcW w:w="349" w:type="pct"/>
            <w:noWrap w:val="0"/>
            <w:vAlign w:val="center"/>
          </w:tcPr>
          <w:p>
            <w:pPr>
              <w:adjustRightInd w:val="0"/>
              <w:snapToGrid w:val="0"/>
              <w:spacing w:line="320" w:lineRule="exact"/>
              <w:ind w:firstLine="0" w:firstLineChars="0"/>
              <w:jc w:val="center"/>
              <w:rPr>
                <w:b/>
                <w:bCs/>
                <w:snapToGrid w:val="0"/>
                <w:kern w:val="0"/>
                <w:sz w:val="21"/>
                <w:szCs w:val="21"/>
              </w:rPr>
            </w:pPr>
            <w:r>
              <w:rPr>
                <w:b/>
                <w:bCs/>
                <w:snapToGrid w:val="0"/>
                <w:kern w:val="0"/>
                <w:sz w:val="21"/>
                <w:szCs w:val="21"/>
              </w:rPr>
              <w:t>单位</w:t>
            </w:r>
          </w:p>
        </w:tc>
        <w:tc>
          <w:tcPr>
            <w:tcW w:w="843" w:type="pct"/>
            <w:noWrap w:val="0"/>
            <w:vAlign w:val="center"/>
          </w:tcPr>
          <w:p>
            <w:pPr>
              <w:adjustRightInd w:val="0"/>
              <w:snapToGrid w:val="0"/>
              <w:spacing w:line="320" w:lineRule="exact"/>
              <w:ind w:firstLine="0" w:firstLineChars="0"/>
              <w:jc w:val="center"/>
              <w:rPr>
                <w:b/>
                <w:bCs/>
                <w:snapToGrid w:val="0"/>
                <w:kern w:val="0"/>
                <w:sz w:val="21"/>
                <w:szCs w:val="21"/>
              </w:rPr>
            </w:pPr>
            <w:r>
              <w:rPr>
                <w:b/>
                <w:bCs/>
                <w:snapToGrid w:val="0"/>
                <w:kern w:val="0"/>
                <w:sz w:val="21"/>
                <w:szCs w:val="21"/>
              </w:rPr>
              <w:t>环评设计数量</w:t>
            </w:r>
          </w:p>
        </w:tc>
        <w:tc>
          <w:tcPr>
            <w:tcW w:w="580" w:type="pct"/>
            <w:noWrap w:val="0"/>
            <w:vAlign w:val="center"/>
          </w:tcPr>
          <w:p>
            <w:pPr>
              <w:adjustRightInd w:val="0"/>
              <w:snapToGrid w:val="0"/>
              <w:spacing w:line="320" w:lineRule="exact"/>
              <w:ind w:firstLine="0" w:firstLineChars="0"/>
              <w:jc w:val="center"/>
              <w:rPr>
                <w:b/>
                <w:bCs/>
                <w:snapToGrid w:val="0"/>
                <w:kern w:val="0"/>
                <w:sz w:val="21"/>
                <w:szCs w:val="21"/>
              </w:rPr>
            </w:pPr>
            <w:r>
              <w:rPr>
                <w:b/>
                <w:bCs/>
                <w:snapToGrid w:val="0"/>
                <w:kern w:val="0"/>
                <w:sz w:val="21"/>
                <w:szCs w:val="21"/>
              </w:rPr>
              <w:t>实际数量</w:t>
            </w:r>
          </w:p>
        </w:tc>
        <w:tc>
          <w:tcPr>
            <w:tcW w:w="573" w:type="pct"/>
            <w:noWrap w:val="0"/>
            <w:vAlign w:val="center"/>
          </w:tcPr>
          <w:p>
            <w:pPr>
              <w:adjustRightInd w:val="0"/>
              <w:snapToGrid w:val="0"/>
              <w:spacing w:line="320" w:lineRule="exact"/>
              <w:ind w:firstLine="0" w:firstLineChars="0"/>
              <w:jc w:val="center"/>
              <w:rPr>
                <w:b/>
                <w:bCs/>
                <w:snapToGrid w:val="0"/>
                <w:kern w:val="0"/>
                <w:sz w:val="21"/>
                <w:szCs w:val="21"/>
              </w:rPr>
            </w:pPr>
            <w:r>
              <w:rPr>
                <w:b/>
                <w:bCs/>
                <w:snapToGrid w:val="0"/>
                <w:kern w:val="0"/>
                <w:sz w:val="21"/>
                <w:szCs w:val="21"/>
              </w:rPr>
              <w:t>变动情况</w:t>
            </w:r>
          </w:p>
        </w:tc>
        <w:tc>
          <w:tcPr>
            <w:tcW w:w="812" w:type="pct"/>
            <w:gridSpan w:val="2"/>
            <w:noWrap w:val="0"/>
            <w:vAlign w:val="center"/>
          </w:tcPr>
          <w:p>
            <w:pPr>
              <w:adjustRightInd w:val="0"/>
              <w:snapToGrid w:val="0"/>
              <w:spacing w:line="320" w:lineRule="exact"/>
              <w:ind w:firstLine="0" w:firstLineChars="0"/>
              <w:jc w:val="center"/>
              <w:rPr>
                <w:b/>
                <w:bCs/>
                <w:snapToGrid w:val="0"/>
                <w:kern w:val="0"/>
                <w:sz w:val="21"/>
                <w:szCs w:val="21"/>
              </w:rPr>
            </w:pPr>
            <w:r>
              <w:rPr>
                <w:b/>
                <w:bCs/>
                <w:snapToGrid w:val="0"/>
                <w:kern w:val="0"/>
                <w:sz w:val="21"/>
                <w:szCs w:val="21"/>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5000" w:type="pct"/>
            <w:gridSpan w:val="8"/>
            <w:noWrap w:val="0"/>
            <w:vAlign w:val="center"/>
          </w:tcPr>
          <w:p>
            <w:pPr>
              <w:adjustRightInd w:val="0"/>
              <w:snapToGrid w:val="0"/>
              <w:spacing w:line="320" w:lineRule="exact"/>
              <w:ind w:firstLine="0" w:firstLineChars="0"/>
              <w:rPr>
                <w:b/>
                <w:bCs/>
                <w:snapToGrid w:val="0"/>
                <w:kern w:val="0"/>
                <w:sz w:val="21"/>
                <w:szCs w:val="21"/>
              </w:rPr>
            </w:pPr>
            <w:r>
              <w:rPr>
                <w:rFonts w:hint="eastAsia"/>
                <w:b/>
                <w:bCs/>
                <w:snapToGrid w:val="0"/>
                <w:kern w:val="0"/>
                <w:sz w:val="21"/>
                <w:szCs w:val="21"/>
              </w:rPr>
              <w:t>一、粗格栅、提升泵房</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snapToGrid w:val="0"/>
                <w:kern w:val="0"/>
                <w:sz w:val="21"/>
                <w:szCs w:val="21"/>
              </w:rPr>
            </w:pPr>
            <w:r>
              <w:rPr>
                <w:snapToGrid w:val="0"/>
                <w:kern w:val="0"/>
                <w:sz w:val="21"/>
                <w:szCs w:val="21"/>
              </w:rPr>
              <w:t>1</w:t>
            </w:r>
          </w:p>
        </w:tc>
        <w:tc>
          <w:tcPr>
            <w:tcW w:w="1447" w:type="pct"/>
            <w:noWrap w:val="0"/>
            <w:vAlign w:val="center"/>
          </w:tcPr>
          <w:p>
            <w:pPr>
              <w:spacing w:before="1" w:line="320" w:lineRule="exact"/>
              <w:ind w:right="88" w:firstLine="0" w:firstLineChars="0"/>
              <w:jc w:val="center"/>
              <w:rPr>
                <w:snapToGrid w:val="0"/>
                <w:kern w:val="0"/>
                <w:sz w:val="21"/>
                <w:szCs w:val="21"/>
              </w:rPr>
            </w:pPr>
            <w:r>
              <w:rPr>
                <w:rFonts w:hint="eastAsia"/>
                <w:snapToGrid w:val="0"/>
                <w:kern w:val="0"/>
                <w:sz w:val="21"/>
                <w:szCs w:val="21"/>
              </w:rPr>
              <w:t>链板回转式格栅除污机</w:t>
            </w:r>
          </w:p>
        </w:tc>
        <w:tc>
          <w:tcPr>
            <w:tcW w:w="349" w:type="pct"/>
            <w:noWrap w:val="0"/>
            <w:vAlign w:val="center"/>
          </w:tcPr>
          <w:p>
            <w:pPr>
              <w:spacing w:before="1" w:line="320" w:lineRule="exact"/>
              <w:ind w:right="88" w:firstLine="0" w:firstLineChars="0"/>
              <w:jc w:val="center"/>
              <w:rPr>
                <w:sz w:val="21"/>
              </w:rPr>
            </w:pPr>
            <w:r>
              <w:rPr>
                <w:sz w:val="21"/>
              </w:rPr>
              <w:t>套</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2</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2</w:t>
            </w:r>
          </w:p>
        </w:tc>
        <w:tc>
          <w:tcPr>
            <w:tcW w:w="573" w:type="pct"/>
            <w:noWrap w:val="0"/>
            <w:vAlign w:val="center"/>
          </w:tcPr>
          <w:p>
            <w:pPr>
              <w:adjustRightInd w:val="0"/>
              <w:snapToGrid w:val="0"/>
              <w:spacing w:line="320" w:lineRule="exact"/>
              <w:ind w:firstLine="0" w:firstLineChars="0"/>
              <w:jc w:val="center"/>
              <w:rPr>
                <w:snapToGrid w:val="0"/>
                <w:kern w:val="0"/>
                <w:sz w:val="21"/>
                <w:szCs w:val="21"/>
              </w:rPr>
            </w:pPr>
            <w:r>
              <w:rPr>
                <w:snapToGrid w:val="0"/>
                <w:kern w:val="0"/>
                <w:sz w:val="21"/>
                <w:szCs w:val="21"/>
              </w:rPr>
              <w:t>无</w:t>
            </w:r>
          </w:p>
        </w:tc>
        <w:tc>
          <w:tcPr>
            <w:tcW w:w="812" w:type="pct"/>
            <w:gridSpan w:val="2"/>
            <w:vMerge w:val="restart"/>
            <w:noWrap w:val="0"/>
            <w:vAlign w:val="center"/>
          </w:tcPr>
          <w:p>
            <w:pPr>
              <w:adjustRightInd w:val="0"/>
              <w:snapToGrid w:val="0"/>
              <w:spacing w:line="320" w:lineRule="exact"/>
              <w:ind w:firstLine="0" w:firstLineChars="0"/>
              <w:jc w:val="center"/>
              <w:rPr>
                <w:rFonts w:hint="eastAsia"/>
                <w:snapToGrid w:val="0"/>
                <w:kern w:val="0"/>
                <w:sz w:val="21"/>
                <w:szCs w:val="21"/>
              </w:rPr>
            </w:pPr>
            <w:r>
              <w:rPr>
                <w:rFonts w:hint="eastAsia"/>
                <w:snapToGrid w:val="0"/>
                <w:kern w:val="0"/>
                <w:sz w:val="21"/>
                <w:szCs w:val="21"/>
              </w:rPr>
              <w:t>两期一次安</w:t>
            </w:r>
          </w:p>
          <w:p>
            <w:pPr>
              <w:adjustRightInd w:val="0"/>
              <w:snapToGrid w:val="0"/>
              <w:spacing w:line="320" w:lineRule="exact"/>
              <w:ind w:firstLine="0" w:firstLineChars="0"/>
              <w:jc w:val="center"/>
              <w:rPr>
                <w:snapToGrid w:val="0"/>
                <w:kern w:val="0"/>
                <w:sz w:val="21"/>
                <w:szCs w:val="21"/>
              </w:rPr>
            </w:pPr>
            <w:r>
              <w:rPr>
                <w:rFonts w:hint="eastAsia"/>
                <w:snapToGrid w:val="0"/>
                <w:kern w:val="0"/>
                <w:sz w:val="21"/>
                <w:szCs w:val="21"/>
              </w:rPr>
              <w:t>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snapToGrid w:val="0"/>
                <w:kern w:val="0"/>
                <w:sz w:val="21"/>
                <w:szCs w:val="21"/>
              </w:rPr>
            </w:pPr>
            <w:r>
              <w:rPr>
                <w:snapToGrid w:val="0"/>
                <w:kern w:val="0"/>
                <w:sz w:val="21"/>
                <w:szCs w:val="21"/>
              </w:rPr>
              <w:t>2</w:t>
            </w:r>
          </w:p>
        </w:tc>
        <w:tc>
          <w:tcPr>
            <w:tcW w:w="1447" w:type="pct"/>
            <w:noWrap w:val="0"/>
            <w:vAlign w:val="center"/>
          </w:tcPr>
          <w:p>
            <w:pPr>
              <w:spacing w:before="1" w:line="320" w:lineRule="exact"/>
              <w:ind w:right="88" w:firstLine="0" w:firstLineChars="0"/>
              <w:jc w:val="center"/>
              <w:rPr>
                <w:snapToGrid w:val="0"/>
                <w:kern w:val="0"/>
                <w:sz w:val="21"/>
                <w:szCs w:val="21"/>
              </w:rPr>
            </w:pPr>
            <w:r>
              <w:rPr>
                <w:rFonts w:hint="eastAsia"/>
                <w:snapToGrid w:val="0"/>
                <w:kern w:val="0"/>
                <w:sz w:val="21"/>
                <w:szCs w:val="21"/>
              </w:rPr>
              <w:t>附壁式镶铜铸铁电动闸门</w:t>
            </w:r>
          </w:p>
        </w:tc>
        <w:tc>
          <w:tcPr>
            <w:tcW w:w="349" w:type="pct"/>
            <w:noWrap w:val="0"/>
            <w:vAlign w:val="center"/>
          </w:tcPr>
          <w:p>
            <w:pPr>
              <w:spacing w:before="1" w:line="320" w:lineRule="exact"/>
              <w:ind w:right="88" w:rightChars="0" w:firstLine="0" w:firstLineChars="0"/>
              <w:jc w:val="center"/>
              <w:rPr>
                <w:rFonts w:ascii="Times New Roman" w:hAnsi="Times New Roman"/>
                <w:kern w:val="2"/>
                <w:sz w:val="21"/>
                <w:szCs w:val="22"/>
                <w:lang w:val="en-US" w:eastAsia="zh-CN" w:bidi="ar-SA"/>
              </w:rPr>
            </w:pPr>
            <w:r>
              <w:rPr>
                <w:sz w:val="21"/>
              </w:rPr>
              <w:t>台</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4</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4</w:t>
            </w:r>
          </w:p>
        </w:tc>
        <w:tc>
          <w:tcPr>
            <w:tcW w:w="573" w:type="pct"/>
            <w:noWrap w:val="0"/>
            <w:vAlign w:val="center"/>
          </w:tcPr>
          <w:p>
            <w:pPr>
              <w:adjustRightInd w:val="0"/>
              <w:snapToGrid w:val="0"/>
              <w:spacing w:line="320" w:lineRule="exact"/>
              <w:ind w:firstLine="0" w:firstLineChars="0"/>
              <w:jc w:val="center"/>
              <w:rPr>
                <w:snapToGrid w:val="0"/>
                <w:kern w:val="0"/>
                <w:sz w:val="21"/>
                <w:szCs w:val="21"/>
              </w:rPr>
            </w:pPr>
            <w:r>
              <w:rPr>
                <w:snapToGrid w:val="0"/>
                <w:kern w:val="0"/>
                <w:sz w:val="21"/>
                <w:szCs w:val="21"/>
              </w:rPr>
              <w:t>无</w:t>
            </w:r>
          </w:p>
        </w:tc>
        <w:tc>
          <w:tcPr>
            <w:tcW w:w="812" w:type="pct"/>
            <w:gridSpan w:val="2"/>
            <w:vMerge w:val="continue"/>
            <w:noWrap w:val="0"/>
            <w:vAlign w:val="center"/>
          </w:tcPr>
          <w:p>
            <w:pPr>
              <w:adjustRightInd w:val="0"/>
              <w:snapToGrid w:val="0"/>
              <w:spacing w:line="320" w:lineRule="exact"/>
              <w:ind w:firstLine="0" w:firstLineChars="0"/>
              <w:jc w:val="center"/>
              <w:rPr>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snapToGrid w:val="0"/>
                <w:kern w:val="0"/>
                <w:sz w:val="21"/>
                <w:szCs w:val="21"/>
              </w:rPr>
            </w:pPr>
            <w:r>
              <w:rPr>
                <w:snapToGrid w:val="0"/>
                <w:kern w:val="0"/>
                <w:sz w:val="21"/>
                <w:szCs w:val="21"/>
              </w:rPr>
              <w:t>3</w:t>
            </w:r>
          </w:p>
        </w:tc>
        <w:tc>
          <w:tcPr>
            <w:tcW w:w="1447" w:type="pct"/>
            <w:noWrap w:val="0"/>
            <w:vAlign w:val="center"/>
          </w:tcPr>
          <w:p>
            <w:pPr>
              <w:spacing w:before="1" w:line="320" w:lineRule="exact"/>
              <w:ind w:right="88" w:firstLine="0" w:firstLineChars="0"/>
              <w:jc w:val="center"/>
              <w:rPr>
                <w:snapToGrid w:val="0"/>
                <w:kern w:val="0"/>
                <w:sz w:val="21"/>
                <w:szCs w:val="21"/>
              </w:rPr>
            </w:pPr>
            <w:r>
              <w:rPr>
                <w:rFonts w:hint="eastAsia"/>
                <w:snapToGrid w:val="0"/>
                <w:kern w:val="0"/>
                <w:sz w:val="21"/>
                <w:szCs w:val="21"/>
              </w:rPr>
              <w:t>附壁式镶铜铸铁电动闸门</w:t>
            </w:r>
          </w:p>
        </w:tc>
        <w:tc>
          <w:tcPr>
            <w:tcW w:w="349" w:type="pct"/>
            <w:noWrap w:val="0"/>
            <w:vAlign w:val="center"/>
          </w:tcPr>
          <w:p>
            <w:pPr>
              <w:spacing w:before="1" w:line="320" w:lineRule="exact"/>
              <w:ind w:right="88" w:rightChars="0" w:firstLine="0" w:firstLineChars="0"/>
              <w:jc w:val="center"/>
              <w:rPr>
                <w:rFonts w:ascii="Times New Roman" w:hAnsi="Times New Roman"/>
                <w:kern w:val="2"/>
                <w:sz w:val="21"/>
                <w:szCs w:val="22"/>
                <w:lang w:val="en-US" w:eastAsia="zh-CN" w:bidi="ar-SA"/>
              </w:rPr>
            </w:pPr>
            <w:r>
              <w:rPr>
                <w:sz w:val="21"/>
              </w:rPr>
              <w:t>台</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2</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2</w:t>
            </w:r>
          </w:p>
        </w:tc>
        <w:tc>
          <w:tcPr>
            <w:tcW w:w="573" w:type="pct"/>
            <w:noWrap w:val="0"/>
            <w:vAlign w:val="center"/>
          </w:tcPr>
          <w:p>
            <w:pPr>
              <w:adjustRightInd w:val="0"/>
              <w:snapToGrid w:val="0"/>
              <w:spacing w:line="320" w:lineRule="exact"/>
              <w:ind w:firstLine="0" w:firstLineChars="0"/>
              <w:jc w:val="center"/>
              <w:rPr>
                <w:snapToGrid w:val="0"/>
                <w:kern w:val="0"/>
                <w:sz w:val="21"/>
                <w:szCs w:val="21"/>
              </w:rPr>
            </w:pPr>
            <w:r>
              <w:rPr>
                <w:snapToGrid w:val="0"/>
                <w:kern w:val="0"/>
                <w:sz w:val="21"/>
                <w:szCs w:val="21"/>
              </w:rPr>
              <w:t>无</w:t>
            </w:r>
          </w:p>
        </w:tc>
        <w:tc>
          <w:tcPr>
            <w:tcW w:w="812" w:type="pct"/>
            <w:gridSpan w:val="2"/>
            <w:vMerge w:val="continue"/>
            <w:noWrap w:val="0"/>
            <w:vAlign w:val="center"/>
          </w:tcPr>
          <w:p>
            <w:pPr>
              <w:adjustRightInd w:val="0"/>
              <w:snapToGrid w:val="0"/>
              <w:spacing w:line="320" w:lineRule="exact"/>
              <w:ind w:firstLine="0" w:firstLineChars="0"/>
              <w:jc w:val="center"/>
              <w:rPr>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snapToGrid w:val="0"/>
                <w:kern w:val="0"/>
                <w:sz w:val="21"/>
                <w:szCs w:val="21"/>
              </w:rPr>
            </w:pPr>
            <w:r>
              <w:rPr>
                <w:rFonts w:hint="eastAsia"/>
                <w:snapToGrid w:val="0"/>
                <w:kern w:val="0"/>
                <w:sz w:val="21"/>
                <w:szCs w:val="21"/>
              </w:rPr>
              <w:t>4</w:t>
            </w:r>
          </w:p>
        </w:tc>
        <w:tc>
          <w:tcPr>
            <w:tcW w:w="1447" w:type="pct"/>
            <w:noWrap w:val="0"/>
            <w:vAlign w:val="center"/>
          </w:tcPr>
          <w:p>
            <w:pPr>
              <w:spacing w:before="1" w:line="320" w:lineRule="exact"/>
              <w:ind w:right="88" w:firstLine="0" w:firstLineChars="0"/>
              <w:jc w:val="center"/>
              <w:rPr>
                <w:snapToGrid w:val="0"/>
                <w:kern w:val="0"/>
                <w:sz w:val="21"/>
                <w:szCs w:val="21"/>
              </w:rPr>
            </w:pPr>
            <w:r>
              <w:rPr>
                <w:rFonts w:hint="eastAsia"/>
                <w:snapToGrid w:val="0"/>
                <w:kern w:val="0"/>
                <w:sz w:val="21"/>
                <w:szCs w:val="21"/>
              </w:rPr>
              <w:t>无轴螺旋输送机</w:t>
            </w:r>
          </w:p>
        </w:tc>
        <w:tc>
          <w:tcPr>
            <w:tcW w:w="349" w:type="pct"/>
            <w:noWrap w:val="0"/>
            <w:vAlign w:val="center"/>
          </w:tcPr>
          <w:p>
            <w:pPr>
              <w:spacing w:before="1" w:line="320" w:lineRule="exact"/>
              <w:ind w:right="88" w:rightChars="0" w:firstLine="0" w:firstLineChars="0"/>
              <w:jc w:val="center"/>
              <w:rPr>
                <w:rFonts w:ascii="Times New Roman" w:hAnsi="Times New Roman"/>
                <w:kern w:val="2"/>
                <w:sz w:val="21"/>
                <w:szCs w:val="22"/>
                <w:lang w:val="en-US" w:eastAsia="zh-CN" w:bidi="ar-SA"/>
              </w:rPr>
            </w:pPr>
            <w:r>
              <w:rPr>
                <w:sz w:val="21"/>
              </w:rPr>
              <w:t>套</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2</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2</w:t>
            </w:r>
          </w:p>
        </w:tc>
        <w:tc>
          <w:tcPr>
            <w:tcW w:w="573" w:type="pct"/>
            <w:noWrap w:val="0"/>
            <w:vAlign w:val="center"/>
          </w:tcPr>
          <w:p>
            <w:pPr>
              <w:adjustRightInd w:val="0"/>
              <w:snapToGrid w:val="0"/>
              <w:spacing w:line="320" w:lineRule="exact"/>
              <w:ind w:firstLine="0" w:firstLineChars="0"/>
              <w:jc w:val="center"/>
              <w:rPr>
                <w:snapToGrid w:val="0"/>
                <w:kern w:val="0"/>
                <w:sz w:val="21"/>
                <w:szCs w:val="21"/>
              </w:rPr>
            </w:pPr>
            <w:r>
              <w:rPr>
                <w:snapToGrid w:val="0"/>
                <w:kern w:val="0"/>
                <w:sz w:val="21"/>
                <w:szCs w:val="21"/>
              </w:rPr>
              <w:t>无</w:t>
            </w:r>
          </w:p>
        </w:tc>
        <w:tc>
          <w:tcPr>
            <w:tcW w:w="812" w:type="pct"/>
            <w:gridSpan w:val="2"/>
            <w:vMerge w:val="continue"/>
            <w:noWrap w:val="0"/>
            <w:vAlign w:val="center"/>
          </w:tcPr>
          <w:p>
            <w:pPr>
              <w:adjustRightInd w:val="0"/>
              <w:snapToGrid w:val="0"/>
              <w:spacing w:line="320" w:lineRule="exact"/>
              <w:ind w:firstLine="0" w:firstLineChars="0"/>
              <w:jc w:val="center"/>
              <w:rPr>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5</w:t>
            </w:r>
          </w:p>
        </w:tc>
        <w:tc>
          <w:tcPr>
            <w:tcW w:w="1447" w:type="pct"/>
            <w:noWrap w:val="0"/>
            <w:vAlign w:val="center"/>
          </w:tcPr>
          <w:p>
            <w:pPr>
              <w:spacing w:before="1" w:line="320" w:lineRule="exact"/>
              <w:ind w:right="88" w:firstLine="0" w:firstLineChars="0"/>
              <w:jc w:val="center"/>
              <w:rPr>
                <w:snapToGrid w:val="0"/>
                <w:kern w:val="0"/>
                <w:sz w:val="21"/>
                <w:szCs w:val="21"/>
              </w:rPr>
            </w:pPr>
            <w:r>
              <w:rPr>
                <w:rFonts w:hint="eastAsia"/>
                <w:snapToGrid w:val="0"/>
                <w:kern w:val="0"/>
                <w:sz w:val="21"/>
                <w:szCs w:val="21"/>
              </w:rPr>
              <w:t>反捞式格栅除污机</w:t>
            </w:r>
          </w:p>
        </w:tc>
        <w:tc>
          <w:tcPr>
            <w:tcW w:w="349" w:type="pct"/>
            <w:noWrap w:val="0"/>
            <w:vAlign w:val="center"/>
          </w:tcPr>
          <w:p>
            <w:pPr>
              <w:spacing w:before="1" w:line="320" w:lineRule="exact"/>
              <w:ind w:right="88" w:rightChars="0" w:firstLine="0" w:firstLineChars="0"/>
              <w:jc w:val="center"/>
              <w:rPr>
                <w:rFonts w:ascii="Times New Roman" w:hAnsi="Times New Roman"/>
                <w:kern w:val="2"/>
                <w:sz w:val="21"/>
                <w:szCs w:val="22"/>
                <w:lang w:val="en-US" w:eastAsia="zh-CN" w:bidi="ar-SA"/>
              </w:rPr>
            </w:pPr>
            <w:r>
              <w:rPr>
                <w:sz w:val="21"/>
              </w:rPr>
              <w:t>台</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2</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2</w:t>
            </w:r>
          </w:p>
        </w:tc>
        <w:tc>
          <w:tcPr>
            <w:tcW w:w="573" w:type="pct"/>
            <w:noWrap w:val="0"/>
            <w:vAlign w:val="center"/>
          </w:tcPr>
          <w:p>
            <w:pPr>
              <w:adjustRightInd w:val="0"/>
              <w:snapToGrid w:val="0"/>
              <w:spacing w:line="320" w:lineRule="exact"/>
              <w:ind w:firstLine="0" w:firstLineChars="0"/>
              <w:jc w:val="center"/>
              <w:rPr>
                <w:rFonts w:ascii="Times New Roman" w:hAnsi="Times New Roman"/>
                <w:snapToGrid w:val="0"/>
                <w:kern w:val="0"/>
                <w:sz w:val="21"/>
                <w:szCs w:val="21"/>
                <w:lang w:val="en-US" w:eastAsia="zh-CN" w:bidi="ar-SA"/>
              </w:rPr>
            </w:pPr>
            <w:r>
              <w:rPr>
                <w:snapToGrid w:val="0"/>
                <w:kern w:val="0"/>
                <w:sz w:val="21"/>
                <w:szCs w:val="21"/>
              </w:rPr>
              <w:t>无</w:t>
            </w:r>
          </w:p>
        </w:tc>
        <w:tc>
          <w:tcPr>
            <w:tcW w:w="812" w:type="pct"/>
            <w:gridSpan w:val="2"/>
            <w:vMerge w:val="continue"/>
            <w:noWrap w:val="0"/>
            <w:vAlign w:val="center"/>
          </w:tcPr>
          <w:p>
            <w:pPr>
              <w:adjustRightInd w:val="0"/>
              <w:snapToGrid w:val="0"/>
              <w:spacing w:line="320" w:lineRule="exact"/>
              <w:ind w:firstLine="0" w:firstLineChars="0"/>
              <w:jc w:val="center"/>
              <w:rPr>
                <w:rFonts w:hint="eastAsia"/>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6</w:t>
            </w:r>
          </w:p>
        </w:tc>
        <w:tc>
          <w:tcPr>
            <w:tcW w:w="1447" w:type="pct"/>
            <w:noWrap w:val="0"/>
            <w:vAlign w:val="center"/>
          </w:tcPr>
          <w:p>
            <w:pPr>
              <w:spacing w:before="1" w:line="320" w:lineRule="exact"/>
              <w:ind w:right="88" w:firstLine="0" w:firstLineChars="0"/>
              <w:jc w:val="center"/>
              <w:rPr>
                <w:snapToGrid w:val="0"/>
                <w:kern w:val="0"/>
                <w:sz w:val="21"/>
                <w:szCs w:val="21"/>
              </w:rPr>
            </w:pPr>
            <w:r>
              <w:rPr>
                <w:rFonts w:hint="eastAsia"/>
                <w:snapToGrid w:val="0"/>
                <w:kern w:val="0"/>
                <w:sz w:val="21"/>
                <w:szCs w:val="21"/>
              </w:rPr>
              <w:t>提升泵</w:t>
            </w:r>
          </w:p>
        </w:tc>
        <w:tc>
          <w:tcPr>
            <w:tcW w:w="349" w:type="pct"/>
            <w:noWrap w:val="0"/>
            <w:vAlign w:val="center"/>
          </w:tcPr>
          <w:p>
            <w:pPr>
              <w:spacing w:before="1" w:line="320" w:lineRule="exact"/>
              <w:ind w:right="88" w:rightChars="0" w:firstLine="0" w:firstLineChars="0"/>
              <w:jc w:val="center"/>
              <w:rPr>
                <w:rFonts w:ascii="Times New Roman" w:hAnsi="Times New Roman"/>
                <w:kern w:val="2"/>
                <w:sz w:val="21"/>
                <w:szCs w:val="22"/>
                <w:lang w:val="en-US" w:eastAsia="zh-CN" w:bidi="ar-SA"/>
              </w:rPr>
            </w:pPr>
            <w:r>
              <w:rPr>
                <w:sz w:val="21"/>
              </w:rPr>
              <w:t>台</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4</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4</w:t>
            </w:r>
          </w:p>
        </w:tc>
        <w:tc>
          <w:tcPr>
            <w:tcW w:w="573" w:type="pct"/>
            <w:noWrap w:val="0"/>
            <w:vAlign w:val="center"/>
          </w:tcPr>
          <w:p>
            <w:pPr>
              <w:adjustRightInd w:val="0"/>
              <w:snapToGrid w:val="0"/>
              <w:spacing w:line="320" w:lineRule="exact"/>
              <w:ind w:firstLine="0" w:firstLineChars="0"/>
              <w:jc w:val="center"/>
              <w:rPr>
                <w:rFonts w:ascii="Times New Roman" w:hAnsi="Times New Roman"/>
                <w:snapToGrid w:val="0"/>
                <w:kern w:val="0"/>
                <w:sz w:val="21"/>
                <w:szCs w:val="21"/>
                <w:lang w:val="en-US" w:eastAsia="zh-CN" w:bidi="ar-SA"/>
              </w:rPr>
            </w:pPr>
            <w:r>
              <w:rPr>
                <w:snapToGrid w:val="0"/>
                <w:kern w:val="0"/>
                <w:sz w:val="21"/>
                <w:szCs w:val="21"/>
              </w:rPr>
              <w:t>无</w:t>
            </w:r>
          </w:p>
        </w:tc>
        <w:tc>
          <w:tcPr>
            <w:tcW w:w="812" w:type="pct"/>
            <w:gridSpan w:val="2"/>
            <w:noWrap w:val="0"/>
            <w:vAlign w:val="center"/>
          </w:tcPr>
          <w:p>
            <w:pPr>
              <w:adjustRightInd w:val="0"/>
              <w:snapToGrid w:val="0"/>
              <w:spacing w:line="320" w:lineRule="exact"/>
              <w:ind w:firstLine="0" w:firstLineChars="0"/>
              <w:jc w:val="center"/>
              <w:rPr>
                <w:rFonts w:hint="eastAsia" w:eastAsia="宋体"/>
                <w:snapToGrid w:val="0"/>
                <w:kern w:val="0"/>
                <w:sz w:val="21"/>
                <w:szCs w:val="21"/>
                <w:lang w:eastAsia="zh-CN"/>
              </w:rPr>
            </w:pPr>
            <w:r>
              <w:rPr>
                <w:rFonts w:hint="eastAsia"/>
                <w:snapToGrid w:val="0"/>
                <w:kern w:val="0"/>
                <w:sz w:val="21"/>
                <w:szCs w:val="21"/>
                <w:lang w:eastAsia="zh-CN"/>
              </w:rPr>
              <w:t>仅安装一期</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5000" w:type="pct"/>
            <w:gridSpan w:val="8"/>
            <w:noWrap w:val="0"/>
            <w:vAlign w:val="center"/>
          </w:tcPr>
          <w:p>
            <w:pPr>
              <w:adjustRightInd w:val="0"/>
              <w:snapToGrid w:val="0"/>
              <w:spacing w:line="320" w:lineRule="exact"/>
              <w:ind w:firstLine="0" w:firstLineChars="0"/>
              <w:rPr>
                <w:b/>
                <w:bCs/>
                <w:snapToGrid w:val="0"/>
                <w:kern w:val="0"/>
                <w:sz w:val="21"/>
                <w:szCs w:val="21"/>
              </w:rPr>
            </w:pPr>
            <w:r>
              <w:rPr>
                <w:rFonts w:hint="eastAsia"/>
                <w:b/>
                <w:bCs/>
                <w:snapToGrid w:val="0"/>
                <w:kern w:val="0"/>
                <w:sz w:val="21"/>
                <w:szCs w:val="21"/>
              </w:rPr>
              <w:t>二、细格栅及曝气沉砂池</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snapToGrid w:val="0"/>
                <w:kern w:val="0"/>
                <w:sz w:val="21"/>
                <w:szCs w:val="21"/>
              </w:rPr>
            </w:pPr>
            <w:r>
              <w:rPr>
                <w:snapToGrid w:val="0"/>
                <w:kern w:val="0"/>
                <w:sz w:val="21"/>
                <w:szCs w:val="21"/>
              </w:rPr>
              <w:t>1</w:t>
            </w:r>
          </w:p>
        </w:tc>
        <w:tc>
          <w:tcPr>
            <w:tcW w:w="1447" w:type="pct"/>
            <w:noWrap w:val="0"/>
            <w:vAlign w:val="center"/>
          </w:tcPr>
          <w:p>
            <w:pPr>
              <w:spacing w:before="1" w:line="320" w:lineRule="exact"/>
              <w:ind w:right="88" w:firstLine="0" w:firstLineChars="0"/>
              <w:jc w:val="center"/>
              <w:rPr>
                <w:rFonts w:ascii="Times New Roman" w:hAnsi="Times New Roman" w:eastAsia="宋体" w:cs="Times New Roman"/>
                <w:snapToGrid w:val="0"/>
                <w:kern w:val="0"/>
                <w:sz w:val="21"/>
                <w:szCs w:val="21"/>
              </w:rPr>
            </w:pPr>
            <w:r>
              <w:rPr>
                <w:rFonts w:hint="eastAsia" w:ascii="Times New Roman" w:hAnsi="Times New Roman" w:eastAsia="宋体" w:cs="Times New Roman"/>
                <w:snapToGrid w:val="0"/>
                <w:kern w:val="0"/>
                <w:sz w:val="21"/>
                <w:szCs w:val="21"/>
                <w:lang w:val="en-US" w:eastAsia="zh-CN"/>
              </w:rPr>
              <w:t>旋转式齿把格栅除污机</w:t>
            </w:r>
          </w:p>
        </w:tc>
        <w:tc>
          <w:tcPr>
            <w:tcW w:w="349" w:type="pct"/>
            <w:noWrap w:val="0"/>
            <w:vAlign w:val="center"/>
          </w:tcPr>
          <w:p>
            <w:pPr>
              <w:spacing w:before="1" w:line="320" w:lineRule="exact"/>
              <w:ind w:right="88" w:firstLine="0" w:firstLineChars="0"/>
              <w:jc w:val="center"/>
              <w:rPr>
                <w:rFonts w:hint="eastAsia" w:eastAsia="宋体"/>
                <w:sz w:val="21"/>
                <w:lang w:eastAsia="zh-CN"/>
              </w:rPr>
            </w:pPr>
            <w:r>
              <w:rPr>
                <w:rFonts w:hint="eastAsia"/>
                <w:sz w:val="21"/>
                <w:lang w:eastAsia="zh-CN"/>
              </w:rPr>
              <w:t>套</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2</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2</w:t>
            </w:r>
          </w:p>
        </w:tc>
        <w:tc>
          <w:tcPr>
            <w:tcW w:w="573" w:type="pct"/>
            <w:noWrap w:val="0"/>
            <w:vAlign w:val="center"/>
          </w:tcPr>
          <w:p>
            <w:pPr>
              <w:adjustRightInd w:val="0"/>
              <w:snapToGrid w:val="0"/>
              <w:spacing w:line="320" w:lineRule="exact"/>
              <w:ind w:firstLine="0" w:firstLineChars="0"/>
              <w:jc w:val="center"/>
              <w:rPr>
                <w:snapToGrid w:val="0"/>
                <w:kern w:val="0"/>
                <w:sz w:val="21"/>
                <w:szCs w:val="21"/>
              </w:rPr>
            </w:pPr>
            <w:r>
              <w:rPr>
                <w:snapToGrid w:val="0"/>
                <w:kern w:val="0"/>
                <w:sz w:val="21"/>
                <w:szCs w:val="21"/>
              </w:rPr>
              <w:t>无</w:t>
            </w:r>
          </w:p>
        </w:tc>
        <w:tc>
          <w:tcPr>
            <w:tcW w:w="812" w:type="pct"/>
            <w:gridSpan w:val="2"/>
            <w:vMerge w:val="restart"/>
            <w:noWrap w:val="0"/>
            <w:vAlign w:val="center"/>
          </w:tcPr>
          <w:p>
            <w:pPr>
              <w:adjustRightInd w:val="0"/>
              <w:snapToGrid w:val="0"/>
              <w:spacing w:line="320" w:lineRule="exact"/>
              <w:ind w:firstLine="0" w:firstLineChars="0"/>
              <w:jc w:val="center"/>
              <w:rPr>
                <w:rFonts w:hint="eastAsia"/>
                <w:snapToGrid w:val="0"/>
                <w:kern w:val="0"/>
                <w:sz w:val="21"/>
                <w:szCs w:val="21"/>
              </w:rPr>
            </w:pPr>
            <w:r>
              <w:rPr>
                <w:rFonts w:hint="eastAsia"/>
                <w:snapToGrid w:val="0"/>
                <w:kern w:val="0"/>
                <w:sz w:val="21"/>
                <w:szCs w:val="21"/>
              </w:rPr>
              <w:t>两期一次安</w:t>
            </w:r>
          </w:p>
          <w:p>
            <w:pPr>
              <w:adjustRightInd w:val="0"/>
              <w:snapToGrid w:val="0"/>
              <w:spacing w:line="320" w:lineRule="exact"/>
              <w:ind w:firstLine="0" w:firstLineChars="0"/>
              <w:jc w:val="center"/>
              <w:rPr>
                <w:snapToGrid w:val="0"/>
                <w:kern w:val="0"/>
                <w:sz w:val="21"/>
                <w:szCs w:val="21"/>
              </w:rPr>
            </w:pPr>
            <w:r>
              <w:rPr>
                <w:rFonts w:hint="eastAsia"/>
                <w:snapToGrid w:val="0"/>
                <w:kern w:val="0"/>
                <w:sz w:val="21"/>
                <w:szCs w:val="21"/>
              </w:rPr>
              <w:t>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snapToGrid w:val="0"/>
                <w:kern w:val="0"/>
                <w:sz w:val="21"/>
                <w:szCs w:val="21"/>
              </w:rPr>
            </w:pPr>
            <w:r>
              <w:rPr>
                <w:rFonts w:hint="eastAsia"/>
                <w:snapToGrid w:val="0"/>
                <w:kern w:val="0"/>
                <w:sz w:val="21"/>
                <w:szCs w:val="21"/>
              </w:rPr>
              <w:t>2</w:t>
            </w:r>
          </w:p>
        </w:tc>
        <w:tc>
          <w:tcPr>
            <w:tcW w:w="1447" w:type="pct"/>
            <w:noWrap w:val="0"/>
            <w:vAlign w:val="center"/>
          </w:tcPr>
          <w:p>
            <w:pPr>
              <w:spacing w:before="1" w:line="320" w:lineRule="exact"/>
              <w:ind w:right="88" w:firstLine="0" w:firstLineChars="0"/>
              <w:jc w:val="center"/>
              <w:rPr>
                <w:rFonts w:ascii="Times New Roman" w:hAnsi="Times New Roman" w:eastAsia="宋体" w:cs="Times New Roman"/>
                <w:snapToGrid w:val="0"/>
                <w:kern w:val="0"/>
                <w:sz w:val="21"/>
                <w:szCs w:val="21"/>
              </w:rPr>
            </w:pPr>
            <w:r>
              <w:rPr>
                <w:rFonts w:hint="eastAsia" w:ascii="Times New Roman" w:hAnsi="Times New Roman" w:eastAsia="宋体" w:cs="Times New Roman"/>
                <w:snapToGrid w:val="0"/>
                <w:kern w:val="0"/>
                <w:sz w:val="21"/>
                <w:szCs w:val="21"/>
                <w:lang w:val="en-US" w:eastAsia="zh-CN"/>
              </w:rPr>
              <w:t>砂水分离器</w:t>
            </w:r>
          </w:p>
        </w:tc>
        <w:tc>
          <w:tcPr>
            <w:tcW w:w="349" w:type="pct"/>
            <w:noWrap w:val="0"/>
            <w:vAlign w:val="center"/>
          </w:tcPr>
          <w:p>
            <w:pPr>
              <w:spacing w:before="1" w:line="320" w:lineRule="exact"/>
              <w:ind w:right="88" w:firstLine="0" w:firstLineChars="0"/>
              <w:jc w:val="center"/>
              <w:rPr>
                <w:sz w:val="21"/>
              </w:rPr>
            </w:pPr>
            <w:r>
              <w:rPr>
                <w:sz w:val="21"/>
              </w:rPr>
              <w:t>台</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1</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1</w:t>
            </w:r>
          </w:p>
        </w:tc>
        <w:tc>
          <w:tcPr>
            <w:tcW w:w="573" w:type="pct"/>
            <w:noWrap w:val="0"/>
            <w:vAlign w:val="center"/>
          </w:tcPr>
          <w:p>
            <w:pPr>
              <w:adjustRightInd w:val="0"/>
              <w:snapToGrid w:val="0"/>
              <w:spacing w:line="320" w:lineRule="exact"/>
              <w:ind w:firstLine="0" w:firstLineChars="0"/>
              <w:jc w:val="center"/>
              <w:rPr>
                <w:snapToGrid w:val="0"/>
                <w:kern w:val="0"/>
                <w:sz w:val="21"/>
                <w:szCs w:val="21"/>
              </w:rPr>
            </w:pPr>
            <w:r>
              <w:rPr>
                <w:snapToGrid w:val="0"/>
                <w:kern w:val="0"/>
                <w:sz w:val="21"/>
                <w:szCs w:val="21"/>
              </w:rPr>
              <w:t>无</w:t>
            </w:r>
          </w:p>
        </w:tc>
        <w:tc>
          <w:tcPr>
            <w:tcW w:w="812" w:type="pct"/>
            <w:gridSpan w:val="2"/>
            <w:vMerge w:val="continue"/>
            <w:noWrap w:val="0"/>
            <w:vAlign w:val="center"/>
          </w:tcPr>
          <w:p>
            <w:pPr>
              <w:adjustRightInd w:val="0"/>
              <w:snapToGrid w:val="0"/>
              <w:spacing w:line="320" w:lineRule="exact"/>
              <w:ind w:firstLine="0" w:firstLineChars="0"/>
              <w:jc w:val="center"/>
              <w:rPr>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trHeight w:val="472" w:hRule="atLeast"/>
          <w:jc w:val="center"/>
        </w:trPr>
        <w:tc>
          <w:tcPr>
            <w:tcW w:w="394" w:type="pct"/>
            <w:noWrap w:val="0"/>
            <w:vAlign w:val="center"/>
          </w:tcPr>
          <w:p>
            <w:pPr>
              <w:adjustRightInd w:val="0"/>
              <w:snapToGrid w:val="0"/>
              <w:spacing w:line="320" w:lineRule="exact"/>
              <w:ind w:firstLine="0" w:firstLineChars="0"/>
              <w:jc w:val="center"/>
              <w:rPr>
                <w:snapToGrid w:val="0"/>
                <w:kern w:val="0"/>
                <w:sz w:val="21"/>
                <w:szCs w:val="21"/>
              </w:rPr>
            </w:pPr>
            <w:r>
              <w:rPr>
                <w:rFonts w:hint="eastAsia"/>
                <w:snapToGrid w:val="0"/>
                <w:kern w:val="0"/>
                <w:sz w:val="21"/>
                <w:szCs w:val="21"/>
              </w:rPr>
              <w:t>3</w:t>
            </w:r>
          </w:p>
        </w:tc>
        <w:tc>
          <w:tcPr>
            <w:tcW w:w="1447" w:type="pct"/>
            <w:noWrap w:val="0"/>
            <w:vAlign w:val="center"/>
          </w:tcPr>
          <w:p>
            <w:pPr>
              <w:spacing w:before="1" w:line="320" w:lineRule="exact"/>
              <w:ind w:right="88" w:firstLine="0" w:firstLineChars="0"/>
              <w:jc w:val="center"/>
              <w:rPr>
                <w:rFonts w:ascii="Times New Roman" w:hAnsi="Times New Roman" w:eastAsia="宋体" w:cs="Times New Roman"/>
                <w:snapToGrid w:val="0"/>
                <w:kern w:val="0"/>
                <w:sz w:val="21"/>
                <w:szCs w:val="21"/>
              </w:rPr>
            </w:pPr>
            <w:r>
              <w:rPr>
                <w:rFonts w:hint="eastAsia" w:ascii="Times New Roman" w:hAnsi="Times New Roman" w:eastAsia="宋体" w:cs="Times New Roman"/>
                <w:snapToGrid w:val="0"/>
                <w:kern w:val="0"/>
                <w:sz w:val="21"/>
                <w:szCs w:val="21"/>
                <w:lang w:val="en-US" w:eastAsia="zh-CN"/>
              </w:rPr>
              <w:t>桥式吸油除砂机</w:t>
            </w:r>
          </w:p>
        </w:tc>
        <w:tc>
          <w:tcPr>
            <w:tcW w:w="349" w:type="pct"/>
            <w:noWrap w:val="0"/>
            <w:vAlign w:val="center"/>
          </w:tcPr>
          <w:p>
            <w:pPr>
              <w:spacing w:before="1" w:line="320" w:lineRule="exact"/>
              <w:ind w:right="88" w:firstLine="0" w:firstLineChars="0"/>
              <w:jc w:val="center"/>
              <w:rPr>
                <w:rFonts w:hint="eastAsia" w:eastAsia="宋体"/>
                <w:sz w:val="21"/>
                <w:lang w:eastAsia="zh-CN"/>
              </w:rPr>
            </w:pPr>
            <w:r>
              <w:rPr>
                <w:rFonts w:hint="eastAsia"/>
                <w:sz w:val="21"/>
                <w:lang w:eastAsia="zh-CN"/>
              </w:rPr>
              <w:t>套</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2</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2</w:t>
            </w:r>
          </w:p>
        </w:tc>
        <w:tc>
          <w:tcPr>
            <w:tcW w:w="573" w:type="pct"/>
            <w:noWrap w:val="0"/>
            <w:vAlign w:val="center"/>
          </w:tcPr>
          <w:p>
            <w:pPr>
              <w:adjustRightInd w:val="0"/>
              <w:snapToGrid w:val="0"/>
              <w:spacing w:line="320" w:lineRule="exact"/>
              <w:ind w:firstLine="0" w:firstLineChars="0"/>
              <w:jc w:val="center"/>
              <w:rPr>
                <w:snapToGrid w:val="0"/>
                <w:kern w:val="0"/>
                <w:sz w:val="21"/>
                <w:szCs w:val="21"/>
              </w:rPr>
            </w:pPr>
            <w:r>
              <w:rPr>
                <w:snapToGrid w:val="0"/>
                <w:kern w:val="0"/>
                <w:sz w:val="21"/>
                <w:szCs w:val="21"/>
              </w:rPr>
              <w:t>无</w:t>
            </w:r>
          </w:p>
        </w:tc>
        <w:tc>
          <w:tcPr>
            <w:tcW w:w="812" w:type="pct"/>
            <w:gridSpan w:val="2"/>
            <w:vMerge w:val="continue"/>
            <w:noWrap w:val="0"/>
            <w:vAlign w:val="center"/>
          </w:tcPr>
          <w:p>
            <w:pPr>
              <w:adjustRightInd w:val="0"/>
              <w:snapToGrid w:val="0"/>
              <w:spacing w:line="320" w:lineRule="exact"/>
              <w:ind w:firstLine="0" w:firstLineChars="0"/>
              <w:jc w:val="center"/>
              <w:rPr>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trHeight w:val="472" w:hRule="atLeast"/>
          <w:jc w:val="center"/>
        </w:trPr>
        <w:tc>
          <w:tcPr>
            <w:tcW w:w="5000" w:type="pct"/>
            <w:gridSpan w:val="8"/>
            <w:noWrap w:val="0"/>
            <w:vAlign w:val="center"/>
          </w:tcPr>
          <w:p>
            <w:pPr>
              <w:adjustRightInd w:val="0"/>
              <w:snapToGrid w:val="0"/>
              <w:spacing w:line="320" w:lineRule="exact"/>
              <w:ind w:firstLine="0" w:firstLineChars="0"/>
              <w:rPr>
                <w:b/>
                <w:bCs/>
                <w:snapToGrid w:val="0"/>
                <w:kern w:val="0"/>
                <w:sz w:val="21"/>
                <w:szCs w:val="21"/>
              </w:rPr>
            </w:pPr>
            <w:r>
              <w:rPr>
                <w:rFonts w:hint="eastAsia"/>
                <w:b/>
                <w:bCs/>
                <w:snapToGrid w:val="0"/>
                <w:kern w:val="0"/>
                <w:sz w:val="21"/>
                <w:szCs w:val="21"/>
              </w:rPr>
              <w:t>三、缓冲调节池</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snapToGrid w:val="0"/>
                <w:kern w:val="0"/>
                <w:sz w:val="21"/>
                <w:szCs w:val="21"/>
              </w:rPr>
            </w:pPr>
            <w:r>
              <w:rPr>
                <w:rFonts w:hint="eastAsia"/>
                <w:snapToGrid w:val="0"/>
                <w:kern w:val="0"/>
                <w:sz w:val="21"/>
                <w:szCs w:val="21"/>
              </w:rPr>
              <w:t>1</w:t>
            </w:r>
          </w:p>
        </w:tc>
        <w:tc>
          <w:tcPr>
            <w:tcW w:w="1447" w:type="pct"/>
            <w:noWrap w:val="0"/>
            <w:vAlign w:val="center"/>
          </w:tcPr>
          <w:p>
            <w:pPr>
              <w:spacing w:before="1" w:line="320" w:lineRule="exact"/>
              <w:ind w:right="88" w:firstLine="0" w:firstLineChars="0"/>
              <w:jc w:val="center"/>
              <w:rPr>
                <w:snapToGrid w:val="0"/>
                <w:kern w:val="0"/>
                <w:sz w:val="21"/>
                <w:szCs w:val="21"/>
              </w:rPr>
            </w:pPr>
            <w:r>
              <w:rPr>
                <w:rFonts w:hint="eastAsia"/>
                <w:snapToGrid w:val="0"/>
                <w:kern w:val="0"/>
                <w:sz w:val="21"/>
                <w:szCs w:val="21"/>
              </w:rPr>
              <w:t>潜水搅拌机</w:t>
            </w:r>
          </w:p>
        </w:tc>
        <w:tc>
          <w:tcPr>
            <w:tcW w:w="349" w:type="pct"/>
            <w:noWrap w:val="0"/>
            <w:vAlign w:val="center"/>
          </w:tcPr>
          <w:p>
            <w:pPr>
              <w:spacing w:before="1" w:line="320" w:lineRule="exact"/>
              <w:ind w:right="88" w:firstLine="0" w:firstLineChars="0"/>
              <w:jc w:val="center"/>
              <w:rPr>
                <w:sz w:val="21"/>
              </w:rPr>
            </w:pPr>
            <w:r>
              <w:rPr>
                <w:sz w:val="21"/>
              </w:rPr>
              <w:t>台</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2</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2</w:t>
            </w:r>
          </w:p>
        </w:tc>
        <w:tc>
          <w:tcPr>
            <w:tcW w:w="573" w:type="pct"/>
            <w:noWrap w:val="0"/>
            <w:vAlign w:val="center"/>
          </w:tcPr>
          <w:p>
            <w:pPr>
              <w:adjustRightInd w:val="0"/>
              <w:snapToGrid w:val="0"/>
              <w:spacing w:line="320" w:lineRule="exact"/>
              <w:ind w:firstLine="0" w:firstLineChars="0"/>
              <w:jc w:val="center"/>
              <w:rPr>
                <w:snapToGrid w:val="0"/>
                <w:kern w:val="0"/>
                <w:sz w:val="21"/>
                <w:szCs w:val="21"/>
              </w:rPr>
            </w:pPr>
            <w:r>
              <w:rPr>
                <w:snapToGrid w:val="0"/>
                <w:kern w:val="0"/>
                <w:sz w:val="21"/>
                <w:szCs w:val="21"/>
              </w:rPr>
              <w:t>无</w:t>
            </w:r>
          </w:p>
        </w:tc>
        <w:tc>
          <w:tcPr>
            <w:tcW w:w="812" w:type="pct"/>
            <w:gridSpan w:val="2"/>
            <w:vMerge w:val="restart"/>
            <w:noWrap w:val="0"/>
            <w:vAlign w:val="center"/>
          </w:tcPr>
          <w:p>
            <w:pPr>
              <w:adjustRightInd w:val="0"/>
              <w:snapToGrid w:val="0"/>
              <w:spacing w:line="320" w:lineRule="exact"/>
              <w:ind w:firstLine="0" w:firstLineChars="0"/>
              <w:jc w:val="center"/>
              <w:rPr>
                <w:snapToGrid w:val="0"/>
                <w:kern w:val="0"/>
                <w:sz w:val="21"/>
                <w:szCs w:val="21"/>
              </w:rPr>
            </w:pPr>
            <w:r>
              <w:rPr>
                <w:rFonts w:hint="eastAsia"/>
                <w:snapToGrid w:val="0"/>
                <w:kern w:val="0"/>
                <w:sz w:val="21"/>
                <w:szCs w:val="21"/>
                <w:lang w:eastAsia="zh-CN"/>
              </w:rPr>
              <w:t>仅安装一期</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snapToGrid w:val="0"/>
                <w:kern w:val="0"/>
                <w:sz w:val="21"/>
                <w:szCs w:val="21"/>
              </w:rPr>
            </w:pPr>
            <w:r>
              <w:rPr>
                <w:rFonts w:hint="eastAsia"/>
                <w:snapToGrid w:val="0"/>
                <w:kern w:val="0"/>
                <w:sz w:val="21"/>
                <w:szCs w:val="21"/>
              </w:rPr>
              <w:t>2</w:t>
            </w:r>
          </w:p>
        </w:tc>
        <w:tc>
          <w:tcPr>
            <w:tcW w:w="1447" w:type="pct"/>
            <w:noWrap w:val="0"/>
            <w:vAlign w:val="center"/>
          </w:tcPr>
          <w:p>
            <w:pPr>
              <w:spacing w:before="1" w:line="320" w:lineRule="exact"/>
              <w:ind w:right="88" w:firstLine="0" w:firstLineChars="0"/>
              <w:jc w:val="center"/>
              <w:rPr>
                <w:snapToGrid w:val="0"/>
                <w:kern w:val="0"/>
                <w:sz w:val="21"/>
                <w:szCs w:val="21"/>
              </w:rPr>
            </w:pPr>
            <w:r>
              <w:rPr>
                <w:snapToGrid w:val="0"/>
                <w:kern w:val="0"/>
                <w:sz w:val="21"/>
                <w:szCs w:val="21"/>
              </w:rPr>
              <w:t>潜</w:t>
            </w:r>
            <w:r>
              <w:rPr>
                <w:rFonts w:hint="eastAsia"/>
                <w:snapToGrid w:val="0"/>
                <w:kern w:val="0"/>
                <w:sz w:val="21"/>
                <w:szCs w:val="21"/>
                <w:lang w:eastAsia="zh-CN"/>
              </w:rPr>
              <w:t>水</w:t>
            </w:r>
            <w:r>
              <w:rPr>
                <w:snapToGrid w:val="0"/>
                <w:kern w:val="0"/>
                <w:sz w:val="21"/>
                <w:szCs w:val="21"/>
              </w:rPr>
              <w:t>泵</w:t>
            </w:r>
          </w:p>
        </w:tc>
        <w:tc>
          <w:tcPr>
            <w:tcW w:w="349" w:type="pct"/>
            <w:noWrap w:val="0"/>
            <w:vAlign w:val="center"/>
          </w:tcPr>
          <w:p>
            <w:pPr>
              <w:spacing w:before="1" w:line="320" w:lineRule="exact"/>
              <w:ind w:right="88" w:firstLine="0" w:firstLineChars="0"/>
              <w:jc w:val="center"/>
              <w:rPr>
                <w:sz w:val="21"/>
              </w:rPr>
            </w:pPr>
            <w:r>
              <w:rPr>
                <w:rFonts w:hint="eastAsia"/>
                <w:sz w:val="21"/>
              </w:rPr>
              <w:t>台</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2</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2</w:t>
            </w:r>
          </w:p>
        </w:tc>
        <w:tc>
          <w:tcPr>
            <w:tcW w:w="573" w:type="pct"/>
            <w:noWrap w:val="0"/>
            <w:vAlign w:val="center"/>
          </w:tcPr>
          <w:p>
            <w:pPr>
              <w:adjustRightInd w:val="0"/>
              <w:snapToGrid w:val="0"/>
              <w:spacing w:line="320" w:lineRule="exact"/>
              <w:ind w:firstLine="0" w:firstLineChars="0"/>
              <w:jc w:val="center"/>
              <w:rPr>
                <w:snapToGrid w:val="0"/>
                <w:kern w:val="0"/>
                <w:sz w:val="21"/>
                <w:szCs w:val="21"/>
              </w:rPr>
            </w:pPr>
            <w:r>
              <w:rPr>
                <w:snapToGrid w:val="0"/>
                <w:kern w:val="0"/>
                <w:sz w:val="21"/>
                <w:szCs w:val="21"/>
              </w:rPr>
              <w:t>无</w:t>
            </w:r>
          </w:p>
        </w:tc>
        <w:tc>
          <w:tcPr>
            <w:tcW w:w="812" w:type="pct"/>
            <w:gridSpan w:val="2"/>
            <w:vMerge w:val="continue"/>
            <w:noWrap w:val="0"/>
            <w:vAlign w:val="center"/>
          </w:tcPr>
          <w:p>
            <w:pPr>
              <w:adjustRightInd w:val="0"/>
              <w:snapToGrid w:val="0"/>
              <w:spacing w:line="320" w:lineRule="exact"/>
              <w:ind w:firstLine="0" w:firstLineChars="0"/>
              <w:jc w:val="center"/>
              <w:rPr>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5000" w:type="pct"/>
            <w:gridSpan w:val="8"/>
            <w:noWrap w:val="0"/>
            <w:vAlign w:val="center"/>
          </w:tcPr>
          <w:p>
            <w:pPr>
              <w:adjustRightInd w:val="0"/>
              <w:snapToGrid w:val="0"/>
              <w:spacing w:line="320" w:lineRule="exact"/>
              <w:ind w:firstLine="0" w:firstLineChars="0"/>
              <w:rPr>
                <w:b/>
                <w:bCs/>
                <w:snapToGrid w:val="0"/>
                <w:kern w:val="0"/>
                <w:sz w:val="21"/>
                <w:szCs w:val="21"/>
              </w:rPr>
            </w:pPr>
            <w:r>
              <w:rPr>
                <w:rFonts w:hint="eastAsia"/>
                <w:b/>
                <w:bCs/>
                <w:snapToGrid w:val="0"/>
                <w:kern w:val="0"/>
                <w:sz w:val="21"/>
                <w:szCs w:val="21"/>
              </w:rPr>
              <w:t>四、水解酸化池</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snapToGrid w:val="0"/>
                <w:kern w:val="0"/>
                <w:sz w:val="21"/>
                <w:szCs w:val="21"/>
              </w:rPr>
            </w:pPr>
            <w:r>
              <w:rPr>
                <w:rFonts w:hint="eastAsia"/>
                <w:snapToGrid w:val="0"/>
                <w:kern w:val="0"/>
                <w:sz w:val="21"/>
                <w:szCs w:val="21"/>
              </w:rPr>
              <w:t>1</w:t>
            </w:r>
          </w:p>
        </w:tc>
        <w:tc>
          <w:tcPr>
            <w:tcW w:w="1447" w:type="pct"/>
            <w:noWrap w:val="0"/>
            <w:vAlign w:val="center"/>
          </w:tcPr>
          <w:p>
            <w:pPr>
              <w:spacing w:before="1" w:line="320" w:lineRule="exact"/>
              <w:ind w:right="88" w:firstLine="0" w:firstLineChars="0"/>
              <w:jc w:val="center"/>
              <w:rPr>
                <w:snapToGrid w:val="0"/>
                <w:kern w:val="0"/>
                <w:sz w:val="21"/>
                <w:szCs w:val="21"/>
              </w:rPr>
            </w:pPr>
            <w:r>
              <w:rPr>
                <w:rFonts w:hint="eastAsia"/>
                <w:snapToGrid w:val="0"/>
                <w:kern w:val="0"/>
                <w:sz w:val="21"/>
                <w:szCs w:val="21"/>
              </w:rPr>
              <w:t>脉冲布水器</w:t>
            </w:r>
          </w:p>
        </w:tc>
        <w:tc>
          <w:tcPr>
            <w:tcW w:w="349" w:type="pct"/>
            <w:noWrap w:val="0"/>
            <w:vAlign w:val="center"/>
          </w:tcPr>
          <w:p>
            <w:pPr>
              <w:spacing w:before="1" w:line="320" w:lineRule="exact"/>
              <w:ind w:right="88" w:firstLine="0" w:firstLineChars="0"/>
              <w:jc w:val="center"/>
              <w:rPr>
                <w:rFonts w:hint="eastAsia" w:eastAsia="宋体"/>
                <w:sz w:val="21"/>
                <w:lang w:eastAsia="zh-CN"/>
              </w:rPr>
            </w:pPr>
            <w:r>
              <w:rPr>
                <w:rFonts w:hint="eastAsia"/>
                <w:sz w:val="21"/>
                <w:lang w:eastAsia="zh-CN"/>
              </w:rPr>
              <w:t>套</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2</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2</w:t>
            </w:r>
          </w:p>
        </w:tc>
        <w:tc>
          <w:tcPr>
            <w:tcW w:w="573" w:type="pct"/>
            <w:noWrap w:val="0"/>
            <w:vAlign w:val="center"/>
          </w:tcPr>
          <w:p>
            <w:pPr>
              <w:adjustRightInd w:val="0"/>
              <w:snapToGrid w:val="0"/>
              <w:spacing w:line="320" w:lineRule="exact"/>
              <w:ind w:firstLine="0" w:firstLineChars="0"/>
              <w:jc w:val="center"/>
              <w:rPr>
                <w:rFonts w:ascii="Times New Roman" w:hAnsi="Times New Roman"/>
                <w:snapToGrid w:val="0"/>
                <w:kern w:val="0"/>
                <w:sz w:val="21"/>
                <w:szCs w:val="21"/>
                <w:lang w:val="en-US" w:eastAsia="zh-CN" w:bidi="ar-SA"/>
              </w:rPr>
            </w:pPr>
            <w:r>
              <w:rPr>
                <w:snapToGrid w:val="0"/>
                <w:kern w:val="0"/>
                <w:sz w:val="21"/>
                <w:szCs w:val="21"/>
              </w:rPr>
              <w:t>无</w:t>
            </w:r>
          </w:p>
        </w:tc>
        <w:tc>
          <w:tcPr>
            <w:tcW w:w="812" w:type="pct"/>
            <w:gridSpan w:val="2"/>
            <w:vMerge w:val="restart"/>
            <w:noWrap w:val="0"/>
            <w:vAlign w:val="center"/>
          </w:tcPr>
          <w:p>
            <w:pPr>
              <w:adjustRightInd w:val="0"/>
              <w:snapToGrid w:val="0"/>
              <w:spacing w:line="320" w:lineRule="exact"/>
              <w:ind w:firstLine="0" w:firstLineChars="0"/>
              <w:jc w:val="center"/>
              <w:rPr>
                <w:rFonts w:hint="eastAsia"/>
                <w:snapToGrid w:val="0"/>
                <w:kern w:val="0"/>
                <w:sz w:val="21"/>
                <w:szCs w:val="21"/>
              </w:rPr>
            </w:pPr>
            <w:r>
              <w:rPr>
                <w:rFonts w:hint="eastAsia"/>
                <w:snapToGrid w:val="0"/>
                <w:kern w:val="0"/>
                <w:sz w:val="21"/>
                <w:szCs w:val="21"/>
                <w:lang w:eastAsia="zh-CN"/>
              </w:rPr>
              <w:t>仅安装一期</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snapToGrid w:val="0"/>
                <w:kern w:val="0"/>
                <w:sz w:val="21"/>
                <w:szCs w:val="21"/>
              </w:rPr>
            </w:pPr>
            <w:r>
              <w:rPr>
                <w:rFonts w:hint="eastAsia"/>
                <w:snapToGrid w:val="0"/>
                <w:kern w:val="0"/>
                <w:sz w:val="21"/>
                <w:szCs w:val="21"/>
              </w:rPr>
              <w:t>2</w:t>
            </w:r>
          </w:p>
        </w:tc>
        <w:tc>
          <w:tcPr>
            <w:tcW w:w="1447" w:type="pct"/>
            <w:noWrap w:val="0"/>
            <w:vAlign w:val="center"/>
          </w:tcPr>
          <w:p>
            <w:pPr>
              <w:spacing w:before="1" w:line="320" w:lineRule="exact"/>
              <w:ind w:right="88" w:firstLine="0" w:firstLineChars="0"/>
              <w:jc w:val="center"/>
              <w:rPr>
                <w:snapToGrid w:val="0"/>
                <w:kern w:val="0"/>
                <w:sz w:val="21"/>
                <w:szCs w:val="21"/>
              </w:rPr>
            </w:pPr>
            <w:r>
              <w:rPr>
                <w:rFonts w:hint="eastAsia"/>
                <w:snapToGrid w:val="0"/>
                <w:kern w:val="0"/>
                <w:sz w:val="21"/>
                <w:szCs w:val="21"/>
              </w:rPr>
              <w:t>弹性填料</w:t>
            </w:r>
          </w:p>
        </w:tc>
        <w:tc>
          <w:tcPr>
            <w:tcW w:w="349" w:type="pct"/>
            <w:noWrap w:val="0"/>
            <w:vAlign w:val="center"/>
          </w:tcPr>
          <w:p>
            <w:pPr>
              <w:spacing w:before="1" w:line="320" w:lineRule="exact"/>
              <w:ind w:right="88" w:firstLine="0" w:firstLineChars="0"/>
              <w:jc w:val="center"/>
              <w:rPr>
                <w:rFonts w:hint="default" w:eastAsia="宋体"/>
                <w:sz w:val="21"/>
                <w:lang w:val="en-US" w:eastAsia="zh-CN"/>
              </w:rPr>
            </w:pPr>
            <w:r>
              <w:rPr>
                <w:rFonts w:hint="eastAsia"/>
                <w:sz w:val="21"/>
                <w:lang w:val="en-US" w:eastAsia="zh-CN"/>
              </w:rPr>
              <w:t>m3</w:t>
            </w:r>
          </w:p>
        </w:tc>
        <w:tc>
          <w:tcPr>
            <w:tcW w:w="843" w:type="pct"/>
            <w:noWrap w:val="0"/>
            <w:vAlign w:val="center"/>
          </w:tcPr>
          <w:p>
            <w:pPr>
              <w:spacing w:before="1" w:line="320" w:lineRule="exact"/>
              <w:ind w:right="88" w:firstLine="0" w:firstLineChars="0"/>
              <w:jc w:val="center"/>
              <w:rPr>
                <w:rFonts w:hint="default" w:eastAsia="宋体"/>
                <w:snapToGrid w:val="0"/>
                <w:kern w:val="0"/>
                <w:sz w:val="21"/>
                <w:szCs w:val="21"/>
                <w:lang w:val="en-US" w:eastAsia="zh-CN"/>
              </w:rPr>
            </w:pPr>
            <w:r>
              <w:rPr>
                <w:rFonts w:hint="eastAsia"/>
                <w:snapToGrid w:val="0"/>
                <w:kern w:val="0"/>
                <w:sz w:val="21"/>
                <w:szCs w:val="21"/>
                <w:lang w:val="en-US" w:eastAsia="zh-CN"/>
              </w:rPr>
              <w:t>175</w:t>
            </w:r>
          </w:p>
        </w:tc>
        <w:tc>
          <w:tcPr>
            <w:tcW w:w="580" w:type="pct"/>
            <w:noWrap w:val="0"/>
            <w:vAlign w:val="center"/>
          </w:tcPr>
          <w:p>
            <w:pPr>
              <w:spacing w:before="1" w:line="320" w:lineRule="exact"/>
              <w:ind w:right="88" w:rightChars="0" w:firstLine="0" w:firstLineChars="0"/>
              <w:jc w:val="center"/>
              <w:rPr>
                <w:rFonts w:hint="default"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175</w:t>
            </w:r>
          </w:p>
        </w:tc>
        <w:tc>
          <w:tcPr>
            <w:tcW w:w="573" w:type="pct"/>
            <w:noWrap w:val="0"/>
            <w:vAlign w:val="center"/>
          </w:tcPr>
          <w:p>
            <w:pPr>
              <w:adjustRightInd w:val="0"/>
              <w:snapToGrid w:val="0"/>
              <w:spacing w:line="320" w:lineRule="exact"/>
              <w:ind w:firstLine="0" w:firstLineChars="0"/>
              <w:jc w:val="center"/>
              <w:rPr>
                <w:rFonts w:ascii="Times New Roman" w:hAnsi="Times New Roman"/>
                <w:snapToGrid w:val="0"/>
                <w:kern w:val="0"/>
                <w:sz w:val="21"/>
                <w:szCs w:val="21"/>
                <w:lang w:val="en-US" w:eastAsia="zh-CN" w:bidi="ar-SA"/>
              </w:rPr>
            </w:pPr>
            <w:r>
              <w:rPr>
                <w:snapToGrid w:val="0"/>
                <w:kern w:val="0"/>
                <w:sz w:val="21"/>
                <w:szCs w:val="21"/>
              </w:rPr>
              <w:t>无</w:t>
            </w:r>
          </w:p>
        </w:tc>
        <w:tc>
          <w:tcPr>
            <w:tcW w:w="812" w:type="pct"/>
            <w:gridSpan w:val="2"/>
            <w:vMerge w:val="continue"/>
            <w:noWrap w:val="0"/>
            <w:vAlign w:val="center"/>
          </w:tcPr>
          <w:p>
            <w:pPr>
              <w:adjustRightInd w:val="0"/>
              <w:snapToGrid w:val="0"/>
              <w:spacing w:line="320" w:lineRule="exact"/>
              <w:ind w:firstLine="0" w:firstLineChars="0"/>
              <w:jc w:val="center"/>
              <w:rPr>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3</w:t>
            </w:r>
          </w:p>
        </w:tc>
        <w:tc>
          <w:tcPr>
            <w:tcW w:w="1447" w:type="pct"/>
            <w:noWrap w:val="0"/>
            <w:vAlign w:val="center"/>
          </w:tcPr>
          <w:p>
            <w:pPr>
              <w:spacing w:before="1" w:line="320" w:lineRule="exact"/>
              <w:ind w:right="88" w:firstLine="0" w:firstLineChars="0"/>
              <w:jc w:val="center"/>
              <w:rPr>
                <w:rFonts w:hint="eastAsia"/>
                <w:snapToGrid w:val="0"/>
                <w:kern w:val="0"/>
                <w:sz w:val="21"/>
                <w:szCs w:val="21"/>
              </w:rPr>
            </w:pPr>
            <w:r>
              <w:rPr>
                <w:rFonts w:hint="eastAsia"/>
                <w:snapToGrid w:val="0"/>
                <w:kern w:val="0"/>
                <w:sz w:val="21"/>
                <w:szCs w:val="21"/>
              </w:rPr>
              <w:t>污泥界面仪</w:t>
            </w:r>
          </w:p>
        </w:tc>
        <w:tc>
          <w:tcPr>
            <w:tcW w:w="349" w:type="pct"/>
            <w:noWrap w:val="0"/>
            <w:vAlign w:val="center"/>
          </w:tcPr>
          <w:p>
            <w:pPr>
              <w:spacing w:before="1" w:line="320" w:lineRule="exact"/>
              <w:ind w:right="88" w:firstLine="0" w:firstLineChars="0"/>
              <w:jc w:val="center"/>
              <w:rPr>
                <w:rFonts w:hint="eastAsia" w:eastAsia="宋体"/>
                <w:sz w:val="21"/>
                <w:lang w:eastAsia="zh-CN"/>
              </w:rPr>
            </w:pPr>
            <w:r>
              <w:rPr>
                <w:rFonts w:hint="eastAsia"/>
                <w:sz w:val="21"/>
                <w:lang w:eastAsia="zh-CN"/>
              </w:rPr>
              <w:t>套</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1</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1</w:t>
            </w:r>
          </w:p>
        </w:tc>
        <w:tc>
          <w:tcPr>
            <w:tcW w:w="573" w:type="pct"/>
            <w:noWrap w:val="0"/>
            <w:vAlign w:val="center"/>
          </w:tcPr>
          <w:p>
            <w:pPr>
              <w:adjustRightInd w:val="0"/>
              <w:snapToGrid w:val="0"/>
              <w:spacing w:line="320" w:lineRule="exact"/>
              <w:ind w:firstLine="0" w:firstLineChars="0"/>
              <w:jc w:val="center"/>
              <w:rPr>
                <w:rFonts w:hint="eastAsia" w:ascii="Times New Roman" w:hAnsi="Times New Roman"/>
                <w:snapToGrid w:val="0"/>
                <w:kern w:val="0"/>
                <w:sz w:val="21"/>
                <w:szCs w:val="21"/>
                <w:lang w:val="en-US" w:eastAsia="zh-CN" w:bidi="ar-SA"/>
              </w:rPr>
            </w:pPr>
            <w:r>
              <w:rPr>
                <w:snapToGrid w:val="0"/>
                <w:kern w:val="0"/>
                <w:sz w:val="21"/>
                <w:szCs w:val="21"/>
              </w:rPr>
              <w:t>无</w:t>
            </w:r>
          </w:p>
        </w:tc>
        <w:tc>
          <w:tcPr>
            <w:tcW w:w="812" w:type="pct"/>
            <w:gridSpan w:val="2"/>
            <w:vMerge w:val="continue"/>
            <w:noWrap w:val="0"/>
            <w:vAlign w:val="center"/>
          </w:tcPr>
          <w:p>
            <w:pPr>
              <w:adjustRightInd w:val="0"/>
              <w:snapToGrid w:val="0"/>
              <w:spacing w:line="320" w:lineRule="exact"/>
              <w:ind w:firstLine="0" w:firstLineChars="0"/>
              <w:jc w:val="center"/>
              <w:rPr>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72" w:hRule="atLeast"/>
          <w:jc w:val="center"/>
        </w:trPr>
        <w:tc>
          <w:tcPr>
            <w:tcW w:w="4996" w:type="pct"/>
            <w:gridSpan w:val="7"/>
            <w:noWrap w:val="0"/>
            <w:vAlign w:val="center"/>
          </w:tcPr>
          <w:p>
            <w:pPr>
              <w:adjustRightInd w:val="0"/>
              <w:snapToGrid w:val="0"/>
              <w:spacing w:line="320" w:lineRule="exact"/>
              <w:ind w:firstLine="0" w:firstLineChars="0"/>
              <w:rPr>
                <w:b/>
                <w:bCs/>
                <w:snapToGrid w:val="0"/>
                <w:kern w:val="0"/>
                <w:sz w:val="21"/>
                <w:szCs w:val="21"/>
              </w:rPr>
            </w:pPr>
            <w:r>
              <w:rPr>
                <w:rFonts w:hint="eastAsia"/>
                <w:b/>
                <w:bCs/>
                <w:snapToGrid w:val="0"/>
                <w:kern w:val="0"/>
                <w:sz w:val="21"/>
                <w:szCs w:val="21"/>
                <w:lang w:eastAsia="zh-CN"/>
              </w:rPr>
              <w:t>五</w:t>
            </w:r>
            <w:r>
              <w:rPr>
                <w:rFonts w:hint="eastAsia"/>
                <w:b/>
                <w:bCs/>
                <w:snapToGrid w:val="0"/>
                <w:kern w:val="0"/>
                <w:sz w:val="21"/>
                <w:szCs w:val="21"/>
              </w:rPr>
              <w:t>、改良A2O池</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snapToGrid w:val="0"/>
                <w:kern w:val="0"/>
                <w:sz w:val="21"/>
                <w:szCs w:val="21"/>
              </w:rPr>
            </w:pPr>
            <w:r>
              <w:rPr>
                <w:rFonts w:hint="eastAsia"/>
                <w:snapToGrid w:val="0"/>
                <w:kern w:val="0"/>
                <w:sz w:val="21"/>
                <w:szCs w:val="21"/>
              </w:rPr>
              <w:t>1</w:t>
            </w:r>
          </w:p>
        </w:tc>
        <w:tc>
          <w:tcPr>
            <w:tcW w:w="1447" w:type="pct"/>
            <w:noWrap w:val="0"/>
            <w:vAlign w:val="center"/>
          </w:tcPr>
          <w:p>
            <w:pPr>
              <w:spacing w:before="1" w:line="320" w:lineRule="exact"/>
              <w:ind w:right="88" w:firstLine="0" w:firstLineChars="0"/>
              <w:jc w:val="center"/>
              <w:rPr>
                <w:snapToGrid w:val="0"/>
                <w:kern w:val="0"/>
                <w:sz w:val="21"/>
                <w:szCs w:val="21"/>
              </w:rPr>
            </w:pPr>
            <w:r>
              <w:rPr>
                <w:rFonts w:hint="eastAsia"/>
                <w:snapToGrid w:val="0"/>
                <w:kern w:val="0"/>
                <w:sz w:val="21"/>
                <w:szCs w:val="21"/>
              </w:rPr>
              <w:t>潜水搅拌机</w:t>
            </w:r>
          </w:p>
        </w:tc>
        <w:tc>
          <w:tcPr>
            <w:tcW w:w="349" w:type="pct"/>
            <w:noWrap w:val="0"/>
            <w:vAlign w:val="center"/>
          </w:tcPr>
          <w:p>
            <w:pPr>
              <w:spacing w:before="1" w:line="320" w:lineRule="exact"/>
              <w:ind w:right="88" w:firstLine="0" w:firstLineChars="0"/>
              <w:jc w:val="center"/>
              <w:rPr>
                <w:sz w:val="21"/>
              </w:rPr>
            </w:pPr>
            <w:r>
              <w:rPr>
                <w:sz w:val="21"/>
              </w:rPr>
              <w:t>台</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3</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3</w:t>
            </w:r>
          </w:p>
        </w:tc>
        <w:tc>
          <w:tcPr>
            <w:tcW w:w="573" w:type="pct"/>
            <w:noWrap w:val="0"/>
            <w:vAlign w:val="center"/>
          </w:tcPr>
          <w:p>
            <w:pPr>
              <w:adjustRightInd w:val="0"/>
              <w:snapToGrid w:val="0"/>
              <w:spacing w:line="320" w:lineRule="exact"/>
              <w:ind w:firstLine="0" w:firstLineChars="0"/>
              <w:jc w:val="center"/>
              <w:rPr>
                <w:rFonts w:ascii="Times New Roman" w:hAnsi="Times New Roman"/>
                <w:snapToGrid w:val="0"/>
                <w:kern w:val="0"/>
                <w:sz w:val="21"/>
                <w:szCs w:val="21"/>
                <w:lang w:val="en-US" w:eastAsia="zh-CN" w:bidi="ar-SA"/>
              </w:rPr>
            </w:pPr>
            <w:r>
              <w:rPr>
                <w:snapToGrid w:val="0"/>
                <w:kern w:val="0"/>
                <w:sz w:val="21"/>
                <w:szCs w:val="21"/>
              </w:rPr>
              <w:t>无</w:t>
            </w:r>
          </w:p>
        </w:tc>
        <w:tc>
          <w:tcPr>
            <w:tcW w:w="812" w:type="pct"/>
            <w:gridSpan w:val="2"/>
            <w:vMerge w:val="restart"/>
            <w:noWrap w:val="0"/>
            <w:vAlign w:val="center"/>
          </w:tcPr>
          <w:p>
            <w:pPr>
              <w:adjustRightInd w:val="0"/>
              <w:snapToGrid w:val="0"/>
              <w:spacing w:line="320" w:lineRule="exact"/>
              <w:ind w:firstLine="0" w:firstLineChars="0"/>
              <w:jc w:val="center"/>
              <w:rPr>
                <w:rFonts w:hint="eastAsia"/>
                <w:snapToGrid w:val="0"/>
                <w:kern w:val="0"/>
                <w:sz w:val="21"/>
                <w:szCs w:val="21"/>
              </w:rPr>
            </w:pPr>
            <w:r>
              <w:rPr>
                <w:rFonts w:hint="eastAsia"/>
                <w:snapToGrid w:val="0"/>
                <w:kern w:val="0"/>
                <w:sz w:val="21"/>
                <w:szCs w:val="21"/>
                <w:lang w:eastAsia="zh-CN"/>
              </w:rPr>
              <w:t>仅安装一期</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snapToGrid w:val="0"/>
                <w:kern w:val="0"/>
                <w:sz w:val="21"/>
                <w:szCs w:val="21"/>
              </w:rPr>
            </w:pPr>
            <w:r>
              <w:rPr>
                <w:rFonts w:hint="eastAsia"/>
                <w:snapToGrid w:val="0"/>
                <w:kern w:val="0"/>
                <w:sz w:val="21"/>
                <w:szCs w:val="21"/>
              </w:rPr>
              <w:t>2</w:t>
            </w:r>
          </w:p>
        </w:tc>
        <w:tc>
          <w:tcPr>
            <w:tcW w:w="1447" w:type="pct"/>
            <w:noWrap w:val="0"/>
            <w:vAlign w:val="center"/>
          </w:tcPr>
          <w:p>
            <w:pPr>
              <w:spacing w:before="1" w:line="320" w:lineRule="exact"/>
              <w:ind w:right="88" w:firstLine="0" w:firstLineChars="0"/>
              <w:jc w:val="center"/>
              <w:rPr>
                <w:snapToGrid w:val="0"/>
                <w:kern w:val="0"/>
                <w:sz w:val="21"/>
                <w:szCs w:val="21"/>
              </w:rPr>
            </w:pPr>
            <w:r>
              <w:rPr>
                <w:rFonts w:hint="eastAsia"/>
                <w:snapToGrid w:val="0"/>
                <w:kern w:val="0"/>
                <w:sz w:val="21"/>
                <w:szCs w:val="21"/>
              </w:rPr>
              <w:t>吸刮泥机</w:t>
            </w:r>
          </w:p>
        </w:tc>
        <w:tc>
          <w:tcPr>
            <w:tcW w:w="349" w:type="pct"/>
            <w:noWrap w:val="0"/>
            <w:vAlign w:val="center"/>
          </w:tcPr>
          <w:p>
            <w:pPr>
              <w:spacing w:before="1" w:line="320" w:lineRule="exact"/>
              <w:ind w:right="88" w:firstLine="0" w:firstLineChars="0"/>
              <w:jc w:val="center"/>
              <w:rPr>
                <w:sz w:val="21"/>
              </w:rPr>
            </w:pPr>
            <w:r>
              <w:rPr>
                <w:rFonts w:hint="eastAsia"/>
                <w:sz w:val="21"/>
                <w:lang w:eastAsia="zh-CN"/>
              </w:rPr>
              <w:t>套</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1</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1</w:t>
            </w:r>
          </w:p>
        </w:tc>
        <w:tc>
          <w:tcPr>
            <w:tcW w:w="573" w:type="pct"/>
            <w:noWrap w:val="0"/>
            <w:vAlign w:val="center"/>
          </w:tcPr>
          <w:p>
            <w:pPr>
              <w:adjustRightInd w:val="0"/>
              <w:snapToGrid w:val="0"/>
              <w:spacing w:line="320" w:lineRule="exact"/>
              <w:ind w:firstLine="0" w:firstLineChars="0"/>
              <w:jc w:val="center"/>
              <w:rPr>
                <w:rFonts w:ascii="Times New Roman" w:hAnsi="Times New Roman"/>
                <w:snapToGrid w:val="0"/>
                <w:kern w:val="0"/>
                <w:sz w:val="21"/>
                <w:szCs w:val="21"/>
                <w:lang w:val="en-US" w:eastAsia="zh-CN" w:bidi="ar-SA"/>
              </w:rPr>
            </w:pPr>
            <w:r>
              <w:rPr>
                <w:snapToGrid w:val="0"/>
                <w:kern w:val="0"/>
                <w:sz w:val="21"/>
                <w:szCs w:val="21"/>
              </w:rPr>
              <w:t>无</w:t>
            </w:r>
          </w:p>
        </w:tc>
        <w:tc>
          <w:tcPr>
            <w:tcW w:w="812" w:type="pct"/>
            <w:gridSpan w:val="2"/>
            <w:vMerge w:val="continue"/>
            <w:noWrap w:val="0"/>
            <w:vAlign w:val="center"/>
          </w:tcPr>
          <w:p>
            <w:pPr>
              <w:adjustRightInd w:val="0"/>
              <w:snapToGrid w:val="0"/>
              <w:spacing w:line="320" w:lineRule="exact"/>
              <w:ind w:firstLine="0" w:firstLineChars="0"/>
              <w:jc w:val="center"/>
              <w:rPr>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trHeight w:val="472" w:hRule="atLeast"/>
          <w:jc w:val="center"/>
        </w:trPr>
        <w:tc>
          <w:tcPr>
            <w:tcW w:w="394" w:type="pct"/>
            <w:noWrap w:val="0"/>
            <w:vAlign w:val="center"/>
          </w:tcPr>
          <w:p>
            <w:pPr>
              <w:adjustRightInd w:val="0"/>
              <w:snapToGrid w:val="0"/>
              <w:spacing w:line="320" w:lineRule="exact"/>
              <w:ind w:firstLine="0" w:firstLineChars="0"/>
              <w:jc w:val="center"/>
              <w:rPr>
                <w:snapToGrid w:val="0"/>
                <w:kern w:val="0"/>
                <w:sz w:val="21"/>
                <w:szCs w:val="21"/>
              </w:rPr>
            </w:pPr>
            <w:r>
              <w:rPr>
                <w:rFonts w:hint="eastAsia"/>
                <w:snapToGrid w:val="0"/>
                <w:kern w:val="0"/>
                <w:sz w:val="21"/>
                <w:szCs w:val="21"/>
              </w:rPr>
              <w:t>3</w:t>
            </w:r>
          </w:p>
        </w:tc>
        <w:tc>
          <w:tcPr>
            <w:tcW w:w="1447" w:type="pct"/>
            <w:noWrap w:val="0"/>
            <w:vAlign w:val="center"/>
          </w:tcPr>
          <w:p>
            <w:pPr>
              <w:spacing w:before="1" w:line="320" w:lineRule="exact"/>
              <w:ind w:right="88" w:firstLine="0" w:firstLineChars="0"/>
              <w:jc w:val="center"/>
              <w:rPr>
                <w:snapToGrid w:val="0"/>
                <w:kern w:val="0"/>
                <w:sz w:val="21"/>
                <w:szCs w:val="21"/>
              </w:rPr>
            </w:pPr>
            <w:r>
              <w:rPr>
                <w:rFonts w:hint="eastAsia"/>
                <w:snapToGrid w:val="0"/>
                <w:kern w:val="0"/>
                <w:sz w:val="21"/>
                <w:szCs w:val="21"/>
              </w:rPr>
              <w:t>剩余污泥泵</w:t>
            </w:r>
          </w:p>
        </w:tc>
        <w:tc>
          <w:tcPr>
            <w:tcW w:w="349" w:type="pct"/>
            <w:noWrap w:val="0"/>
            <w:vAlign w:val="center"/>
          </w:tcPr>
          <w:p>
            <w:pPr>
              <w:spacing w:before="1" w:line="320" w:lineRule="exact"/>
              <w:ind w:right="88" w:firstLine="0" w:firstLineChars="0"/>
              <w:jc w:val="center"/>
              <w:rPr>
                <w:rFonts w:hint="eastAsia" w:eastAsia="宋体"/>
                <w:sz w:val="21"/>
                <w:lang w:eastAsia="zh-CN"/>
              </w:rPr>
            </w:pPr>
            <w:r>
              <w:rPr>
                <w:rFonts w:hint="eastAsia"/>
                <w:sz w:val="21"/>
                <w:lang w:eastAsia="zh-CN"/>
              </w:rPr>
              <w:t>台</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2</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2</w:t>
            </w:r>
          </w:p>
        </w:tc>
        <w:tc>
          <w:tcPr>
            <w:tcW w:w="573" w:type="pct"/>
            <w:noWrap w:val="0"/>
            <w:vAlign w:val="center"/>
          </w:tcPr>
          <w:p>
            <w:pPr>
              <w:adjustRightInd w:val="0"/>
              <w:snapToGrid w:val="0"/>
              <w:spacing w:line="320" w:lineRule="exact"/>
              <w:ind w:firstLine="0" w:firstLineChars="0"/>
              <w:jc w:val="center"/>
              <w:rPr>
                <w:rFonts w:ascii="Times New Roman" w:hAnsi="Times New Roman"/>
                <w:snapToGrid w:val="0"/>
                <w:kern w:val="0"/>
                <w:sz w:val="21"/>
                <w:szCs w:val="21"/>
                <w:lang w:val="en-US" w:eastAsia="zh-CN" w:bidi="ar-SA"/>
              </w:rPr>
            </w:pPr>
            <w:r>
              <w:rPr>
                <w:snapToGrid w:val="0"/>
                <w:kern w:val="0"/>
                <w:sz w:val="21"/>
                <w:szCs w:val="21"/>
              </w:rPr>
              <w:t>无</w:t>
            </w:r>
          </w:p>
        </w:tc>
        <w:tc>
          <w:tcPr>
            <w:tcW w:w="812" w:type="pct"/>
            <w:gridSpan w:val="2"/>
            <w:vMerge w:val="continue"/>
            <w:noWrap w:val="0"/>
            <w:vAlign w:val="center"/>
          </w:tcPr>
          <w:p>
            <w:pPr>
              <w:adjustRightInd w:val="0"/>
              <w:snapToGrid w:val="0"/>
              <w:spacing w:line="320" w:lineRule="exact"/>
              <w:ind w:firstLine="0" w:firstLineChars="0"/>
              <w:jc w:val="center"/>
              <w:rPr>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4</w:t>
            </w:r>
          </w:p>
        </w:tc>
        <w:tc>
          <w:tcPr>
            <w:tcW w:w="1447" w:type="pct"/>
            <w:noWrap w:val="0"/>
            <w:vAlign w:val="center"/>
          </w:tcPr>
          <w:p>
            <w:pPr>
              <w:spacing w:before="1" w:line="320" w:lineRule="exact"/>
              <w:ind w:right="88" w:firstLine="0" w:firstLineChars="0"/>
              <w:jc w:val="center"/>
              <w:rPr>
                <w:rFonts w:hint="eastAsia"/>
                <w:snapToGrid w:val="0"/>
                <w:kern w:val="0"/>
                <w:sz w:val="21"/>
                <w:szCs w:val="21"/>
              </w:rPr>
            </w:pPr>
            <w:r>
              <w:rPr>
                <w:rFonts w:hint="eastAsia"/>
                <w:snapToGrid w:val="0"/>
                <w:kern w:val="0"/>
                <w:sz w:val="21"/>
                <w:szCs w:val="21"/>
              </w:rPr>
              <w:t>空气提推器</w:t>
            </w:r>
          </w:p>
        </w:tc>
        <w:tc>
          <w:tcPr>
            <w:tcW w:w="349" w:type="pct"/>
            <w:noWrap w:val="0"/>
            <w:vAlign w:val="center"/>
          </w:tcPr>
          <w:p>
            <w:pPr>
              <w:spacing w:before="1" w:line="320" w:lineRule="exact"/>
              <w:ind w:right="88" w:firstLine="0" w:firstLineChars="0"/>
              <w:jc w:val="center"/>
              <w:rPr>
                <w:rFonts w:hint="eastAsia" w:eastAsia="宋体"/>
                <w:sz w:val="21"/>
                <w:lang w:eastAsia="zh-CN"/>
              </w:rPr>
            </w:pPr>
            <w:r>
              <w:rPr>
                <w:rFonts w:hint="eastAsia"/>
                <w:sz w:val="21"/>
                <w:lang w:eastAsia="zh-CN"/>
              </w:rPr>
              <w:t>套</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1</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1</w:t>
            </w:r>
          </w:p>
        </w:tc>
        <w:tc>
          <w:tcPr>
            <w:tcW w:w="573" w:type="pct"/>
            <w:noWrap w:val="0"/>
            <w:vAlign w:val="center"/>
          </w:tcPr>
          <w:p>
            <w:pPr>
              <w:adjustRightInd w:val="0"/>
              <w:snapToGrid w:val="0"/>
              <w:spacing w:line="320" w:lineRule="exact"/>
              <w:ind w:firstLine="0" w:firstLineChars="0"/>
              <w:jc w:val="center"/>
              <w:rPr>
                <w:rFonts w:hint="eastAsia" w:ascii="Times New Roman" w:hAnsi="Times New Roman"/>
                <w:snapToGrid w:val="0"/>
                <w:kern w:val="0"/>
                <w:sz w:val="21"/>
                <w:szCs w:val="21"/>
                <w:lang w:val="en-US" w:eastAsia="zh-CN" w:bidi="ar-SA"/>
              </w:rPr>
            </w:pPr>
            <w:r>
              <w:rPr>
                <w:snapToGrid w:val="0"/>
                <w:kern w:val="0"/>
                <w:sz w:val="21"/>
                <w:szCs w:val="21"/>
              </w:rPr>
              <w:t>无</w:t>
            </w:r>
          </w:p>
        </w:tc>
        <w:tc>
          <w:tcPr>
            <w:tcW w:w="812" w:type="pct"/>
            <w:gridSpan w:val="2"/>
            <w:vMerge w:val="continue"/>
            <w:noWrap w:val="0"/>
            <w:vAlign w:val="center"/>
          </w:tcPr>
          <w:p>
            <w:pPr>
              <w:adjustRightInd w:val="0"/>
              <w:snapToGrid w:val="0"/>
              <w:spacing w:line="320" w:lineRule="exact"/>
              <w:ind w:firstLine="0" w:firstLineChars="0"/>
              <w:jc w:val="center"/>
              <w:rPr>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5</w:t>
            </w:r>
          </w:p>
        </w:tc>
        <w:tc>
          <w:tcPr>
            <w:tcW w:w="1447" w:type="pct"/>
            <w:noWrap w:val="0"/>
            <w:vAlign w:val="center"/>
          </w:tcPr>
          <w:p>
            <w:pPr>
              <w:spacing w:before="1" w:line="320" w:lineRule="exact"/>
              <w:ind w:right="88" w:firstLine="0" w:firstLineChars="0"/>
              <w:jc w:val="center"/>
              <w:rPr>
                <w:rFonts w:hint="eastAsia"/>
                <w:snapToGrid w:val="0"/>
                <w:kern w:val="0"/>
                <w:sz w:val="21"/>
                <w:szCs w:val="21"/>
              </w:rPr>
            </w:pPr>
            <w:r>
              <w:rPr>
                <w:rFonts w:hint="eastAsia"/>
                <w:snapToGrid w:val="0"/>
                <w:kern w:val="0"/>
                <w:sz w:val="21"/>
                <w:szCs w:val="21"/>
              </w:rPr>
              <w:t>微孔曝气管</w:t>
            </w:r>
          </w:p>
        </w:tc>
        <w:tc>
          <w:tcPr>
            <w:tcW w:w="349" w:type="pct"/>
            <w:noWrap w:val="0"/>
            <w:vAlign w:val="center"/>
          </w:tcPr>
          <w:p>
            <w:pPr>
              <w:spacing w:before="1" w:line="320" w:lineRule="exact"/>
              <w:ind w:right="88" w:firstLine="0" w:firstLineChars="0"/>
              <w:jc w:val="center"/>
              <w:rPr>
                <w:rFonts w:hint="eastAsia" w:eastAsia="宋体"/>
                <w:sz w:val="21"/>
                <w:lang w:eastAsia="zh-CN"/>
              </w:rPr>
            </w:pPr>
            <w:r>
              <w:rPr>
                <w:rFonts w:hint="eastAsia"/>
                <w:sz w:val="21"/>
                <w:lang w:eastAsia="zh-CN"/>
              </w:rPr>
              <w:t>米</w:t>
            </w:r>
          </w:p>
        </w:tc>
        <w:tc>
          <w:tcPr>
            <w:tcW w:w="843" w:type="pct"/>
            <w:noWrap w:val="0"/>
            <w:vAlign w:val="center"/>
          </w:tcPr>
          <w:p>
            <w:pPr>
              <w:spacing w:before="1" w:line="320" w:lineRule="exact"/>
              <w:ind w:right="88" w:firstLine="0" w:firstLineChars="0"/>
              <w:jc w:val="center"/>
              <w:rPr>
                <w:rFonts w:hint="default" w:eastAsia="宋体"/>
                <w:snapToGrid w:val="0"/>
                <w:kern w:val="0"/>
                <w:sz w:val="21"/>
                <w:szCs w:val="21"/>
                <w:lang w:val="en-US" w:eastAsia="zh-CN"/>
              </w:rPr>
            </w:pPr>
            <w:r>
              <w:rPr>
                <w:rFonts w:hint="eastAsia"/>
                <w:snapToGrid w:val="0"/>
                <w:kern w:val="0"/>
                <w:sz w:val="21"/>
                <w:szCs w:val="21"/>
                <w:lang w:val="en-US" w:eastAsia="zh-CN"/>
              </w:rPr>
              <w:t>259</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259</w:t>
            </w:r>
          </w:p>
        </w:tc>
        <w:tc>
          <w:tcPr>
            <w:tcW w:w="573" w:type="pct"/>
            <w:noWrap w:val="0"/>
            <w:vAlign w:val="center"/>
          </w:tcPr>
          <w:p>
            <w:pPr>
              <w:adjustRightInd w:val="0"/>
              <w:snapToGrid w:val="0"/>
              <w:spacing w:line="320" w:lineRule="exact"/>
              <w:ind w:firstLine="0" w:firstLineChars="0"/>
              <w:jc w:val="center"/>
              <w:rPr>
                <w:rFonts w:hint="eastAsia" w:ascii="Times New Roman" w:hAnsi="Times New Roman"/>
                <w:snapToGrid w:val="0"/>
                <w:kern w:val="0"/>
                <w:sz w:val="21"/>
                <w:szCs w:val="21"/>
                <w:lang w:val="en-US" w:eastAsia="zh-CN" w:bidi="ar-SA"/>
              </w:rPr>
            </w:pPr>
            <w:r>
              <w:rPr>
                <w:snapToGrid w:val="0"/>
                <w:kern w:val="0"/>
                <w:sz w:val="21"/>
                <w:szCs w:val="21"/>
              </w:rPr>
              <w:t>无</w:t>
            </w:r>
          </w:p>
        </w:tc>
        <w:tc>
          <w:tcPr>
            <w:tcW w:w="812" w:type="pct"/>
            <w:gridSpan w:val="2"/>
            <w:vMerge w:val="continue"/>
            <w:noWrap w:val="0"/>
            <w:vAlign w:val="center"/>
          </w:tcPr>
          <w:p>
            <w:pPr>
              <w:adjustRightInd w:val="0"/>
              <w:snapToGrid w:val="0"/>
              <w:spacing w:line="320" w:lineRule="exact"/>
              <w:ind w:firstLine="0" w:firstLineChars="0"/>
              <w:jc w:val="center"/>
              <w:rPr>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5000" w:type="pct"/>
            <w:gridSpan w:val="8"/>
            <w:noWrap w:val="0"/>
            <w:vAlign w:val="center"/>
          </w:tcPr>
          <w:p>
            <w:pPr>
              <w:adjustRightInd w:val="0"/>
              <w:snapToGrid w:val="0"/>
              <w:spacing w:line="320" w:lineRule="exact"/>
              <w:ind w:firstLine="0" w:firstLineChars="0"/>
              <w:rPr>
                <w:b/>
                <w:bCs/>
                <w:snapToGrid w:val="0"/>
                <w:kern w:val="0"/>
                <w:sz w:val="21"/>
                <w:szCs w:val="21"/>
              </w:rPr>
            </w:pPr>
            <w:r>
              <w:rPr>
                <w:rFonts w:hint="eastAsia"/>
                <w:b/>
                <w:bCs/>
                <w:snapToGrid w:val="0"/>
                <w:kern w:val="0"/>
                <w:sz w:val="21"/>
                <w:szCs w:val="21"/>
                <w:lang w:eastAsia="zh-CN"/>
              </w:rPr>
              <w:t>六、</w:t>
            </w:r>
            <w:r>
              <w:rPr>
                <w:rFonts w:hint="eastAsia"/>
                <w:b/>
                <w:bCs/>
                <w:snapToGrid w:val="0"/>
                <w:kern w:val="0"/>
                <w:sz w:val="21"/>
                <w:szCs w:val="21"/>
              </w:rPr>
              <w:t>高效沉淀池</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snapToGrid w:val="0"/>
                <w:kern w:val="0"/>
                <w:sz w:val="21"/>
                <w:szCs w:val="21"/>
              </w:rPr>
            </w:pPr>
            <w:r>
              <w:rPr>
                <w:rFonts w:hint="eastAsia"/>
                <w:snapToGrid w:val="0"/>
                <w:kern w:val="0"/>
                <w:sz w:val="21"/>
                <w:szCs w:val="21"/>
              </w:rPr>
              <w:t>1</w:t>
            </w:r>
          </w:p>
        </w:tc>
        <w:tc>
          <w:tcPr>
            <w:tcW w:w="1447" w:type="pct"/>
            <w:noWrap w:val="0"/>
            <w:vAlign w:val="center"/>
          </w:tcPr>
          <w:p>
            <w:pPr>
              <w:spacing w:before="1" w:line="320" w:lineRule="exact"/>
              <w:ind w:right="88" w:firstLine="0" w:firstLineChars="0"/>
              <w:jc w:val="center"/>
              <w:rPr>
                <w:snapToGrid w:val="0"/>
                <w:kern w:val="0"/>
                <w:sz w:val="21"/>
                <w:szCs w:val="21"/>
              </w:rPr>
            </w:pPr>
            <w:r>
              <w:rPr>
                <w:rFonts w:hint="eastAsia"/>
                <w:snapToGrid w:val="0"/>
                <w:kern w:val="0"/>
                <w:sz w:val="21"/>
                <w:szCs w:val="21"/>
              </w:rPr>
              <w:t>快速混合池搅拌器</w:t>
            </w:r>
          </w:p>
        </w:tc>
        <w:tc>
          <w:tcPr>
            <w:tcW w:w="349" w:type="pct"/>
            <w:noWrap w:val="0"/>
            <w:vAlign w:val="center"/>
          </w:tcPr>
          <w:p>
            <w:pPr>
              <w:spacing w:before="1" w:line="320" w:lineRule="exact"/>
              <w:ind w:right="88" w:firstLine="0" w:firstLineChars="0"/>
              <w:jc w:val="center"/>
              <w:rPr>
                <w:sz w:val="21"/>
              </w:rPr>
            </w:pPr>
            <w:r>
              <w:rPr>
                <w:sz w:val="21"/>
              </w:rPr>
              <w:t>台</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1</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1</w:t>
            </w:r>
          </w:p>
        </w:tc>
        <w:tc>
          <w:tcPr>
            <w:tcW w:w="573" w:type="pct"/>
            <w:noWrap w:val="0"/>
            <w:vAlign w:val="center"/>
          </w:tcPr>
          <w:p>
            <w:pPr>
              <w:adjustRightInd w:val="0"/>
              <w:snapToGrid w:val="0"/>
              <w:spacing w:line="320" w:lineRule="exact"/>
              <w:ind w:firstLine="0" w:firstLineChars="0"/>
              <w:jc w:val="center"/>
              <w:rPr>
                <w:rFonts w:ascii="Times New Roman" w:hAnsi="Times New Roman"/>
                <w:snapToGrid w:val="0"/>
                <w:kern w:val="0"/>
                <w:sz w:val="21"/>
                <w:szCs w:val="21"/>
                <w:lang w:val="en-US" w:eastAsia="zh-CN" w:bidi="ar-SA"/>
              </w:rPr>
            </w:pPr>
            <w:r>
              <w:rPr>
                <w:snapToGrid w:val="0"/>
                <w:kern w:val="0"/>
                <w:sz w:val="21"/>
                <w:szCs w:val="21"/>
              </w:rPr>
              <w:t>无</w:t>
            </w:r>
          </w:p>
        </w:tc>
        <w:tc>
          <w:tcPr>
            <w:tcW w:w="812" w:type="pct"/>
            <w:gridSpan w:val="2"/>
            <w:vMerge w:val="restart"/>
            <w:noWrap w:val="0"/>
            <w:vAlign w:val="center"/>
          </w:tcPr>
          <w:p>
            <w:pPr>
              <w:adjustRightInd w:val="0"/>
              <w:snapToGrid w:val="0"/>
              <w:spacing w:line="320" w:lineRule="exact"/>
              <w:ind w:firstLine="0" w:firstLineChars="0"/>
              <w:jc w:val="center"/>
              <w:rPr>
                <w:snapToGrid w:val="0"/>
                <w:kern w:val="0"/>
                <w:sz w:val="21"/>
                <w:szCs w:val="21"/>
              </w:rPr>
            </w:pPr>
            <w:r>
              <w:rPr>
                <w:rFonts w:hint="eastAsia"/>
                <w:snapToGrid w:val="0"/>
                <w:kern w:val="0"/>
                <w:sz w:val="21"/>
                <w:szCs w:val="21"/>
                <w:lang w:eastAsia="zh-CN"/>
              </w:rPr>
              <w:t>仅安装一期</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2</w:t>
            </w:r>
          </w:p>
        </w:tc>
        <w:tc>
          <w:tcPr>
            <w:tcW w:w="1447" w:type="pct"/>
            <w:noWrap w:val="0"/>
            <w:vAlign w:val="center"/>
          </w:tcPr>
          <w:p>
            <w:pPr>
              <w:spacing w:before="1" w:line="320" w:lineRule="exact"/>
              <w:ind w:right="88" w:firstLine="0" w:firstLineChars="0"/>
              <w:jc w:val="center"/>
              <w:rPr>
                <w:rFonts w:hint="eastAsia" w:ascii="Times New Roman" w:hAnsi="Times New Roman" w:eastAsia="宋体" w:cs="Times New Roman"/>
                <w:snapToGrid w:val="0"/>
                <w:kern w:val="0"/>
                <w:sz w:val="21"/>
                <w:szCs w:val="21"/>
              </w:rPr>
            </w:pPr>
            <w:r>
              <w:rPr>
                <w:rFonts w:hint="eastAsia" w:ascii="Times New Roman" w:hAnsi="Times New Roman" w:eastAsia="宋体" w:cs="Times New Roman"/>
                <w:snapToGrid w:val="0"/>
                <w:kern w:val="0"/>
                <w:sz w:val="21"/>
                <w:szCs w:val="21"/>
                <w:lang w:val="en-US" w:eastAsia="zh-CN"/>
              </w:rPr>
              <w:t>絮凝反应池搅拌器</w:t>
            </w:r>
          </w:p>
        </w:tc>
        <w:tc>
          <w:tcPr>
            <w:tcW w:w="349" w:type="pct"/>
            <w:noWrap w:val="0"/>
            <w:vAlign w:val="center"/>
          </w:tcPr>
          <w:p>
            <w:pPr>
              <w:spacing w:before="1" w:line="320" w:lineRule="exact"/>
              <w:ind w:right="88" w:rightChars="0" w:firstLine="0" w:firstLineChars="0"/>
              <w:jc w:val="center"/>
              <w:rPr>
                <w:rFonts w:ascii="Times New Roman" w:hAnsi="Times New Roman"/>
                <w:kern w:val="2"/>
                <w:sz w:val="21"/>
                <w:szCs w:val="22"/>
                <w:lang w:val="en-US" w:eastAsia="zh-CN" w:bidi="ar-SA"/>
              </w:rPr>
            </w:pPr>
            <w:r>
              <w:rPr>
                <w:sz w:val="21"/>
              </w:rPr>
              <w:t>台</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1</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1</w:t>
            </w:r>
          </w:p>
        </w:tc>
        <w:tc>
          <w:tcPr>
            <w:tcW w:w="573" w:type="pct"/>
            <w:noWrap w:val="0"/>
            <w:vAlign w:val="center"/>
          </w:tcPr>
          <w:p>
            <w:pPr>
              <w:adjustRightInd w:val="0"/>
              <w:snapToGrid w:val="0"/>
              <w:spacing w:line="320" w:lineRule="exact"/>
              <w:ind w:firstLine="0" w:firstLineChars="0"/>
              <w:jc w:val="center"/>
              <w:rPr>
                <w:rFonts w:ascii="Times New Roman" w:hAnsi="Times New Roman"/>
                <w:snapToGrid w:val="0"/>
                <w:kern w:val="0"/>
                <w:sz w:val="21"/>
                <w:szCs w:val="21"/>
                <w:lang w:val="en-US" w:eastAsia="zh-CN" w:bidi="ar-SA"/>
              </w:rPr>
            </w:pPr>
            <w:r>
              <w:rPr>
                <w:snapToGrid w:val="0"/>
                <w:kern w:val="0"/>
                <w:sz w:val="21"/>
                <w:szCs w:val="21"/>
              </w:rPr>
              <w:t>无</w:t>
            </w:r>
          </w:p>
        </w:tc>
        <w:tc>
          <w:tcPr>
            <w:tcW w:w="812" w:type="pct"/>
            <w:gridSpan w:val="2"/>
            <w:vMerge w:val="continue"/>
            <w:noWrap w:val="0"/>
            <w:vAlign w:val="center"/>
          </w:tcPr>
          <w:p>
            <w:pPr>
              <w:adjustRightInd w:val="0"/>
              <w:snapToGrid w:val="0"/>
              <w:spacing w:line="320" w:lineRule="exact"/>
              <w:ind w:firstLine="0" w:firstLineChars="0"/>
              <w:jc w:val="center"/>
              <w:rPr>
                <w:rFonts w:hint="eastAsia"/>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3</w:t>
            </w:r>
          </w:p>
        </w:tc>
        <w:tc>
          <w:tcPr>
            <w:tcW w:w="1447" w:type="pct"/>
            <w:noWrap w:val="0"/>
            <w:vAlign w:val="center"/>
          </w:tcPr>
          <w:p>
            <w:pPr>
              <w:spacing w:before="1" w:line="320" w:lineRule="exact"/>
              <w:ind w:right="88" w:firstLine="0" w:firstLineChars="0"/>
              <w:jc w:val="center"/>
              <w:rPr>
                <w:rFonts w:hint="eastAsia" w:ascii="Times New Roman" w:hAnsi="Times New Roman" w:eastAsia="宋体" w:cs="Times New Roman"/>
                <w:snapToGrid w:val="0"/>
                <w:kern w:val="0"/>
                <w:sz w:val="21"/>
                <w:szCs w:val="21"/>
              </w:rPr>
            </w:pPr>
            <w:r>
              <w:rPr>
                <w:rFonts w:hint="eastAsia" w:ascii="Times New Roman" w:hAnsi="Times New Roman" w:eastAsia="宋体" w:cs="Times New Roman"/>
                <w:snapToGrid w:val="0"/>
                <w:kern w:val="0"/>
                <w:sz w:val="21"/>
                <w:szCs w:val="21"/>
                <w:lang w:val="en-US" w:eastAsia="zh-CN"/>
              </w:rPr>
              <w:t>高效浓缩刮泥机</w:t>
            </w:r>
          </w:p>
        </w:tc>
        <w:tc>
          <w:tcPr>
            <w:tcW w:w="349" w:type="pct"/>
            <w:noWrap w:val="0"/>
            <w:vAlign w:val="center"/>
          </w:tcPr>
          <w:p>
            <w:pPr>
              <w:spacing w:before="1" w:line="320" w:lineRule="exact"/>
              <w:ind w:right="88" w:rightChars="0" w:firstLine="0" w:firstLineChars="0"/>
              <w:jc w:val="center"/>
              <w:rPr>
                <w:rFonts w:ascii="Times New Roman" w:hAnsi="Times New Roman"/>
                <w:kern w:val="2"/>
                <w:sz w:val="21"/>
                <w:szCs w:val="22"/>
                <w:lang w:val="en-US" w:eastAsia="zh-CN" w:bidi="ar-SA"/>
              </w:rPr>
            </w:pPr>
            <w:r>
              <w:rPr>
                <w:rFonts w:hint="eastAsia"/>
                <w:sz w:val="21"/>
                <w:lang w:eastAsia="zh-CN"/>
              </w:rPr>
              <w:t>套</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1</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1</w:t>
            </w:r>
          </w:p>
        </w:tc>
        <w:tc>
          <w:tcPr>
            <w:tcW w:w="573" w:type="pct"/>
            <w:noWrap w:val="0"/>
            <w:vAlign w:val="center"/>
          </w:tcPr>
          <w:p>
            <w:pPr>
              <w:adjustRightInd w:val="0"/>
              <w:snapToGrid w:val="0"/>
              <w:spacing w:line="320" w:lineRule="exact"/>
              <w:ind w:firstLine="0" w:firstLineChars="0"/>
              <w:jc w:val="center"/>
              <w:rPr>
                <w:snapToGrid w:val="0"/>
                <w:kern w:val="0"/>
                <w:sz w:val="21"/>
                <w:szCs w:val="21"/>
              </w:rPr>
            </w:pPr>
            <w:r>
              <w:rPr>
                <w:snapToGrid w:val="0"/>
                <w:kern w:val="0"/>
                <w:sz w:val="21"/>
                <w:szCs w:val="21"/>
              </w:rPr>
              <w:t>无</w:t>
            </w:r>
          </w:p>
        </w:tc>
        <w:tc>
          <w:tcPr>
            <w:tcW w:w="812" w:type="pct"/>
            <w:gridSpan w:val="2"/>
            <w:vMerge w:val="continue"/>
            <w:noWrap w:val="0"/>
            <w:vAlign w:val="center"/>
          </w:tcPr>
          <w:p>
            <w:pPr>
              <w:adjustRightInd w:val="0"/>
              <w:snapToGrid w:val="0"/>
              <w:spacing w:line="320" w:lineRule="exact"/>
              <w:ind w:firstLine="0" w:firstLineChars="0"/>
              <w:jc w:val="center"/>
              <w:rPr>
                <w:rFonts w:hint="eastAsia"/>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4</w:t>
            </w:r>
          </w:p>
        </w:tc>
        <w:tc>
          <w:tcPr>
            <w:tcW w:w="1447" w:type="pct"/>
            <w:noWrap w:val="0"/>
            <w:vAlign w:val="center"/>
          </w:tcPr>
          <w:p>
            <w:pPr>
              <w:spacing w:before="1" w:line="320" w:lineRule="exact"/>
              <w:ind w:right="88" w:firstLine="0" w:firstLineChars="0"/>
              <w:jc w:val="center"/>
              <w:rPr>
                <w:rFonts w:hint="eastAsia" w:ascii="Times New Roman" w:hAnsi="Times New Roman" w:eastAsia="宋体" w:cs="Times New Roman"/>
                <w:snapToGrid w:val="0"/>
                <w:kern w:val="0"/>
                <w:sz w:val="21"/>
                <w:szCs w:val="21"/>
              </w:rPr>
            </w:pPr>
            <w:r>
              <w:rPr>
                <w:rFonts w:hint="eastAsia" w:ascii="Times New Roman" w:hAnsi="Times New Roman" w:eastAsia="宋体" w:cs="Times New Roman"/>
                <w:snapToGrid w:val="0"/>
                <w:kern w:val="0"/>
                <w:sz w:val="21"/>
                <w:szCs w:val="21"/>
                <w:lang w:val="en-US" w:eastAsia="zh-CN"/>
              </w:rPr>
              <w:t>出水集水槽</w:t>
            </w:r>
          </w:p>
        </w:tc>
        <w:tc>
          <w:tcPr>
            <w:tcW w:w="349" w:type="pct"/>
            <w:noWrap w:val="0"/>
            <w:vAlign w:val="center"/>
          </w:tcPr>
          <w:p>
            <w:pPr>
              <w:spacing w:before="1" w:line="320" w:lineRule="exact"/>
              <w:ind w:right="88" w:firstLine="0" w:firstLineChars="0"/>
              <w:jc w:val="center"/>
              <w:rPr>
                <w:rFonts w:hint="eastAsia" w:eastAsia="宋体"/>
                <w:sz w:val="21"/>
                <w:lang w:eastAsia="zh-CN"/>
              </w:rPr>
            </w:pPr>
            <w:r>
              <w:rPr>
                <w:rFonts w:hint="eastAsia"/>
                <w:sz w:val="21"/>
                <w:lang w:eastAsia="zh-CN"/>
              </w:rPr>
              <w:t>套</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6</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6</w:t>
            </w:r>
          </w:p>
        </w:tc>
        <w:tc>
          <w:tcPr>
            <w:tcW w:w="573" w:type="pct"/>
            <w:noWrap w:val="0"/>
            <w:vAlign w:val="center"/>
          </w:tcPr>
          <w:p>
            <w:pPr>
              <w:adjustRightInd w:val="0"/>
              <w:snapToGrid w:val="0"/>
              <w:spacing w:line="320" w:lineRule="exact"/>
              <w:ind w:firstLine="0" w:firstLineChars="0"/>
              <w:jc w:val="center"/>
              <w:rPr>
                <w:snapToGrid w:val="0"/>
                <w:kern w:val="0"/>
                <w:sz w:val="21"/>
                <w:szCs w:val="21"/>
              </w:rPr>
            </w:pPr>
            <w:r>
              <w:rPr>
                <w:snapToGrid w:val="0"/>
                <w:kern w:val="0"/>
                <w:sz w:val="21"/>
                <w:szCs w:val="21"/>
              </w:rPr>
              <w:t>无</w:t>
            </w:r>
          </w:p>
        </w:tc>
        <w:tc>
          <w:tcPr>
            <w:tcW w:w="812" w:type="pct"/>
            <w:gridSpan w:val="2"/>
            <w:vMerge w:val="continue"/>
            <w:noWrap w:val="0"/>
            <w:vAlign w:val="center"/>
          </w:tcPr>
          <w:p>
            <w:pPr>
              <w:adjustRightInd w:val="0"/>
              <w:snapToGrid w:val="0"/>
              <w:spacing w:line="320" w:lineRule="exact"/>
              <w:ind w:firstLine="0" w:firstLineChars="0"/>
              <w:jc w:val="center"/>
              <w:rPr>
                <w:rFonts w:hint="eastAsia"/>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5</w:t>
            </w:r>
          </w:p>
        </w:tc>
        <w:tc>
          <w:tcPr>
            <w:tcW w:w="1447" w:type="pct"/>
            <w:noWrap w:val="0"/>
            <w:vAlign w:val="center"/>
          </w:tcPr>
          <w:p>
            <w:pPr>
              <w:spacing w:before="1" w:line="320" w:lineRule="exact"/>
              <w:ind w:right="88" w:firstLine="0" w:firstLineChars="0"/>
              <w:jc w:val="center"/>
              <w:rPr>
                <w:rFonts w:hint="eastAsia" w:ascii="Times New Roman" w:hAnsi="Times New Roman" w:eastAsia="宋体" w:cs="Times New Roman"/>
                <w:snapToGrid w:val="0"/>
                <w:kern w:val="0"/>
                <w:sz w:val="21"/>
                <w:szCs w:val="21"/>
              </w:rPr>
            </w:pPr>
            <w:r>
              <w:rPr>
                <w:rFonts w:hint="eastAsia" w:ascii="Times New Roman" w:hAnsi="Times New Roman" w:eastAsia="宋体" w:cs="Times New Roman"/>
                <w:snapToGrid w:val="0"/>
                <w:kern w:val="0"/>
                <w:sz w:val="21"/>
                <w:szCs w:val="21"/>
                <w:lang w:val="en-US" w:eastAsia="zh-CN"/>
              </w:rPr>
              <w:t>斜管填料</w:t>
            </w:r>
          </w:p>
        </w:tc>
        <w:tc>
          <w:tcPr>
            <w:tcW w:w="349" w:type="pct"/>
            <w:noWrap w:val="0"/>
            <w:vAlign w:val="center"/>
          </w:tcPr>
          <w:p>
            <w:pPr>
              <w:spacing w:before="1" w:line="320" w:lineRule="exact"/>
              <w:ind w:right="88" w:firstLine="0" w:firstLineChars="0"/>
              <w:jc w:val="center"/>
              <w:rPr>
                <w:rFonts w:hint="default" w:eastAsia="宋体"/>
                <w:sz w:val="21"/>
                <w:lang w:val="en-US" w:eastAsia="zh-CN"/>
              </w:rPr>
            </w:pPr>
            <w:r>
              <w:rPr>
                <w:rFonts w:hint="eastAsia"/>
                <w:sz w:val="21"/>
                <w:lang w:val="en-US" w:eastAsia="zh-CN"/>
              </w:rPr>
              <w:t>m3</w:t>
            </w:r>
          </w:p>
        </w:tc>
        <w:tc>
          <w:tcPr>
            <w:tcW w:w="843" w:type="pct"/>
            <w:noWrap w:val="0"/>
            <w:vAlign w:val="center"/>
          </w:tcPr>
          <w:p>
            <w:pPr>
              <w:spacing w:before="1" w:line="320" w:lineRule="exact"/>
              <w:ind w:right="88" w:firstLine="0" w:firstLineChars="0"/>
              <w:jc w:val="center"/>
              <w:rPr>
                <w:rFonts w:hint="default" w:eastAsia="宋体"/>
                <w:snapToGrid w:val="0"/>
                <w:kern w:val="0"/>
                <w:sz w:val="21"/>
                <w:szCs w:val="21"/>
                <w:lang w:val="en-US" w:eastAsia="zh-CN"/>
              </w:rPr>
            </w:pPr>
            <w:r>
              <w:rPr>
                <w:rFonts w:hint="eastAsia"/>
                <w:snapToGrid w:val="0"/>
                <w:kern w:val="0"/>
                <w:sz w:val="21"/>
                <w:szCs w:val="21"/>
                <w:lang w:val="en-US" w:eastAsia="zh-CN"/>
              </w:rPr>
              <w:t>12.5</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12.5</w:t>
            </w:r>
          </w:p>
        </w:tc>
        <w:tc>
          <w:tcPr>
            <w:tcW w:w="573" w:type="pct"/>
            <w:noWrap w:val="0"/>
            <w:vAlign w:val="center"/>
          </w:tcPr>
          <w:p>
            <w:pPr>
              <w:adjustRightInd w:val="0"/>
              <w:snapToGrid w:val="0"/>
              <w:spacing w:line="320" w:lineRule="exact"/>
              <w:ind w:firstLine="0" w:firstLineChars="0"/>
              <w:jc w:val="center"/>
              <w:rPr>
                <w:snapToGrid w:val="0"/>
                <w:kern w:val="0"/>
                <w:sz w:val="21"/>
                <w:szCs w:val="21"/>
              </w:rPr>
            </w:pPr>
            <w:r>
              <w:rPr>
                <w:snapToGrid w:val="0"/>
                <w:kern w:val="0"/>
                <w:sz w:val="21"/>
                <w:szCs w:val="21"/>
              </w:rPr>
              <w:t>无</w:t>
            </w:r>
          </w:p>
        </w:tc>
        <w:tc>
          <w:tcPr>
            <w:tcW w:w="812" w:type="pct"/>
            <w:gridSpan w:val="2"/>
            <w:vMerge w:val="continue"/>
            <w:noWrap w:val="0"/>
            <w:vAlign w:val="center"/>
          </w:tcPr>
          <w:p>
            <w:pPr>
              <w:adjustRightInd w:val="0"/>
              <w:snapToGrid w:val="0"/>
              <w:spacing w:line="320" w:lineRule="exact"/>
              <w:ind w:firstLine="0" w:firstLineChars="0"/>
              <w:jc w:val="center"/>
              <w:rPr>
                <w:rFonts w:hint="eastAsia"/>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6</w:t>
            </w:r>
          </w:p>
        </w:tc>
        <w:tc>
          <w:tcPr>
            <w:tcW w:w="1447" w:type="pct"/>
            <w:noWrap w:val="0"/>
            <w:vAlign w:val="center"/>
          </w:tcPr>
          <w:p>
            <w:pPr>
              <w:spacing w:before="1" w:line="320" w:lineRule="exact"/>
              <w:ind w:right="88" w:firstLine="0" w:firstLineChars="0"/>
              <w:jc w:val="center"/>
              <w:rPr>
                <w:rFonts w:hint="eastAsia" w:ascii="Times New Roman" w:hAnsi="Times New Roman" w:eastAsia="宋体" w:cs="Times New Roman"/>
                <w:snapToGrid w:val="0"/>
                <w:kern w:val="0"/>
                <w:sz w:val="21"/>
                <w:szCs w:val="21"/>
              </w:rPr>
            </w:pPr>
            <w:r>
              <w:rPr>
                <w:rFonts w:hint="eastAsia" w:ascii="Times New Roman" w:hAnsi="Times New Roman" w:eastAsia="宋体" w:cs="Times New Roman"/>
                <w:snapToGrid w:val="0"/>
                <w:kern w:val="0"/>
                <w:sz w:val="21"/>
                <w:szCs w:val="21"/>
                <w:lang w:val="en-US" w:eastAsia="zh-CN"/>
              </w:rPr>
              <w:t>污泥循环泵</w:t>
            </w:r>
          </w:p>
        </w:tc>
        <w:tc>
          <w:tcPr>
            <w:tcW w:w="349" w:type="pct"/>
            <w:noWrap w:val="0"/>
            <w:vAlign w:val="center"/>
          </w:tcPr>
          <w:p>
            <w:pPr>
              <w:spacing w:before="1" w:line="320" w:lineRule="exact"/>
              <w:ind w:right="88" w:rightChars="0" w:firstLine="0" w:firstLineChars="0"/>
              <w:jc w:val="center"/>
              <w:rPr>
                <w:rFonts w:ascii="Times New Roman" w:hAnsi="Times New Roman"/>
                <w:kern w:val="2"/>
                <w:sz w:val="21"/>
                <w:szCs w:val="22"/>
                <w:lang w:val="en-US" w:eastAsia="zh-CN" w:bidi="ar-SA"/>
              </w:rPr>
            </w:pPr>
            <w:r>
              <w:rPr>
                <w:sz w:val="21"/>
              </w:rPr>
              <w:t>台</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4</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4</w:t>
            </w:r>
          </w:p>
        </w:tc>
        <w:tc>
          <w:tcPr>
            <w:tcW w:w="573" w:type="pct"/>
            <w:noWrap w:val="0"/>
            <w:vAlign w:val="center"/>
          </w:tcPr>
          <w:p>
            <w:pPr>
              <w:adjustRightInd w:val="0"/>
              <w:snapToGrid w:val="0"/>
              <w:spacing w:line="320" w:lineRule="exact"/>
              <w:ind w:firstLine="0" w:firstLineChars="0"/>
              <w:jc w:val="center"/>
              <w:rPr>
                <w:snapToGrid w:val="0"/>
                <w:kern w:val="0"/>
                <w:sz w:val="21"/>
                <w:szCs w:val="21"/>
              </w:rPr>
            </w:pPr>
            <w:r>
              <w:rPr>
                <w:snapToGrid w:val="0"/>
                <w:kern w:val="0"/>
                <w:sz w:val="21"/>
                <w:szCs w:val="21"/>
              </w:rPr>
              <w:t>无</w:t>
            </w:r>
          </w:p>
        </w:tc>
        <w:tc>
          <w:tcPr>
            <w:tcW w:w="812" w:type="pct"/>
            <w:gridSpan w:val="2"/>
            <w:vMerge w:val="continue"/>
            <w:noWrap w:val="0"/>
            <w:vAlign w:val="center"/>
          </w:tcPr>
          <w:p>
            <w:pPr>
              <w:adjustRightInd w:val="0"/>
              <w:snapToGrid w:val="0"/>
              <w:spacing w:line="320" w:lineRule="exact"/>
              <w:ind w:firstLine="0" w:firstLineChars="0"/>
              <w:jc w:val="center"/>
              <w:rPr>
                <w:rFonts w:hint="eastAsia"/>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7</w:t>
            </w:r>
          </w:p>
        </w:tc>
        <w:tc>
          <w:tcPr>
            <w:tcW w:w="1447" w:type="pct"/>
            <w:noWrap w:val="0"/>
            <w:vAlign w:val="center"/>
          </w:tcPr>
          <w:p>
            <w:pPr>
              <w:spacing w:before="1" w:line="320" w:lineRule="exact"/>
              <w:ind w:right="88" w:firstLine="0" w:firstLineChars="0"/>
              <w:jc w:val="center"/>
              <w:rPr>
                <w:rFonts w:hint="eastAsia" w:ascii="Times New Roman" w:hAnsi="Times New Roman" w:eastAsia="宋体" w:cs="Times New Roman"/>
                <w:snapToGrid w:val="0"/>
                <w:kern w:val="0"/>
                <w:sz w:val="21"/>
                <w:szCs w:val="21"/>
              </w:rPr>
            </w:pPr>
            <w:r>
              <w:rPr>
                <w:rFonts w:hint="eastAsia" w:ascii="Times New Roman" w:hAnsi="Times New Roman" w:eastAsia="宋体" w:cs="Times New Roman"/>
                <w:snapToGrid w:val="0"/>
                <w:kern w:val="0"/>
                <w:sz w:val="21"/>
                <w:szCs w:val="21"/>
                <w:lang w:val="en-US" w:eastAsia="zh-CN"/>
              </w:rPr>
              <w:t>污泥排放泵</w:t>
            </w:r>
          </w:p>
        </w:tc>
        <w:tc>
          <w:tcPr>
            <w:tcW w:w="349" w:type="pct"/>
            <w:noWrap w:val="0"/>
            <w:vAlign w:val="center"/>
          </w:tcPr>
          <w:p>
            <w:pPr>
              <w:spacing w:before="1" w:line="320" w:lineRule="exact"/>
              <w:ind w:right="88" w:rightChars="0" w:firstLine="0" w:firstLineChars="0"/>
              <w:jc w:val="center"/>
              <w:rPr>
                <w:rFonts w:ascii="Times New Roman" w:hAnsi="Times New Roman"/>
                <w:kern w:val="2"/>
                <w:sz w:val="21"/>
                <w:szCs w:val="22"/>
                <w:lang w:val="en-US" w:eastAsia="zh-CN" w:bidi="ar-SA"/>
              </w:rPr>
            </w:pPr>
            <w:r>
              <w:rPr>
                <w:sz w:val="21"/>
              </w:rPr>
              <w:t>台</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4</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4</w:t>
            </w:r>
          </w:p>
        </w:tc>
        <w:tc>
          <w:tcPr>
            <w:tcW w:w="573" w:type="pct"/>
            <w:noWrap w:val="0"/>
            <w:vAlign w:val="center"/>
          </w:tcPr>
          <w:p>
            <w:pPr>
              <w:adjustRightInd w:val="0"/>
              <w:snapToGrid w:val="0"/>
              <w:spacing w:line="320" w:lineRule="exact"/>
              <w:ind w:firstLine="0" w:firstLineChars="0"/>
              <w:jc w:val="center"/>
              <w:rPr>
                <w:snapToGrid w:val="0"/>
                <w:kern w:val="0"/>
                <w:sz w:val="21"/>
                <w:szCs w:val="21"/>
              </w:rPr>
            </w:pPr>
            <w:r>
              <w:rPr>
                <w:snapToGrid w:val="0"/>
                <w:kern w:val="0"/>
                <w:sz w:val="21"/>
                <w:szCs w:val="21"/>
              </w:rPr>
              <w:t>无</w:t>
            </w:r>
          </w:p>
        </w:tc>
        <w:tc>
          <w:tcPr>
            <w:tcW w:w="812" w:type="pct"/>
            <w:gridSpan w:val="2"/>
            <w:vMerge w:val="continue"/>
            <w:noWrap w:val="0"/>
            <w:vAlign w:val="center"/>
          </w:tcPr>
          <w:p>
            <w:pPr>
              <w:adjustRightInd w:val="0"/>
              <w:snapToGrid w:val="0"/>
              <w:spacing w:line="320" w:lineRule="exact"/>
              <w:ind w:firstLine="0" w:firstLineChars="0"/>
              <w:jc w:val="center"/>
              <w:rPr>
                <w:rFonts w:hint="eastAsia"/>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5000" w:type="pct"/>
            <w:gridSpan w:val="8"/>
            <w:noWrap w:val="0"/>
            <w:vAlign w:val="center"/>
          </w:tcPr>
          <w:p>
            <w:pPr>
              <w:adjustRightInd w:val="0"/>
              <w:snapToGrid w:val="0"/>
              <w:spacing w:line="320" w:lineRule="exact"/>
              <w:ind w:firstLine="0" w:firstLineChars="0"/>
              <w:rPr>
                <w:b/>
                <w:bCs/>
                <w:snapToGrid w:val="0"/>
                <w:kern w:val="0"/>
                <w:sz w:val="21"/>
                <w:szCs w:val="21"/>
              </w:rPr>
            </w:pPr>
            <w:r>
              <w:rPr>
                <w:rFonts w:hint="eastAsia"/>
                <w:b/>
                <w:bCs/>
                <w:snapToGrid w:val="0"/>
                <w:kern w:val="0"/>
                <w:sz w:val="21"/>
                <w:szCs w:val="21"/>
                <w:lang w:eastAsia="zh-CN"/>
              </w:rPr>
              <w:t>七</w:t>
            </w:r>
            <w:r>
              <w:rPr>
                <w:rFonts w:hint="eastAsia"/>
                <w:b/>
                <w:bCs/>
                <w:snapToGrid w:val="0"/>
                <w:kern w:val="0"/>
                <w:sz w:val="21"/>
                <w:szCs w:val="21"/>
              </w:rPr>
              <w:t>、转鼓精密过滤器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snapToGrid w:val="0"/>
                <w:kern w:val="0"/>
                <w:sz w:val="21"/>
                <w:szCs w:val="21"/>
              </w:rPr>
            </w:pPr>
            <w:r>
              <w:rPr>
                <w:rFonts w:hint="eastAsia"/>
                <w:snapToGrid w:val="0"/>
                <w:kern w:val="0"/>
                <w:sz w:val="21"/>
                <w:szCs w:val="21"/>
              </w:rPr>
              <w:t>1</w:t>
            </w:r>
          </w:p>
        </w:tc>
        <w:tc>
          <w:tcPr>
            <w:tcW w:w="1447" w:type="pct"/>
            <w:noWrap w:val="0"/>
            <w:vAlign w:val="center"/>
          </w:tcPr>
          <w:p>
            <w:pPr>
              <w:spacing w:before="1" w:line="320" w:lineRule="exact"/>
              <w:ind w:right="88" w:firstLine="0" w:firstLineChars="0"/>
              <w:jc w:val="center"/>
              <w:rPr>
                <w:snapToGrid w:val="0"/>
                <w:kern w:val="0"/>
                <w:sz w:val="21"/>
                <w:szCs w:val="21"/>
              </w:rPr>
            </w:pPr>
            <w:r>
              <w:rPr>
                <w:rFonts w:hint="eastAsia"/>
                <w:snapToGrid w:val="0"/>
                <w:kern w:val="0"/>
                <w:sz w:val="21"/>
                <w:szCs w:val="21"/>
              </w:rPr>
              <w:t>转鼓精密过滤器</w:t>
            </w:r>
          </w:p>
        </w:tc>
        <w:tc>
          <w:tcPr>
            <w:tcW w:w="349" w:type="pct"/>
            <w:noWrap w:val="0"/>
            <w:vAlign w:val="center"/>
          </w:tcPr>
          <w:p>
            <w:pPr>
              <w:spacing w:before="1" w:line="320" w:lineRule="exact"/>
              <w:ind w:right="88" w:rightChars="0" w:firstLine="0" w:firstLineChars="0"/>
              <w:jc w:val="center"/>
              <w:rPr>
                <w:rFonts w:ascii="Times New Roman" w:hAnsi="Times New Roman"/>
                <w:kern w:val="2"/>
                <w:sz w:val="21"/>
                <w:szCs w:val="22"/>
                <w:lang w:val="en-US" w:eastAsia="zh-CN" w:bidi="ar-SA"/>
              </w:rPr>
            </w:pPr>
            <w:r>
              <w:rPr>
                <w:sz w:val="21"/>
              </w:rPr>
              <w:t>台</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1</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1</w:t>
            </w:r>
          </w:p>
        </w:tc>
        <w:tc>
          <w:tcPr>
            <w:tcW w:w="573" w:type="pct"/>
            <w:noWrap w:val="0"/>
            <w:vAlign w:val="center"/>
          </w:tcPr>
          <w:p>
            <w:pPr>
              <w:pStyle w:val="29"/>
              <w:ind w:firstLine="0" w:firstLineChars="0"/>
              <w:rPr>
                <w:rFonts w:ascii="Times New Roman" w:hAnsi="Times New Roman" w:eastAsia="宋体"/>
                <w:kern w:val="2"/>
                <w:sz w:val="21"/>
                <w:szCs w:val="22"/>
                <w:lang w:val="en-US" w:eastAsia="zh-CN" w:bidi="ar-SA"/>
              </w:rPr>
            </w:pPr>
            <w:r>
              <w:t>无</w:t>
            </w:r>
          </w:p>
        </w:tc>
        <w:tc>
          <w:tcPr>
            <w:tcW w:w="812" w:type="pct"/>
            <w:gridSpan w:val="2"/>
            <w:vMerge w:val="restart"/>
            <w:noWrap w:val="0"/>
            <w:vAlign w:val="center"/>
          </w:tcPr>
          <w:p>
            <w:pPr>
              <w:adjustRightInd w:val="0"/>
              <w:snapToGrid w:val="0"/>
              <w:spacing w:line="320" w:lineRule="exact"/>
              <w:ind w:firstLine="0" w:firstLineChars="0"/>
              <w:jc w:val="center"/>
              <w:rPr>
                <w:rFonts w:hint="eastAsia"/>
                <w:snapToGrid w:val="0"/>
                <w:kern w:val="0"/>
                <w:sz w:val="21"/>
                <w:szCs w:val="21"/>
              </w:rPr>
            </w:pPr>
            <w:r>
              <w:rPr>
                <w:rFonts w:hint="eastAsia"/>
                <w:snapToGrid w:val="0"/>
                <w:kern w:val="0"/>
                <w:sz w:val="21"/>
                <w:szCs w:val="21"/>
              </w:rPr>
              <w:t>两期一次安</w:t>
            </w:r>
          </w:p>
          <w:p>
            <w:pPr>
              <w:adjustRightInd w:val="0"/>
              <w:snapToGrid w:val="0"/>
              <w:spacing w:line="320" w:lineRule="exact"/>
              <w:ind w:firstLine="0" w:firstLineChars="0"/>
              <w:jc w:val="center"/>
              <w:rPr>
                <w:snapToGrid w:val="0"/>
                <w:kern w:val="0"/>
                <w:sz w:val="21"/>
                <w:szCs w:val="21"/>
              </w:rPr>
            </w:pPr>
            <w:r>
              <w:rPr>
                <w:rFonts w:hint="eastAsia"/>
                <w:snapToGrid w:val="0"/>
                <w:kern w:val="0"/>
                <w:sz w:val="21"/>
                <w:szCs w:val="21"/>
              </w:rPr>
              <w:t>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2</w:t>
            </w:r>
          </w:p>
        </w:tc>
        <w:tc>
          <w:tcPr>
            <w:tcW w:w="1447" w:type="pct"/>
            <w:noWrap w:val="0"/>
            <w:vAlign w:val="center"/>
          </w:tcPr>
          <w:p>
            <w:pPr>
              <w:spacing w:before="1" w:line="320" w:lineRule="exact"/>
              <w:ind w:right="88" w:firstLine="0" w:firstLineChars="0"/>
              <w:jc w:val="center"/>
              <w:rPr>
                <w:snapToGrid w:val="0"/>
                <w:kern w:val="0"/>
                <w:sz w:val="21"/>
                <w:szCs w:val="21"/>
              </w:rPr>
            </w:pPr>
            <w:r>
              <w:rPr>
                <w:rFonts w:hint="eastAsia"/>
                <w:snapToGrid w:val="0"/>
                <w:kern w:val="0"/>
                <w:sz w:val="21"/>
                <w:szCs w:val="21"/>
              </w:rPr>
              <w:t>镶铜铸铁圆闸门</w:t>
            </w:r>
          </w:p>
        </w:tc>
        <w:tc>
          <w:tcPr>
            <w:tcW w:w="349" w:type="pct"/>
            <w:noWrap w:val="0"/>
            <w:vAlign w:val="center"/>
          </w:tcPr>
          <w:p>
            <w:pPr>
              <w:spacing w:before="1" w:line="320" w:lineRule="exact"/>
              <w:ind w:right="88" w:rightChars="0" w:firstLine="0" w:firstLineChars="0"/>
              <w:jc w:val="center"/>
              <w:rPr>
                <w:rFonts w:hint="eastAsia" w:ascii="Times New Roman" w:hAnsi="Times New Roman"/>
                <w:kern w:val="2"/>
                <w:sz w:val="21"/>
                <w:szCs w:val="22"/>
                <w:lang w:val="en-US" w:eastAsia="zh-CN" w:bidi="ar-SA"/>
              </w:rPr>
            </w:pPr>
            <w:r>
              <w:rPr>
                <w:rFonts w:hint="eastAsia"/>
                <w:sz w:val="21"/>
                <w:lang w:eastAsia="zh-CN"/>
              </w:rPr>
              <w:t>套</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1</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1</w:t>
            </w:r>
          </w:p>
        </w:tc>
        <w:tc>
          <w:tcPr>
            <w:tcW w:w="573" w:type="pct"/>
            <w:noWrap w:val="0"/>
            <w:vAlign w:val="center"/>
          </w:tcPr>
          <w:p>
            <w:pPr>
              <w:pStyle w:val="29"/>
              <w:ind w:firstLine="0" w:firstLineChars="0"/>
              <w:rPr>
                <w:rFonts w:hint="eastAsia" w:ascii="Times New Roman" w:hAnsi="Times New Roman" w:eastAsia="宋体"/>
                <w:kern w:val="2"/>
                <w:sz w:val="21"/>
                <w:szCs w:val="22"/>
                <w:lang w:val="en-US" w:eastAsia="zh-CN" w:bidi="ar-SA"/>
              </w:rPr>
            </w:pPr>
            <w:r>
              <w:t>无</w:t>
            </w:r>
          </w:p>
        </w:tc>
        <w:tc>
          <w:tcPr>
            <w:tcW w:w="812" w:type="pct"/>
            <w:gridSpan w:val="2"/>
            <w:vMerge w:val="continue"/>
            <w:noWrap w:val="0"/>
            <w:vAlign w:val="center"/>
          </w:tcPr>
          <w:p>
            <w:pPr>
              <w:adjustRightInd w:val="0"/>
              <w:snapToGrid w:val="0"/>
              <w:spacing w:line="320" w:lineRule="exact"/>
              <w:ind w:firstLine="0" w:firstLineChars="0"/>
              <w:jc w:val="center"/>
              <w:rPr>
                <w:rFonts w:hint="eastAsia"/>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5000" w:type="pct"/>
            <w:gridSpan w:val="8"/>
            <w:noWrap w:val="0"/>
            <w:vAlign w:val="center"/>
          </w:tcPr>
          <w:p>
            <w:pPr>
              <w:adjustRightInd w:val="0"/>
              <w:snapToGrid w:val="0"/>
              <w:spacing w:line="320" w:lineRule="exact"/>
              <w:ind w:firstLine="0" w:firstLineChars="0"/>
              <w:rPr>
                <w:b/>
                <w:bCs/>
                <w:snapToGrid w:val="0"/>
                <w:kern w:val="0"/>
                <w:sz w:val="21"/>
                <w:szCs w:val="21"/>
              </w:rPr>
            </w:pPr>
            <w:r>
              <w:rPr>
                <w:rFonts w:hint="eastAsia"/>
                <w:b/>
                <w:bCs/>
                <w:snapToGrid w:val="0"/>
                <w:kern w:val="0"/>
                <w:sz w:val="21"/>
                <w:szCs w:val="21"/>
                <w:lang w:eastAsia="zh-CN"/>
              </w:rPr>
              <w:t>八、</w:t>
            </w:r>
            <w:r>
              <w:rPr>
                <w:rFonts w:hint="eastAsia"/>
                <w:b/>
                <w:bCs/>
                <w:snapToGrid w:val="0"/>
                <w:kern w:val="0"/>
                <w:sz w:val="21"/>
                <w:szCs w:val="21"/>
              </w:rPr>
              <w:t>流量渠</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snapToGrid w:val="0"/>
                <w:kern w:val="0"/>
                <w:sz w:val="21"/>
                <w:szCs w:val="21"/>
              </w:rPr>
            </w:pPr>
            <w:r>
              <w:rPr>
                <w:rFonts w:hint="eastAsia"/>
                <w:snapToGrid w:val="0"/>
                <w:kern w:val="0"/>
                <w:sz w:val="21"/>
                <w:szCs w:val="21"/>
              </w:rPr>
              <w:t>1</w:t>
            </w:r>
          </w:p>
        </w:tc>
        <w:tc>
          <w:tcPr>
            <w:tcW w:w="1447" w:type="pct"/>
            <w:noWrap w:val="0"/>
            <w:vAlign w:val="center"/>
          </w:tcPr>
          <w:p>
            <w:pPr>
              <w:spacing w:before="1" w:line="320" w:lineRule="exact"/>
              <w:ind w:right="88" w:firstLine="0" w:firstLineChars="0"/>
              <w:jc w:val="center"/>
              <w:rPr>
                <w:snapToGrid w:val="0"/>
                <w:kern w:val="0"/>
                <w:sz w:val="21"/>
                <w:szCs w:val="21"/>
              </w:rPr>
            </w:pPr>
            <w:r>
              <w:rPr>
                <w:rFonts w:hint="eastAsia"/>
                <w:snapToGrid w:val="0"/>
                <w:kern w:val="0"/>
                <w:sz w:val="21"/>
                <w:szCs w:val="21"/>
              </w:rPr>
              <w:t>巴歇尔计量槽</w:t>
            </w:r>
          </w:p>
        </w:tc>
        <w:tc>
          <w:tcPr>
            <w:tcW w:w="349" w:type="pct"/>
            <w:noWrap w:val="0"/>
            <w:vAlign w:val="center"/>
          </w:tcPr>
          <w:p>
            <w:pPr>
              <w:spacing w:before="1" w:line="320" w:lineRule="exact"/>
              <w:ind w:right="88" w:rightChars="0" w:firstLine="0" w:firstLineChars="0"/>
              <w:jc w:val="center"/>
              <w:rPr>
                <w:rFonts w:ascii="Times New Roman" w:hAnsi="Times New Roman"/>
                <w:kern w:val="2"/>
                <w:sz w:val="21"/>
                <w:szCs w:val="22"/>
                <w:lang w:val="en-US" w:eastAsia="zh-CN" w:bidi="ar-SA"/>
              </w:rPr>
            </w:pPr>
            <w:r>
              <w:rPr>
                <w:rFonts w:hint="eastAsia"/>
                <w:sz w:val="21"/>
                <w:lang w:eastAsia="zh-CN"/>
              </w:rPr>
              <w:t>套</w:t>
            </w:r>
          </w:p>
        </w:tc>
        <w:tc>
          <w:tcPr>
            <w:tcW w:w="843" w:type="pct"/>
            <w:noWrap w:val="0"/>
            <w:vAlign w:val="center"/>
          </w:tcPr>
          <w:p>
            <w:pPr>
              <w:pStyle w:val="29"/>
              <w:rPr>
                <w:rFonts w:hint="eastAsia" w:eastAsia="宋体"/>
                <w:lang w:val="en-US" w:eastAsia="zh-CN"/>
              </w:rPr>
            </w:pPr>
            <w:r>
              <w:rPr>
                <w:rFonts w:hint="eastAsia"/>
                <w:lang w:val="en-US" w:eastAsia="zh-CN"/>
              </w:rPr>
              <w:t>1</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1</w:t>
            </w:r>
          </w:p>
        </w:tc>
        <w:tc>
          <w:tcPr>
            <w:tcW w:w="573" w:type="pct"/>
            <w:noWrap w:val="0"/>
            <w:vAlign w:val="center"/>
          </w:tcPr>
          <w:p>
            <w:pPr>
              <w:pStyle w:val="29"/>
            </w:pPr>
            <w:r>
              <w:t>无</w:t>
            </w:r>
          </w:p>
        </w:tc>
        <w:tc>
          <w:tcPr>
            <w:tcW w:w="812" w:type="pct"/>
            <w:gridSpan w:val="2"/>
            <w:vMerge w:val="restart"/>
            <w:noWrap w:val="0"/>
            <w:vAlign w:val="center"/>
          </w:tcPr>
          <w:p>
            <w:pPr>
              <w:adjustRightInd w:val="0"/>
              <w:snapToGrid w:val="0"/>
              <w:spacing w:line="320" w:lineRule="exact"/>
              <w:ind w:firstLine="0" w:firstLineChars="0"/>
              <w:jc w:val="center"/>
              <w:rPr>
                <w:rFonts w:hint="eastAsia"/>
                <w:snapToGrid w:val="0"/>
                <w:kern w:val="0"/>
                <w:sz w:val="21"/>
                <w:szCs w:val="21"/>
              </w:rPr>
            </w:pPr>
            <w:r>
              <w:rPr>
                <w:rFonts w:hint="eastAsia"/>
                <w:snapToGrid w:val="0"/>
                <w:kern w:val="0"/>
                <w:sz w:val="21"/>
                <w:szCs w:val="21"/>
              </w:rPr>
              <w:t>两期一次安</w:t>
            </w:r>
          </w:p>
          <w:p>
            <w:pPr>
              <w:adjustRightInd w:val="0"/>
              <w:snapToGrid w:val="0"/>
              <w:spacing w:line="320" w:lineRule="exact"/>
              <w:ind w:firstLine="0" w:firstLineChars="0"/>
              <w:jc w:val="center"/>
              <w:rPr>
                <w:snapToGrid w:val="0"/>
                <w:kern w:val="0"/>
                <w:sz w:val="21"/>
                <w:szCs w:val="21"/>
              </w:rPr>
            </w:pPr>
            <w:r>
              <w:rPr>
                <w:rFonts w:hint="eastAsia"/>
                <w:snapToGrid w:val="0"/>
                <w:kern w:val="0"/>
                <w:sz w:val="21"/>
                <w:szCs w:val="21"/>
              </w:rPr>
              <w:t>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snapToGrid w:val="0"/>
                <w:kern w:val="0"/>
                <w:sz w:val="21"/>
                <w:szCs w:val="21"/>
              </w:rPr>
            </w:pPr>
            <w:r>
              <w:rPr>
                <w:rFonts w:hint="eastAsia"/>
                <w:snapToGrid w:val="0"/>
                <w:kern w:val="0"/>
                <w:sz w:val="21"/>
                <w:szCs w:val="21"/>
              </w:rPr>
              <w:t>2</w:t>
            </w:r>
          </w:p>
        </w:tc>
        <w:tc>
          <w:tcPr>
            <w:tcW w:w="1447" w:type="pct"/>
            <w:noWrap w:val="0"/>
            <w:vAlign w:val="center"/>
          </w:tcPr>
          <w:p>
            <w:pPr>
              <w:spacing w:before="1" w:line="320" w:lineRule="exact"/>
              <w:ind w:right="88" w:firstLine="0" w:firstLineChars="0"/>
              <w:jc w:val="center"/>
              <w:rPr>
                <w:snapToGrid w:val="0"/>
                <w:kern w:val="0"/>
                <w:sz w:val="21"/>
                <w:szCs w:val="21"/>
              </w:rPr>
            </w:pPr>
            <w:r>
              <w:rPr>
                <w:rFonts w:hint="eastAsia"/>
                <w:snapToGrid w:val="0"/>
                <w:kern w:val="0"/>
                <w:sz w:val="21"/>
                <w:szCs w:val="21"/>
              </w:rPr>
              <w:t>液位差计</w:t>
            </w:r>
          </w:p>
        </w:tc>
        <w:tc>
          <w:tcPr>
            <w:tcW w:w="349" w:type="pct"/>
            <w:noWrap w:val="0"/>
            <w:vAlign w:val="center"/>
          </w:tcPr>
          <w:p>
            <w:pPr>
              <w:spacing w:before="1" w:line="320" w:lineRule="exact"/>
              <w:ind w:right="88" w:rightChars="0" w:firstLine="0" w:firstLineChars="0"/>
              <w:jc w:val="center"/>
              <w:rPr>
                <w:rFonts w:hint="eastAsia" w:ascii="Times New Roman" w:hAnsi="Times New Roman" w:eastAsia="宋体"/>
                <w:kern w:val="2"/>
                <w:sz w:val="21"/>
                <w:szCs w:val="22"/>
                <w:lang w:val="en-US" w:eastAsia="zh-CN" w:bidi="ar-SA"/>
              </w:rPr>
            </w:pPr>
            <w:r>
              <w:rPr>
                <w:rFonts w:hint="eastAsia"/>
                <w:sz w:val="21"/>
                <w:lang w:eastAsia="zh-CN"/>
              </w:rPr>
              <w:t>套</w:t>
            </w:r>
          </w:p>
        </w:tc>
        <w:tc>
          <w:tcPr>
            <w:tcW w:w="843" w:type="pct"/>
            <w:noWrap w:val="0"/>
            <w:vAlign w:val="center"/>
          </w:tcPr>
          <w:p>
            <w:pPr>
              <w:pStyle w:val="29"/>
              <w:rPr>
                <w:rFonts w:hint="eastAsia" w:eastAsia="宋体"/>
                <w:lang w:val="en-US" w:eastAsia="zh-CN"/>
              </w:rPr>
            </w:pPr>
            <w:r>
              <w:rPr>
                <w:rFonts w:hint="eastAsia"/>
                <w:lang w:val="en-US" w:eastAsia="zh-CN"/>
              </w:rPr>
              <w:t>1</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1</w:t>
            </w:r>
          </w:p>
        </w:tc>
        <w:tc>
          <w:tcPr>
            <w:tcW w:w="573" w:type="pct"/>
            <w:noWrap w:val="0"/>
            <w:vAlign w:val="center"/>
          </w:tcPr>
          <w:p>
            <w:pPr>
              <w:pStyle w:val="29"/>
            </w:pPr>
            <w:r>
              <w:t>无</w:t>
            </w:r>
          </w:p>
        </w:tc>
        <w:tc>
          <w:tcPr>
            <w:tcW w:w="812" w:type="pct"/>
            <w:gridSpan w:val="2"/>
            <w:vMerge w:val="continue"/>
            <w:noWrap w:val="0"/>
            <w:vAlign w:val="center"/>
          </w:tcPr>
          <w:p>
            <w:pPr>
              <w:adjustRightInd w:val="0"/>
              <w:snapToGrid w:val="0"/>
              <w:spacing w:line="320" w:lineRule="exact"/>
              <w:ind w:firstLine="0" w:firstLineChars="0"/>
              <w:jc w:val="center"/>
              <w:rPr>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5000" w:type="pct"/>
            <w:gridSpan w:val="8"/>
            <w:noWrap w:val="0"/>
            <w:vAlign w:val="center"/>
          </w:tcPr>
          <w:p>
            <w:pPr>
              <w:adjustRightInd w:val="0"/>
              <w:snapToGrid w:val="0"/>
              <w:spacing w:line="320" w:lineRule="exact"/>
              <w:ind w:firstLine="0" w:firstLineChars="0"/>
              <w:rPr>
                <w:b/>
                <w:bCs/>
                <w:snapToGrid w:val="0"/>
                <w:kern w:val="0"/>
                <w:sz w:val="21"/>
                <w:szCs w:val="21"/>
              </w:rPr>
            </w:pPr>
            <w:r>
              <w:rPr>
                <w:rFonts w:hint="eastAsia"/>
                <w:b/>
                <w:bCs/>
                <w:snapToGrid w:val="0"/>
                <w:kern w:val="0"/>
                <w:sz w:val="21"/>
                <w:szCs w:val="21"/>
                <w:lang w:eastAsia="zh-CN"/>
              </w:rPr>
              <w:t>九、</w:t>
            </w:r>
            <w:r>
              <w:rPr>
                <w:rFonts w:hint="eastAsia"/>
                <w:b/>
                <w:bCs/>
                <w:snapToGrid w:val="0"/>
                <w:kern w:val="0"/>
                <w:sz w:val="21"/>
                <w:szCs w:val="21"/>
              </w:rPr>
              <w:t>污泥贮池</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snapToGrid w:val="0"/>
                <w:kern w:val="0"/>
                <w:sz w:val="21"/>
                <w:szCs w:val="21"/>
              </w:rPr>
            </w:pPr>
            <w:r>
              <w:rPr>
                <w:rFonts w:hint="eastAsia"/>
                <w:snapToGrid w:val="0"/>
                <w:kern w:val="0"/>
                <w:sz w:val="21"/>
                <w:szCs w:val="21"/>
              </w:rPr>
              <w:t>1</w:t>
            </w:r>
          </w:p>
        </w:tc>
        <w:tc>
          <w:tcPr>
            <w:tcW w:w="1447" w:type="pct"/>
            <w:noWrap w:val="0"/>
            <w:vAlign w:val="center"/>
          </w:tcPr>
          <w:p>
            <w:pPr>
              <w:spacing w:before="1" w:line="320" w:lineRule="exact"/>
              <w:ind w:right="88" w:firstLine="0" w:firstLineChars="0"/>
              <w:jc w:val="center"/>
              <w:rPr>
                <w:snapToGrid w:val="0"/>
                <w:kern w:val="0"/>
                <w:sz w:val="21"/>
                <w:szCs w:val="21"/>
              </w:rPr>
            </w:pPr>
            <w:r>
              <w:rPr>
                <w:rFonts w:hint="eastAsia"/>
                <w:snapToGrid w:val="0"/>
                <w:kern w:val="0"/>
                <w:sz w:val="21"/>
                <w:szCs w:val="21"/>
              </w:rPr>
              <w:t>搅拌机</w:t>
            </w:r>
          </w:p>
        </w:tc>
        <w:tc>
          <w:tcPr>
            <w:tcW w:w="349" w:type="pct"/>
            <w:noWrap w:val="0"/>
            <w:vAlign w:val="center"/>
          </w:tcPr>
          <w:p>
            <w:pPr>
              <w:spacing w:before="1" w:line="320" w:lineRule="exact"/>
              <w:ind w:right="88" w:firstLine="0" w:firstLineChars="0"/>
              <w:jc w:val="center"/>
              <w:rPr>
                <w:sz w:val="21"/>
              </w:rPr>
            </w:pPr>
            <w:r>
              <w:rPr>
                <w:sz w:val="21"/>
              </w:rPr>
              <w:t>台</w:t>
            </w:r>
          </w:p>
        </w:tc>
        <w:tc>
          <w:tcPr>
            <w:tcW w:w="843" w:type="pct"/>
            <w:noWrap w:val="0"/>
            <w:vAlign w:val="center"/>
          </w:tcPr>
          <w:p>
            <w:pPr>
              <w:pStyle w:val="29"/>
              <w:rPr>
                <w:rFonts w:hint="eastAsia" w:eastAsia="宋体"/>
                <w:lang w:val="en-US" w:eastAsia="zh-CN"/>
              </w:rPr>
            </w:pPr>
            <w:r>
              <w:rPr>
                <w:rFonts w:hint="eastAsia"/>
                <w:lang w:val="en-US" w:eastAsia="zh-CN"/>
              </w:rPr>
              <w:t>1</w:t>
            </w:r>
          </w:p>
        </w:tc>
        <w:tc>
          <w:tcPr>
            <w:tcW w:w="580" w:type="pct"/>
            <w:noWrap w:val="0"/>
            <w:vAlign w:val="center"/>
          </w:tcPr>
          <w:p>
            <w:pPr>
              <w:pStyle w:val="29"/>
              <w:ind w:firstLine="0" w:firstLineChars="0"/>
              <w:rPr>
                <w:rFonts w:hint="eastAsia" w:ascii="Times New Roman" w:hAnsi="Times New Roman" w:eastAsia="宋体"/>
                <w:kern w:val="2"/>
                <w:sz w:val="21"/>
                <w:szCs w:val="22"/>
                <w:lang w:val="en-US" w:eastAsia="zh-CN" w:bidi="ar-SA"/>
              </w:rPr>
            </w:pPr>
            <w:r>
              <w:rPr>
                <w:rFonts w:hint="eastAsia"/>
                <w:lang w:val="en-US" w:eastAsia="zh-CN"/>
              </w:rPr>
              <w:t>1</w:t>
            </w:r>
          </w:p>
        </w:tc>
        <w:tc>
          <w:tcPr>
            <w:tcW w:w="573" w:type="pct"/>
            <w:noWrap w:val="0"/>
            <w:vAlign w:val="center"/>
          </w:tcPr>
          <w:p>
            <w:pPr>
              <w:pStyle w:val="29"/>
              <w:ind w:firstLine="0" w:firstLineChars="0"/>
              <w:rPr>
                <w:rFonts w:ascii="Times New Roman" w:hAnsi="Times New Roman" w:eastAsia="宋体"/>
                <w:kern w:val="2"/>
                <w:sz w:val="21"/>
                <w:szCs w:val="22"/>
                <w:lang w:val="en-US" w:eastAsia="zh-CN" w:bidi="ar-SA"/>
              </w:rPr>
            </w:pPr>
            <w:r>
              <w:t>无</w:t>
            </w:r>
          </w:p>
        </w:tc>
        <w:tc>
          <w:tcPr>
            <w:tcW w:w="812" w:type="pct"/>
            <w:gridSpan w:val="2"/>
            <w:vMerge w:val="restart"/>
            <w:noWrap w:val="0"/>
            <w:vAlign w:val="center"/>
          </w:tcPr>
          <w:p>
            <w:pPr>
              <w:adjustRightInd w:val="0"/>
              <w:snapToGrid w:val="0"/>
              <w:spacing w:line="320" w:lineRule="exact"/>
              <w:ind w:firstLine="0" w:firstLineChars="0"/>
              <w:jc w:val="center"/>
              <w:rPr>
                <w:rFonts w:hint="eastAsia"/>
                <w:snapToGrid w:val="0"/>
                <w:kern w:val="0"/>
                <w:sz w:val="21"/>
                <w:szCs w:val="21"/>
              </w:rPr>
            </w:pPr>
            <w:r>
              <w:rPr>
                <w:rFonts w:hint="eastAsia"/>
                <w:snapToGrid w:val="0"/>
                <w:kern w:val="0"/>
                <w:sz w:val="21"/>
                <w:szCs w:val="21"/>
              </w:rPr>
              <w:t>两期一次安</w:t>
            </w:r>
          </w:p>
          <w:p>
            <w:pPr>
              <w:adjustRightInd w:val="0"/>
              <w:snapToGrid w:val="0"/>
              <w:spacing w:line="320" w:lineRule="exact"/>
              <w:ind w:firstLine="0" w:firstLineChars="0"/>
              <w:jc w:val="center"/>
              <w:rPr>
                <w:snapToGrid w:val="0"/>
                <w:kern w:val="0"/>
                <w:sz w:val="21"/>
                <w:szCs w:val="21"/>
              </w:rPr>
            </w:pPr>
            <w:r>
              <w:rPr>
                <w:rFonts w:hint="eastAsia"/>
                <w:snapToGrid w:val="0"/>
                <w:kern w:val="0"/>
                <w:sz w:val="21"/>
                <w:szCs w:val="21"/>
              </w:rPr>
              <w:t>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snapToGrid w:val="0"/>
                <w:kern w:val="0"/>
                <w:sz w:val="21"/>
                <w:szCs w:val="21"/>
              </w:rPr>
            </w:pPr>
            <w:r>
              <w:rPr>
                <w:rFonts w:hint="eastAsia"/>
                <w:snapToGrid w:val="0"/>
                <w:kern w:val="0"/>
                <w:sz w:val="21"/>
                <w:szCs w:val="21"/>
              </w:rPr>
              <w:t>2</w:t>
            </w:r>
          </w:p>
        </w:tc>
        <w:tc>
          <w:tcPr>
            <w:tcW w:w="1447" w:type="pct"/>
            <w:noWrap w:val="0"/>
            <w:vAlign w:val="center"/>
          </w:tcPr>
          <w:p>
            <w:pPr>
              <w:spacing w:before="1" w:line="320" w:lineRule="exact"/>
              <w:ind w:right="88" w:firstLine="0" w:firstLineChars="0"/>
              <w:jc w:val="center"/>
              <w:rPr>
                <w:snapToGrid w:val="0"/>
                <w:kern w:val="0"/>
                <w:sz w:val="21"/>
                <w:szCs w:val="21"/>
              </w:rPr>
            </w:pPr>
            <w:r>
              <w:rPr>
                <w:rFonts w:hint="eastAsia"/>
                <w:snapToGrid w:val="0"/>
                <w:kern w:val="0"/>
                <w:sz w:val="21"/>
                <w:szCs w:val="21"/>
              </w:rPr>
              <w:t>污泥界面仪</w:t>
            </w:r>
          </w:p>
        </w:tc>
        <w:tc>
          <w:tcPr>
            <w:tcW w:w="349" w:type="pct"/>
            <w:noWrap w:val="0"/>
            <w:vAlign w:val="center"/>
          </w:tcPr>
          <w:p>
            <w:pPr>
              <w:spacing w:before="1" w:line="320" w:lineRule="exact"/>
              <w:ind w:right="88" w:firstLine="0" w:firstLineChars="0"/>
              <w:jc w:val="center"/>
              <w:rPr>
                <w:sz w:val="21"/>
              </w:rPr>
            </w:pPr>
            <w:r>
              <w:rPr>
                <w:sz w:val="21"/>
              </w:rPr>
              <w:t>台</w:t>
            </w:r>
          </w:p>
        </w:tc>
        <w:tc>
          <w:tcPr>
            <w:tcW w:w="843" w:type="pct"/>
            <w:noWrap w:val="0"/>
            <w:vAlign w:val="center"/>
          </w:tcPr>
          <w:p>
            <w:pPr>
              <w:pStyle w:val="29"/>
              <w:rPr>
                <w:rFonts w:hint="eastAsia" w:eastAsia="宋体"/>
                <w:lang w:val="en-US" w:eastAsia="zh-CN"/>
              </w:rPr>
            </w:pPr>
            <w:r>
              <w:rPr>
                <w:rFonts w:hint="eastAsia"/>
                <w:lang w:val="en-US" w:eastAsia="zh-CN"/>
              </w:rPr>
              <w:t>1</w:t>
            </w:r>
          </w:p>
        </w:tc>
        <w:tc>
          <w:tcPr>
            <w:tcW w:w="580" w:type="pct"/>
            <w:noWrap w:val="0"/>
            <w:vAlign w:val="center"/>
          </w:tcPr>
          <w:p>
            <w:pPr>
              <w:pStyle w:val="29"/>
              <w:ind w:firstLine="0" w:firstLineChars="0"/>
              <w:rPr>
                <w:rFonts w:hint="eastAsia" w:ascii="Times New Roman" w:hAnsi="Times New Roman" w:eastAsia="宋体"/>
                <w:kern w:val="2"/>
                <w:sz w:val="21"/>
                <w:szCs w:val="22"/>
                <w:lang w:val="en-US" w:eastAsia="zh-CN" w:bidi="ar-SA"/>
              </w:rPr>
            </w:pPr>
            <w:r>
              <w:rPr>
                <w:rFonts w:hint="eastAsia"/>
                <w:lang w:val="en-US" w:eastAsia="zh-CN"/>
              </w:rPr>
              <w:t>1</w:t>
            </w:r>
          </w:p>
        </w:tc>
        <w:tc>
          <w:tcPr>
            <w:tcW w:w="573" w:type="pct"/>
            <w:noWrap w:val="0"/>
            <w:vAlign w:val="center"/>
          </w:tcPr>
          <w:p>
            <w:pPr>
              <w:pStyle w:val="29"/>
              <w:ind w:firstLine="0" w:firstLineChars="0"/>
              <w:rPr>
                <w:rFonts w:ascii="Times New Roman" w:hAnsi="Times New Roman" w:eastAsia="宋体"/>
                <w:kern w:val="2"/>
                <w:sz w:val="21"/>
                <w:szCs w:val="22"/>
                <w:lang w:val="en-US" w:eastAsia="zh-CN" w:bidi="ar-SA"/>
              </w:rPr>
            </w:pPr>
            <w:r>
              <w:t>无</w:t>
            </w:r>
          </w:p>
        </w:tc>
        <w:tc>
          <w:tcPr>
            <w:tcW w:w="812" w:type="pct"/>
            <w:gridSpan w:val="2"/>
            <w:vMerge w:val="continue"/>
            <w:noWrap w:val="0"/>
            <w:vAlign w:val="center"/>
          </w:tcPr>
          <w:p>
            <w:pPr>
              <w:adjustRightInd w:val="0"/>
              <w:snapToGrid w:val="0"/>
              <w:spacing w:line="320" w:lineRule="exact"/>
              <w:ind w:firstLine="0" w:firstLineChars="0"/>
              <w:jc w:val="center"/>
              <w:rPr>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5000" w:type="pct"/>
            <w:gridSpan w:val="8"/>
            <w:noWrap w:val="0"/>
            <w:vAlign w:val="center"/>
          </w:tcPr>
          <w:p>
            <w:pPr>
              <w:adjustRightInd w:val="0"/>
              <w:snapToGrid w:val="0"/>
              <w:spacing w:line="320" w:lineRule="exact"/>
              <w:ind w:firstLine="0" w:firstLineChars="0"/>
              <w:rPr>
                <w:b/>
                <w:bCs/>
                <w:snapToGrid w:val="0"/>
                <w:kern w:val="0"/>
                <w:sz w:val="21"/>
                <w:szCs w:val="21"/>
              </w:rPr>
            </w:pPr>
            <w:r>
              <w:rPr>
                <w:rFonts w:hint="eastAsia"/>
                <w:b/>
                <w:bCs/>
                <w:snapToGrid w:val="0"/>
                <w:kern w:val="0"/>
                <w:sz w:val="21"/>
                <w:szCs w:val="21"/>
                <w:lang w:eastAsia="zh-CN"/>
              </w:rPr>
              <w:t>十、</w:t>
            </w:r>
            <w:r>
              <w:rPr>
                <w:b/>
                <w:bCs/>
                <w:snapToGrid w:val="0"/>
                <w:kern w:val="0"/>
                <w:sz w:val="21"/>
                <w:szCs w:val="21"/>
              </w:rPr>
              <w:t>鼓风机房</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snapToGrid w:val="0"/>
                <w:kern w:val="0"/>
                <w:sz w:val="21"/>
                <w:szCs w:val="21"/>
              </w:rPr>
            </w:pPr>
            <w:r>
              <w:rPr>
                <w:rFonts w:hint="eastAsia"/>
                <w:snapToGrid w:val="0"/>
                <w:kern w:val="0"/>
                <w:sz w:val="21"/>
                <w:szCs w:val="21"/>
              </w:rPr>
              <w:t>1</w:t>
            </w:r>
          </w:p>
        </w:tc>
        <w:tc>
          <w:tcPr>
            <w:tcW w:w="1447" w:type="pct"/>
            <w:noWrap w:val="0"/>
            <w:vAlign w:val="center"/>
          </w:tcPr>
          <w:p>
            <w:pPr>
              <w:spacing w:before="1" w:line="320" w:lineRule="exact"/>
              <w:ind w:right="88" w:firstLine="0" w:firstLineChars="0"/>
              <w:jc w:val="center"/>
              <w:rPr>
                <w:snapToGrid w:val="0"/>
                <w:kern w:val="0"/>
                <w:sz w:val="21"/>
                <w:szCs w:val="21"/>
              </w:rPr>
            </w:pPr>
            <w:r>
              <w:rPr>
                <w:rFonts w:hint="eastAsia"/>
                <w:snapToGrid w:val="0"/>
                <w:kern w:val="0"/>
                <w:sz w:val="21"/>
                <w:szCs w:val="21"/>
              </w:rPr>
              <w:t>螺杆鼓风机</w:t>
            </w:r>
          </w:p>
        </w:tc>
        <w:tc>
          <w:tcPr>
            <w:tcW w:w="349" w:type="pct"/>
            <w:noWrap w:val="0"/>
            <w:vAlign w:val="center"/>
          </w:tcPr>
          <w:p>
            <w:pPr>
              <w:spacing w:before="1" w:line="320" w:lineRule="exact"/>
              <w:ind w:right="88" w:rightChars="0" w:firstLine="0" w:firstLineChars="0"/>
              <w:jc w:val="center"/>
              <w:rPr>
                <w:rFonts w:ascii="Times New Roman" w:hAnsi="Times New Roman"/>
                <w:kern w:val="2"/>
                <w:sz w:val="21"/>
                <w:szCs w:val="22"/>
                <w:lang w:val="en-US" w:eastAsia="zh-CN" w:bidi="ar-SA"/>
              </w:rPr>
            </w:pPr>
            <w:r>
              <w:rPr>
                <w:sz w:val="21"/>
              </w:rPr>
              <w:t>台</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2</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2</w:t>
            </w:r>
          </w:p>
        </w:tc>
        <w:tc>
          <w:tcPr>
            <w:tcW w:w="573" w:type="pct"/>
            <w:noWrap w:val="0"/>
            <w:vAlign w:val="center"/>
          </w:tcPr>
          <w:p>
            <w:pPr>
              <w:pStyle w:val="29"/>
              <w:ind w:firstLine="0" w:firstLineChars="0"/>
              <w:rPr>
                <w:rFonts w:ascii="Times New Roman" w:hAnsi="Times New Roman" w:eastAsia="宋体"/>
                <w:kern w:val="2"/>
                <w:sz w:val="21"/>
                <w:szCs w:val="22"/>
                <w:lang w:val="en-US" w:eastAsia="zh-CN" w:bidi="ar-SA"/>
              </w:rPr>
            </w:pPr>
            <w:r>
              <w:t>无</w:t>
            </w:r>
          </w:p>
        </w:tc>
        <w:tc>
          <w:tcPr>
            <w:tcW w:w="812" w:type="pct"/>
            <w:gridSpan w:val="2"/>
            <w:vMerge w:val="restart"/>
            <w:noWrap w:val="0"/>
            <w:vAlign w:val="center"/>
          </w:tcPr>
          <w:p>
            <w:pPr>
              <w:adjustRightInd w:val="0"/>
              <w:snapToGrid w:val="0"/>
              <w:spacing w:line="320" w:lineRule="exact"/>
              <w:ind w:firstLine="0" w:firstLineChars="0"/>
              <w:jc w:val="center"/>
              <w:rPr>
                <w:snapToGrid w:val="0"/>
                <w:kern w:val="0"/>
                <w:sz w:val="21"/>
                <w:szCs w:val="21"/>
              </w:rPr>
            </w:pPr>
            <w:r>
              <w:rPr>
                <w:rFonts w:hint="eastAsia"/>
                <w:snapToGrid w:val="0"/>
                <w:kern w:val="0"/>
                <w:sz w:val="21"/>
                <w:szCs w:val="21"/>
                <w:lang w:eastAsia="zh-CN"/>
              </w:rPr>
              <w:t>仅安装一期</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2</w:t>
            </w:r>
          </w:p>
        </w:tc>
        <w:tc>
          <w:tcPr>
            <w:tcW w:w="1447" w:type="pct"/>
            <w:noWrap w:val="0"/>
            <w:vAlign w:val="center"/>
          </w:tcPr>
          <w:p>
            <w:pPr>
              <w:spacing w:before="1" w:line="320" w:lineRule="exact"/>
              <w:ind w:right="88" w:firstLine="0" w:firstLineChars="0"/>
              <w:jc w:val="center"/>
              <w:rPr>
                <w:rFonts w:hint="eastAsia"/>
                <w:snapToGrid w:val="0"/>
                <w:kern w:val="0"/>
                <w:sz w:val="21"/>
                <w:szCs w:val="21"/>
              </w:rPr>
            </w:pPr>
            <w:r>
              <w:rPr>
                <w:rFonts w:hint="eastAsia"/>
                <w:snapToGrid w:val="0"/>
                <w:kern w:val="0"/>
                <w:sz w:val="21"/>
                <w:szCs w:val="21"/>
              </w:rPr>
              <w:t>电动葫芦</w:t>
            </w:r>
          </w:p>
        </w:tc>
        <w:tc>
          <w:tcPr>
            <w:tcW w:w="349" w:type="pct"/>
            <w:noWrap w:val="0"/>
            <w:vAlign w:val="center"/>
          </w:tcPr>
          <w:p>
            <w:pPr>
              <w:spacing w:before="1" w:line="320" w:lineRule="exact"/>
              <w:ind w:right="88" w:rightChars="0" w:firstLine="0" w:firstLineChars="0"/>
              <w:jc w:val="center"/>
              <w:rPr>
                <w:rFonts w:hint="eastAsia" w:ascii="Times New Roman" w:hAnsi="Times New Roman"/>
                <w:kern w:val="2"/>
                <w:sz w:val="21"/>
                <w:szCs w:val="22"/>
                <w:lang w:val="en-US" w:eastAsia="zh-CN" w:bidi="ar-SA"/>
              </w:rPr>
            </w:pPr>
            <w:r>
              <w:rPr>
                <w:rFonts w:hint="eastAsia"/>
                <w:sz w:val="21"/>
                <w:lang w:eastAsia="zh-CN"/>
              </w:rPr>
              <w:t>套</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1</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1</w:t>
            </w:r>
          </w:p>
        </w:tc>
        <w:tc>
          <w:tcPr>
            <w:tcW w:w="573" w:type="pct"/>
            <w:noWrap w:val="0"/>
            <w:vAlign w:val="center"/>
          </w:tcPr>
          <w:p>
            <w:pPr>
              <w:pStyle w:val="29"/>
              <w:ind w:firstLine="0" w:firstLineChars="0"/>
              <w:rPr>
                <w:rFonts w:hint="eastAsia" w:ascii="Times New Roman" w:hAnsi="Times New Roman" w:eastAsia="宋体"/>
                <w:kern w:val="2"/>
                <w:sz w:val="21"/>
                <w:szCs w:val="22"/>
                <w:lang w:val="en-US" w:eastAsia="zh-CN" w:bidi="ar-SA"/>
              </w:rPr>
            </w:pPr>
            <w:r>
              <w:t>无</w:t>
            </w:r>
          </w:p>
        </w:tc>
        <w:tc>
          <w:tcPr>
            <w:tcW w:w="812" w:type="pct"/>
            <w:gridSpan w:val="2"/>
            <w:vMerge w:val="continue"/>
            <w:noWrap w:val="0"/>
            <w:vAlign w:val="center"/>
          </w:tcPr>
          <w:p>
            <w:pPr>
              <w:adjustRightInd w:val="0"/>
              <w:snapToGrid w:val="0"/>
              <w:spacing w:line="320" w:lineRule="exact"/>
              <w:ind w:firstLine="0" w:firstLineChars="0"/>
              <w:jc w:val="center"/>
              <w:rPr>
                <w:rFonts w:hint="eastAsia"/>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5000" w:type="pct"/>
            <w:gridSpan w:val="8"/>
            <w:noWrap w:val="0"/>
            <w:vAlign w:val="center"/>
          </w:tcPr>
          <w:p>
            <w:pPr>
              <w:adjustRightInd w:val="0"/>
              <w:snapToGrid w:val="0"/>
              <w:spacing w:line="320" w:lineRule="exact"/>
              <w:ind w:firstLine="0" w:firstLineChars="0"/>
              <w:rPr>
                <w:b/>
                <w:bCs/>
                <w:snapToGrid w:val="0"/>
                <w:kern w:val="0"/>
                <w:sz w:val="21"/>
                <w:szCs w:val="21"/>
              </w:rPr>
            </w:pPr>
            <w:r>
              <w:rPr>
                <w:rFonts w:hint="eastAsia"/>
                <w:b/>
                <w:bCs/>
                <w:snapToGrid w:val="0"/>
                <w:kern w:val="0"/>
                <w:sz w:val="21"/>
                <w:szCs w:val="21"/>
                <w:lang w:eastAsia="zh-CN"/>
              </w:rPr>
              <w:t>十一、</w:t>
            </w:r>
            <w:r>
              <w:rPr>
                <w:b/>
                <w:bCs/>
                <w:snapToGrid w:val="0"/>
                <w:kern w:val="0"/>
                <w:sz w:val="21"/>
                <w:szCs w:val="21"/>
              </w:rPr>
              <w:t>加药间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snapToGrid w:val="0"/>
                <w:kern w:val="0"/>
                <w:sz w:val="21"/>
                <w:szCs w:val="21"/>
              </w:rPr>
            </w:pPr>
            <w:r>
              <w:rPr>
                <w:rFonts w:hint="eastAsia"/>
                <w:snapToGrid w:val="0"/>
                <w:kern w:val="0"/>
                <w:sz w:val="21"/>
                <w:szCs w:val="21"/>
              </w:rPr>
              <w:t>1</w:t>
            </w:r>
          </w:p>
        </w:tc>
        <w:tc>
          <w:tcPr>
            <w:tcW w:w="1447" w:type="pct"/>
            <w:noWrap w:val="0"/>
            <w:vAlign w:val="center"/>
          </w:tcPr>
          <w:p>
            <w:pPr>
              <w:spacing w:before="1" w:line="320" w:lineRule="exact"/>
              <w:ind w:right="88" w:firstLine="0" w:firstLineChars="0"/>
              <w:jc w:val="center"/>
              <w:rPr>
                <w:snapToGrid w:val="0"/>
                <w:kern w:val="0"/>
                <w:sz w:val="21"/>
                <w:szCs w:val="21"/>
              </w:rPr>
            </w:pPr>
            <w:r>
              <w:rPr>
                <w:rFonts w:hint="eastAsia"/>
                <w:snapToGrid w:val="0"/>
                <w:kern w:val="0"/>
                <w:sz w:val="21"/>
                <w:szCs w:val="21"/>
              </w:rPr>
              <w:t>二氧化氯发生器主机</w:t>
            </w:r>
          </w:p>
        </w:tc>
        <w:tc>
          <w:tcPr>
            <w:tcW w:w="349" w:type="pct"/>
            <w:noWrap w:val="0"/>
            <w:vAlign w:val="center"/>
          </w:tcPr>
          <w:p>
            <w:pPr>
              <w:spacing w:before="1" w:line="320" w:lineRule="exact"/>
              <w:ind w:right="88" w:firstLine="0" w:firstLineChars="0"/>
              <w:jc w:val="center"/>
              <w:rPr>
                <w:sz w:val="21"/>
              </w:rPr>
            </w:pPr>
            <w:r>
              <w:rPr>
                <w:sz w:val="21"/>
              </w:rPr>
              <w:t>台</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2</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2</w:t>
            </w:r>
          </w:p>
        </w:tc>
        <w:tc>
          <w:tcPr>
            <w:tcW w:w="573" w:type="pct"/>
            <w:noWrap w:val="0"/>
            <w:vAlign w:val="center"/>
          </w:tcPr>
          <w:p>
            <w:pPr>
              <w:pStyle w:val="29"/>
              <w:ind w:firstLine="0" w:firstLineChars="0"/>
              <w:rPr>
                <w:snapToGrid w:val="0"/>
                <w:kern w:val="0"/>
                <w:sz w:val="21"/>
                <w:szCs w:val="21"/>
              </w:rPr>
            </w:pPr>
            <w:r>
              <w:t>无</w:t>
            </w:r>
          </w:p>
        </w:tc>
        <w:tc>
          <w:tcPr>
            <w:tcW w:w="812" w:type="pct"/>
            <w:gridSpan w:val="2"/>
            <w:vMerge w:val="restart"/>
            <w:noWrap w:val="0"/>
            <w:vAlign w:val="center"/>
          </w:tcPr>
          <w:p>
            <w:pPr>
              <w:adjustRightInd w:val="0"/>
              <w:snapToGrid w:val="0"/>
              <w:spacing w:line="320" w:lineRule="exact"/>
              <w:ind w:firstLine="0" w:firstLineChars="0"/>
              <w:jc w:val="center"/>
              <w:rPr>
                <w:rFonts w:hint="eastAsia"/>
                <w:snapToGrid w:val="0"/>
                <w:kern w:val="0"/>
                <w:sz w:val="21"/>
                <w:szCs w:val="21"/>
              </w:rPr>
            </w:pPr>
            <w:r>
              <w:rPr>
                <w:rFonts w:hint="eastAsia"/>
                <w:snapToGrid w:val="0"/>
                <w:kern w:val="0"/>
                <w:sz w:val="21"/>
                <w:szCs w:val="21"/>
              </w:rPr>
              <w:t>两期一次安</w:t>
            </w:r>
          </w:p>
          <w:p>
            <w:pPr>
              <w:adjustRightInd w:val="0"/>
              <w:snapToGrid w:val="0"/>
              <w:spacing w:line="320" w:lineRule="exact"/>
              <w:ind w:firstLine="0" w:firstLineChars="0"/>
              <w:jc w:val="center"/>
              <w:rPr>
                <w:snapToGrid w:val="0"/>
                <w:kern w:val="0"/>
                <w:sz w:val="21"/>
                <w:szCs w:val="21"/>
              </w:rPr>
            </w:pPr>
            <w:r>
              <w:rPr>
                <w:rFonts w:hint="eastAsia"/>
                <w:snapToGrid w:val="0"/>
                <w:kern w:val="0"/>
                <w:sz w:val="21"/>
                <w:szCs w:val="21"/>
              </w:rPr>
              <w:t>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snapToGrid w:val="0"/>
                <w:kern w:val="0"/>
                <w:sz w:val="21"/>
                <w:szCs w:val="21"/>
              </w:rPr>
            </w:pPr>
            <w:r>
              <w:rPr>
                <w:rFonts w:hint="eastAsia"/>
                <w:snapToGrid w:val="0"/>
                <w:kern w:val="0"/>
                <w:sz w:val="21"/>
                <w:szCs w:val="21"/>
              </w:rPr>
              <w:t>2</w:t>
            </w:r>
          </w:p>
        </w:tc>
        <w:tc>
          <w:tcPr>
            <w:tcW w:w="1447" w:type="pct"/>
            <w:noWrap w:val="0"/>
            <w:vAlign w:val="center"/>
          </w:tcPr>
          <w:p>
            <w:pPr>
              <w:spacing w:before="1" w:line="320" w:lineRule="exact"/>
              <w:ind w:right="88" w:firstLine="0" w:firstLineChars="0"/>
              <w:jc w:val="center"/>
              <w:rPr>
                <w:snapToGrid w:val="0"/>
                <w:kern w:val="0"/>
                <w:sz w:val="21"/>
                <w:szCs w:val="21"/>
              </w:rPr>
            </w:pPr>
            <w:r>
              <w:rPr>
                <w:rFonts w:hint="eastAsia"/>
                <w:snapToGrid w:val="0"/>
                <w:kern w:val="0"/>
                <w:sz w:val="21"/>
                <w:szCs w:val="21"/>
              </w:rPr>
              <w:t>盐酸储存罐</w:t>
            </w:r>
          </w:p>
        </w:tc>
        <w:tc>
          <w:tcPr>
            <w:tcW w:w="349" w:type="pct"/>
            <w:noWrap w:val="0"/>
            <w:vAlign w:val="center"/>
          </w:tcPr>
          <w:p>
            <w:pPr>
              <w:spacing w:before="1" w:line="320" w:lineRule="exact"/>
              <w:ind w:right="88" w:firstLine="0" w:firstLineChars="0"/>
              <w:jc w:val="center"/>
              <w:rPr>
                <w:rFonts w:hint="eastAsia" w:eastAsia="宋体"/>
                <w:sz w:val="21"/>
                <w:lang w:eastAsia="zh-CN"/>
              </w:rPr>
            </w:pPr>
            <w:r>
              <w:rPr>
                <w:rFonts w:hint="eastAsia"/>
                <w:sz w:val="21"/>
                <w:lang w:eastAsia="zh-CN"/>
              </w:rPr>
              <w:t>个</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1</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1</w:t>
            </w:r>
          </w:p>
        </w:tc>
        <w:tc>
          <w:tcPr>
            <w:tcW w:w="573" w:type="pct"/>
            <w:noWrap w:val="0"/>
            <w:vAlign w:val="center"/>
          </w:tcPr>
          <w:p>
            <w:pPr>
              <w:pStyle w:val="29"/>
              <w:ind w:firstLine="0" w:firstLineChars="0"/>
              <w:rPr>
                <w:snapToGrid w:val="0"/>
                <w:kern w:val="0"/>
                <w:sz w:val="21"/>
                <w:szCs w:val="21"/>
              </w:rPr>
            </w:pPr>
            <w:r>
              <w:t>无</w:t>
            </w:r>
          </w:p>
        </w:tc>
        <w:tc>
          <w:tcPr>
            <w:tcW w:w="812" w:type="pct"/>
            <w:gridSpan w:val="2"/>
            <w:vMerge w:val="continue"/>
            <w:noWrap w:val="0"/>
            <w:vAlign w:val="center"/>
          </w:tcPr>
          <w:p>
            <w:pPr>
              <w:adjustRightInd w:val="0"/>
              <w:snapToGrid w:val="0"/>
              <w:spacing w:line="320" w:lineRule="exact"/>
              <w:ind w:firstLine="0" w:firstLineChars="0"/>
              <w:jc w:val="center"/>
              <w:rPr>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3</w:t>
            </w:r>
          </w:p>
        </w:tc>
        <w:tc>
          <w:tcPr>
            <w:tcW w:w="1447" w:type="pct"/>
            <w:noWrap w:val="0"/>
            <w:vAlign w:val="center"/>
          </w:tcPr>
          <w:p>
            <w:pPr>
              <w:spacing w:before="1" w:line="320" w:lineRule="exact"/>
              <w:ind w:right="88" w:firstLine="0" w:firstLineChars="0"/>
              <w:jc w:val="center"/>
              <w:rPr>
                <w:snapToGrid w:val="0"/>
                <w:kern w:val="0"/>
                <w:sz w:val="21"/>
                <w:szCs w:val="21"/>
              </w:rPr>
            </w:pPr>
            <w:r>
              <w:rPr>
                <w:rFonts w:hint="eastAsia"/>
                <w:snapToGrid w:val="0"/>
                <w:kern w:val="0"/>
                <w:sz w:val="21"/>
                <w:szCs w:val="21"/>
              </w:rPr>
              <w:t>氯酸钠储罐</w:t>
            </w:r>
          </w:p>
        </w:tc>
        <w:tc>
          <w:tcPr>
            <w:tcW w:w="349" w:type="pct"/>
            <w:noWrap w:val="0"/>
            <w:vAlign w:val="center"/>
          </w:tcPr>
          <w:p>
            <w:pPr>
              <w:spacing w:before="1" w:line="320" w:lineRule="exact"/>
              <w:ind w:right="88" w:firstLine="0" w:firstLineChars="0"/>
              <w:jc w:val="center"/>
              <w:rPr>
                <w:rFonts w:hint="eastAsia" w:eastAsia="宋体"/>
                <w:sz w:val="21"/>
                <w:lang w:eastAsia="zh-CN"/>
              </w:rPr>
            </w:pPr>
            <w:r>
              <w:rPr>
                <w:rFonts w:hint="eastAsia"/>
                <w:sz w:val="21"/>
                <w:lang w:eastAsia="zh-CN"/>
              </w:rPr>
              <w:t>个</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1</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1</w:t>
            </w:r>
          </w:p>
        </w:tc>
        <w:tc>
          <w:tcPr>
            <w:tcW w:w="573" w:type="pct"/>
            <w:noWrap w:val="0"/>
            <w:vAlign w:val="center"/>
          </w:tcPr>
          <w:p>
            <w:pPr>
              <w:pStyle w:val="29"/>
              <w:ind w:firstLine="0" w:firstLineChars="0"/>
              <w:rPr>
                <w:snapToGrid w:val="0"/>
                <w:kern w:val="0"/>
                <w:sz w:val="21"/>
                <w:szCs w:val="21"/>
              </w:rPr>
            </w:pPr>
            <w:r>
              <w:t>无</w:t>
            </w:r>
          </w:p>
        </w:tc>
        <w:tc>
          <w:tcPr>
            <w:tcW w:w="812" w:type="pct"/>
            <w:gridSpan w:val="2"/>
            <w:vMerge w:val="continue"/>
            <w:noWrap w:val="0"/>
            <w:vAlign w:val="center"/>
          </w:tcPr>
          <w:p>
            <w:pPr>
              <w:adjustRightInd w:val="0"/>
              <w:snapToGrid w:val="0"/>
              <w:spacing w:line="320" w:lineRule="exact"/>
              <w:ind w:firstLine="0" w:firstLineChars="0"/>
              <w:jc w:val="center"/>
              <w:rPr>
                <w:rFonts w:hint="eastAsia"/>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4</w:t>
            </w:r>
          </w:p>
        </w:tc>
        <w:tc>
          <w:tcPr>
            <w:tcW w:w="1447" w:type="pct"/>
            <w:noWrap w:val="0"/>
            <w:vAlign w:val="center"/>
          </w:tcPr>
          <w:p>
            <w:pPr>
              <w:spacing w:before="1" w:line="320" w:lineRule="exact"/>
              <w:ind w:right="88" w:firstLine="0" w:firstLineChars="0"/>
              <w:jc w:val="center"/>
              <w:rPr>
                <w:snapToGrid w:val="0"/>
                <w:kern w:val="0"/>
                <w:sz w:val="21"/>
                <w:szCs w:val="21"/>
              </w:rPr>
            </w:pPr>
            <w:r>
              <w:rPr>
                <w:rFonts w:hint="eastAsia"/>
                <w:snapToGrid w:val="0"/>
                <w:kern w:val="0"/>
                <w:sz w:val="21"/>
                <w:szCs w:val="21"/>
              </w:rPr>
              <w:t>活性炭投加装置</w:t>
            </w:r>
          </w:p>
        </w:tc>
        <w:tc>
          <w:tcPr>
            <w:tcW w:w="349" w:type="pct"/>
            <w:noWrap w:val="0"/>
            <w:vAlign w:val="center"/>
          </w:tcPr>
          <w:p>
            <w:pPr>
              <w:spacing w:before="1" w:line="320" w:lineRule="exact"/>
              <w:ind w:right="88" w:rightChars="0" w:firstLine="0" w:firstLineChars="0"/>
              <w:jc w:val="center"/>
              <w:rPr>
                <w:rFonts w:hint="eastAsia" w:ascii="Times New Roman" w:hAnsi="Times New Roman"/>
                <w:kern w:val="2"/>
                <w:sz w:val="21"/>
                <w:szCs w:val="22"/>
                <w:lang w:val="en-US" w:eastAsia="zh-CN" w:bidi="ar-SA"/>
              </w:rPr>
            </w:pPr>
            <w:r>
              <w:rPr>
                <w:rFonts w:hint="eastAsia"/>
                <w:sz w:val="21"/>
                <w:lang w:eastAsia="zh-CN"/>
              </w:rPr>
              <w:t>套</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1</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1</w:t>
            </w:r>
          </w:p>
        </w:tc>
        <w:tc>
          <w:tcPr>
            <w:tcW w:w="573" w:type="pct"/>
            <w:noWrap w:val="0"/>
            <w:vAlign w:val="center"/>
          </w:tcPr>
          <w:p>
            <w:pPr>
              <w:pStyle w:val="29"/>
              <w:ind w:firstLine="0" w:firstLineChars="0"/>
              <w:rPr>
                <w:snapToGrid w:val="0"/>
                <w:kern w:val="0"/>
                <w:sz w:val="21"/>
                <w:szCs w:val="21"/>
              </w:rPr>
            </w:pPr>
            <w:r>
              <w:t>无</w:t>
            </w:r>
          </w:p>
        </w:tc>
        <w:tc>
          <w:tcPr>
            <w:tcW w:w="812" w:type="pct"/>
            <w:gridSpan w:val="2"/>
            <w:vMerge w:val="continue"/>
            <w:noWrap w:val="0"/>
            <w:vAlign w:val="center"/>
          </w:tcPr>
          <w:p>
            <w:pPr>
              <w:adjustRightInd w:val="0"/>
              <w:snapToGrid w:val="0"/>
              <w:spacing w:line="320" w:lineRule="exact"/>
              <w:ind w:firstLine="0" w:firstLineChars="0"/>
              <w:jc w:val="center"/>
              <w:rPr>
                <w:rFonts w:hint="eastAsia"/>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5</w:t>
            </w:r>
          </w:p>
        </w:tc>
        <w:tc>
          <w:tcPr>
            <w:tcW w:w="1447" w:type="pct"/>
            <w:noWrap w:val="0"/>
            <w:vAlign w:val="center"/>
          </w:tcPr>
          <w:p>
            <w:pPr>
              <w:spacing w:before="1" w:line="320" w:lineRule="exact"/>
              <w:ind w:right="88" w:firstLine="0" w:firstLineChars="0"/>
              <w:jc w:val="center"/>
              <w:rPr>
                <w:snapToGrid w:val="0"/>
                <w:kern w:val="0"/>
                <w:sz w:val="21"/>
                <w:szCs w:val="21"/>
              </w:rPr>
            </w:pPr>
            <w:r>
              <w:rPr>
                <w:rFonts w:hint="eastAsia"/>
                <w:snapToGrid w:val="0"/>
                <w:kern w:val="0"/>
                <w:sz w:val="21"/>
                <w:szCs w:val="21"/>
              </w:rPr>
              <w:t>一体化PAC制备装置</w:t>
            </w:r>
          </w:p>
        </w:tc>
        <w:tc>
          <w:tcPr>
            <w:tcW w:w="349" w:type="pct"/>
            <w:noWrap w:val="0"/>
            <w:vAlign w:val="center"/>
          </w:tcPr>
          <w:p>
            <w:pPr>
              <w:spacing w:before="1" w:line="320" w:lineRule="exact"/>
              <w:ind w:right="88" w:rightChars="0" w:firstLine="0" w:firstLineChars="0"/>
              <w:jc w:val="center"/>
              <w:rPr>
                <w:rFonts w:hint="eastAsia" w:ascii="Times New Roman" w:hAnsi="Times New Roman" w:eastAsia="宋体"/>
                <w:kern w:val="2"/>
                <w:sz w:val="21"/>
                <w:szCs w:val="22"/>
                <w:lang w:val="en-US" w:eastAsia="zh-CN" w:bidi="ar-SA"/>
              </w:rPr>
            </w:pPr>
            <w:r>
              <w:rPr>
                <w:rFonts w:hint="eastAsia"/>
                <w:sz w:val="21"/>
                <w:lang w:eastAsia="zh-CN"/>
              </w:rPr>
              <w:t>套</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1</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1</w:t>
            </w:r>
          </w:p>
        </w:tc>
        <w:tc>
          <w:tcPr>
            <w:tcW w:w="573" w:type="pct"/>
            <w:noWrap w:val="0"/>
            <w:vAlign w:val="center"/>
          </w:tcPr>
          <w:p>
            <w:pPr>
              <w:pStyle w:val="29"/>
              <w:ind w:firstLine="0" w:firstLineChars="0"/>
              <w:rPr>
                <w:snapToGrid w:val="0"/>
                <w:kern w:val="0"/>
                <w:sz w:val="21"/>
                <w:szCs w:val="21"/>
              </w:rPr>
            </w:pPr>
            <w:r>
              <w:t>无</w:t>
            </w:r>
          </w:p>
        </w:tc>
        <w:tc>
          <w:tcPr>
            <w:tcW w:w="812" w:type="pct"/>
            <w:gridSpan w:val="2"/>
            <w:vMerge w:val="continue"/>
            <w:noWrap w:val="0"/>
            <w:vAlign w:val="center"/>
          </w:tcPr>
          <w:p>
            <w:pPr>
              <w:adjustRightInd w:val="0"/>
              <w:snapToGrid w:val="0"/>
              <w:spacing w:line="320" w:lineRule="exact"/>
              <w:ind w:firstLine="0" w:firstLineChars="0"/>
              <w:jc w:val="center"/>
              <w:rPr>
                <w:rFonts w:hint="eastAsia"/>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rFonts w:hint="default" w:eastAsia="宋体"/>
                <w:snapToGrid w:val="0"/>
                <w:kern w:val="0"/>
                <w:sz w:val="21"/>
                <w:szCs w:val="21"/>
                <w:lang w:val="en-US" w:eastAsia="zh-CN"/>
              </w:rPr>
            </w:pPr>
            <w:r>
              <w:rPr>
                <w:rFonts w:hint="eastAsia"/>
                <w:snapToGrid w:val="0"/>
                <w:kern w:val="0"/>
                <w:sz w:val="21"/>
                <w:szCs w:val="21"/>
                <w:lang w:val="en-US" w:eastAsia="zh-CN"/>
              </w:rPr>
              <w:t>6</w:t>
            </w:r>
          </w:p>
        </w:tc>
        <w:tc>
          <w:tcPr>
            <w:tcW w:w="1447" w:type="pct"/>
            <w:noWrap w:val="0"/>
            <w:vAlign w:val="center"/>
          </w:tcPr>
          <w:p>
            <w:pPr>
              <w:spacing w:before="1" w:line="320" w:lineRule="exact"/>
              <w:ind w:right="88" w:firstLine="0" w:firstLineChars="0"/>
              <w:jc w:val="center"/>
              <w:rPr>
                <w:snapToGrid w:val="0"/>
                <w:kern w:val="0"/>
                <w:sz w:val="21"/>
                <w:szCs w:val="21"/>
              </w:rPr>
            </w:pPr>
            <w:r>
              <w:rPr>
                <w:rFonts w:hint="eastAsia"/>
                <w:snapToGrid w:val="0"/>
                <w:kern w:val="0"/>
                <w:sz w:val="21"/>
                <w:szCs w:val="21"/>
              </w:rPr>
              <w:t>一体化PAM制备装置</w:t>
            </w:r>
          </w:p>
        </w:tc>
        <w:tc>
          <w:tcPr>
            <w:tcW w:w="349" w:type="pct"/>
            <w:noWrap w:val="0"/>
            <w:vAlign w:val="center"/>
          </w:tcPr>
          <w:p>
            <w:pPr>
              <w:spacing w:before="1" w:line="320" w:lineRule="exact"/>
              <w:ind w:right="88" w:rightChars="0" w:firstLine="0" w:firstLineChars="0"/>
              <w:jc w:val="center"/>
              <w:rPr>
                <w:rFonts w:ascii="Times New Roman" w:hAnsi="Times New Roman"/>
                <w:kern w:val="2"/>
                <w:sz w:val="21"/>
                <w:szCs w:val="22"/>
                <w:lang w:val="en-US" w:eastAsia="zh-CN" w:bidi="ar-SA"/>
              </w:rPr>
            </w:pPr>
            <w:r>
              <w:rPr>
                <w:rFonts w:hint="eastAsia"/>
                <w:sz w:val="21"/>
                <w:lang w:eastAsia="zh-CN"/>
              </w:rPr>
              <w:t>套</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1</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1</w:t>
            </w:r>
          </w:p>
        </w:tc>
        <w:tc>
          <w:tcPr>
            <w:tcW w:w="573" w:type="pct"/>
            <w:noWrap w:val="0"/>
            <w:vAlign w:val="center"/>
          </w:tcPr>
          <w:p>
            <w:pPr>
              <w:pStyle w:val="29"/>
              <w:ind w:firstLine="0" w:firstLineChars="0"/>
              <w:rPr>
                <w:snapToGrid w:val="0"/>
                <w:kern w:val="0"/>
                <w:sz w:val="21"/>
                <w:szCs w:val="21"/>
              </w:rPr>
            </w:pPr>
            <w:r>
              <w:t>无</w:t>
            </w:r>
          </w:p>
        </w:tc>
        <w:tc>
          <w:tcPr>
            <w:tcW w:w="812" w:type="pct"/>
            <w:gridSpan w:val="2"/>
            <w:vMerge w:val="continue"/>
            <w:noWrap w:val="0"/>
            <w:vAlign w:val="center"/>
          </w:tcPr>
          <w:p>
            <w:pPr>
              <w:adjustRightInd w:val="0"/>
              <w:snapToGrid w:val="0"/>
              <w:spacing w:line="320" w:lineRule="exact"/>
              <w:ind w:firstLine="0" w:firstLineChars="0"/>
              <w:jc w:val="center"/>
              <w:rPr>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7</w:t>
            </w:r>
          </w:p>
        </w:tc>
        <w:tc>
          <w:tcPr>
            <w:tcW w:w="1447" w:type="pct"/>
            <w:noWrap w:val="0"/>
            <w:vAlign w:val="center"/>
          </w:tcPr>
          <w:p>
            <w:pPr>
              <w:spacing w:before="1" w:line="320" w:lineRule="exact"/>
              <w:ind w:right="88" w:firstLine="0" w:firstLineChars="0"/>
              <w:jc w:val="center"/>
              <w:rPr>
                <w:rFonts w:hint="eastAsia"/>
                <w:snapToGrid w:val="0"/>
                <w:kern w:val="0"/>
                <w:sz w:val="21"/>
                <w:szCs w:val="21"/>
              </w:rPr>
            </w:pPr>
            <w:r>
              <w:rPr>
                <w:rFonts w:hint="eastAsia"/>
                <w:snapToGrid w:val="0"/>
                <w:kern w:val="0"/>
                <w:sz w:val="21"/>
                <w:szCs w:val="21"/>
              </w:rPr>
              <w:t>碳源投加装置</w:t>
            </w:r>
          </w:p>
        </w:tc>
        <w:tc>
          <w:tcPr>
            <w:tcW w:w="349" w:type="pct"/>
            <w:noWrap w:val="0"/>
            <w:vAlign w:val="center"/>
          </w:tcPr>
          <w:p>
            <w:pPr>
              <w:spacing w:before="1" w:line="320" w:lineRule="exact"/>
              <w:ind w:right="88" w:rightChars="0" w:firstLine="0" w:firstLineChars="0"/>
              <w:jc w:val="center"/>
              <w:rPr>
                <w:rFonts w:hint="eastAsia" w:ascii="Times New Roman" w:hAnsi="Times New Roman" w:eastAsia="宋体"/>
                <w:kern w:val="2"/>
                <w:sz w:val="21"/>
                <w:szCs w:val="22"/>
                <w:lang w:val="en-US" w:eastAsia="zh-CN" w:bidi="ar-SA"/>
              </w:rPr>
            </w:pPr>
            <w:r>
              <w:rPr>
                <w:rFonts w:hint="eastAsia"/>
                <w:sz w:val="21"/>
                <w:lang w:eastAsia="zh-CN"/>
              </w:rPr>
              <w:t>套</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1</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1</w:t>
            </w:r>
          </w:p>
        </w:tc>
        <w:tc>
          <w:tcPr>
            <w:tcW w:w="573" w:type="pct"/>
            <w:noWrap w:val="0"/>
            <w:vAlign w:val="center"/>
          </w:tcPr>
          <w:p>
            <w:pPr>
              <w:pStyle w:val="29"/>
              <w:ind w:firstLine="0" w:firstLineChars="0"/>
              <w:rPr>
                <w:snapToGrid w:val="0"/>
                <w:kern w:val="0"/>
                <w:sz w:val="21"/>
                <w:szCs w:val="21"/>
              </w:rPr>
            </w:pPr>
            <w:r>
              <w:t>无</w:t>
            </w:r>
          </w:p>
        </w:tc>
        <w:tc>
          <w:tcPr>
            <w:tcW w:w="812" w:type="pct"/>
            <w:gridSpan w:val="2"/>
            <w:vMerge w:val="continue"/>
            <w:noWrap w:val="0"/>
            <w:vAlign w:val="center"/>
          </w:tcPr>
          <w:p>
            <w:pPr>
              <w:adjustRightInd w:val="0"/>
              <w:snapToGrid w:val="0"/>
              <w:spacing w:line="320" w:lineRule="exact"/>
              <w:ind w:firstLine="0" w:firstLineChars="0"/>
              <w:jc w:val="center"/>
              <w:rPr>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5000" w:type="pct"/>
            <w:gridSpan w:val="8"/>
            <w:noWrap w:val="0"/>
            <w:vAlign w:val="center"/>
          </w:tcPr>
          <w:p>
            <w:pPr>
              <w:adjustRightInd w:val="0"/>
              <w:snapToGrid w:val="0"/>
              <w:spacing w:line="320" w:lineRule="exact"/>
              <w:ind w:firstLine="0" w:firstLineChars="0"/>
              <w:rPr>
                <w:b/>
                <w:bCs/>
                <w:snapToGrid w:val="0"/>
                <w:kern w:val="0"/>
                <w:sz w:val="21"/>
                <w:szCs w:val="21"/>
              </w:rPr>
            </w:pPr>
            <w:r>
              <w:rPr>
                <w:rFonts w:hint="eastAsia"/>
                <w:b/>
                <w:bCs/>
                <w:snapToGrid w:val="0"/>
                <w:kern w:val="0"/>
                <w:sz w:val="21"/>
                <w:szCs w:val="21"/>
              </w:rPr>
              <w:t>十</w:t>
            </w:r>
            <w:r>
              <w:rPr>
                <w:rFonts w:hint="eastAsia"/>
                <w:b/>
                <w:bCs/>
                <w:snapToGrid w:val="0"/>
                <w:kern w:val="0"/>
                <w:sz w:val="21"/>
                <w:szCs w:val="21"/>
                <w:lang w:eastAsia="zh-CN"/>
              </w:rPr>
              <w:t>二</w:t>
            </w:r>
            <w:r>
              <w:rPr>
                <w:rFonts w:hint="eastAsia"/>
                <w:b/>
                <w:bCs/>
                <w:snapToGrid w:val="0"/>
                <w:kern w:val="0"/>
                <w:sz w:val="21"/>
                <w:szCs w:val="21"/>
              </w:rPr>
              <w:t>、脱水间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snapToGrid w:val="0"/>
                <w:kern w:val="0"/>
                <w:sz w:val="21"/>
                <w:szCs w:val="21"/>
              </w:rPr>
            </w:pPr>
            <w:r>
              <w:rPr>
                <w:rFonts w:hint="eastAsia"/>
                <w:snapToGrid w:val="0"/>
                <w:kern w:val="0"/>
                <w:sz w:val="21"/>
                <w:szCs w:val="21"/>
              </w:rPr>
              <w:t>1</w:t>
            </w:r>
          </w:p>
        </w:tc>
        <w:tc>
          <w:tcPr>
            <w:tcW w:w="1447" w:type="pct"/>
            <w:noWrap w:val="0"/>
            <w:vAlign w:val="center"/>
          </w:tcPr>
          <w:p>
            <w:pPr>
              <w:spacing w:before="1" w:line="320" w:lineRule="exact"/>
              <w:ind w:right="88" w:firstLine="0" w:firstLineChars="0"/>
              <w:jc w:val="center"/>
              <w:rPr>
                <w:rFonts w:hint="eastAsia" w:ascii="Times New Roman" w:hAnsi="Times New Roman" w:eastAsia="宋体" w:cs="Times New Roman"/>
                <w:snapToGrid w:val="0"/>
                <w:kern w:val="0"/>
                <w:sz w:val="21"/>
                <w:szCs w:val="21"/>
              </w:rPr>
            </w:pPr>
            <w:r>
              <w:rPr>
                <w:rFonts w:hint="eastAsia" w:ascii="Times New Roman" w:hAnsi="Times New Roman" w:eastAsia="宋体" w:cs="Times New Roman"/>
                <w:snapToGrid w:val="0"/>
                <w:kern w:val="0"/>
                <w:sz w:val="21"/>
                <w:szCs w:val="21"/>
                <w:lang w:val="en-US" w:eastAsia="zh-CN"/>
              </w:rPr>
              <w:t>预浓缩机</w:t>
            </w:r>
          </w:p>
        </w:tc>
        <w:tc>
          <w:tcPr>
            <w:tcW w:w="349" w:type="pct"/>
            <w:noWrap w:val="0"/>
            <w:vAlign w:val="center"/>
          </w:tcPr>
          <w:p>
            <w:pPr>
              <w:spacing w:before="1" w:line="320" w:lineRule="exact"/>
              <w:ind w:right="88" w:firstLine="0" w:firstLineChars="0"/>
              <w:jc w:val="center"/>
              <w:rPr>
                <w:rFonts w:hint="eastAsia" w:ascii="Times New Roman" w:hAnsi="Times New Roman" w:eastAsia="宋体" w:cs="Times New Roman"/>
                <w:snapToGrid w:val="0"/>
                <w:kern w:val="0"/>
                <w:sz w:val="21"/>
                <w:szCs w:val="21"/>
              </w:rPr>
            </w:pPr>
            <w:r>
              <w:rPr>
                <w:sz w:val="21"/>
              </w:rPr>
              <w:t>台</w:t>
            </w:r>
          </w:p>
        </w:tc>
        <w:tc>
          <w:tcPr>
            <w:tcW w:w="843" w:type="pct"/>
            <w:noWrap w:val="0"/>
            <w:vAlign w:val="center"/>
          </w:tcPr>
          <w:p>
            <w:pPr>
              <w:spacing w:before="1" w:line="320" w:lineRule="exact"/>
              <w:ind w:right="88" w:firstLine="0" w:firstLineChars="0"/>
              <w:jc w:val="center"/>
              <w:rPr>
                <w:rFonts w:hint="eastAsia" w:ascii="Times New Roman" w:hAnsi="Times New Roman" w:eastAsia="宋体" w:cs="Times New Roman"/>
                <w:snapToGrid w:val="0"/>
                <w:kern w:val="0"/>
                <w:sz w:val="21"/>
                <w:szCs w:val="21"/>
                <w:lang w:val="en-US" w:eastAsia="zh-CN"/>
              </w:rPr>
            </w:pPr>
            <w:r>
              <w:rPr>
                <w:rFonts w:hint="eastAsia" w:ascii="Times New Roman" w:hAnsi="Times New Roman" w:eastAsia="宋体" w:cs="Times New Roman"/>
                <w:snapToGrid w:val="0"/>
                <w:kern w:val="0"/>
                <w:sz w:val="21"/>
                <w:szCs w:val="21"/>
                <w:lang w:val="en-US" w:eastAsia="zh-CN"/>
              </w:rPr>
              <w:t>1</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snapToGrid w:val="0"/>
                <w:kern w:val="0"/>
                <w:sz w:val="21"/>
                <w:szCs w:val="21"/>
                <w:lang w:val="en-US" w:eastAsia="zh-CN"/>
              </w:rPr>
              <w:t>1</w:t>
            </w:r>
          </w:p>
        </w:tc>
        <w:tc>
          <w:tcPr>
            <w:tcW w:w="573" w:type="pct"/>
            <w:noWrap w:val="0"/>
            <w:vAlign w:val="center"/>
          </w:tcPr>
          <w:p>
            <w:pPr>
              <w:pStyle w:val="29"/>
              <w:ind w:firstLine="0" w:firstLineChars="0"/>
              <w:rPr>
                <w:rFonts w:hint="eastAsia" w:ascii="Times New Roman" w:hAnsi="Times New Roman" w:eastAsia="宋体" w:cs="Times New Roman"/>
                <w:snapToGrid w:val="0"/>
                <w:kern w:val="0"/>
                <w:sz w:val="21"/>
                <w:szCs w:val="21"/>
              </w:rPr>
            </w:pPr>
            <w:r>
              <w:t>无</w:t>
            </w:r>
          </w:p>
        </w:tc>
        <w:tc>
          <w:tcPr>
            <w:tcW w:w="812" w:type="pct"/>
            <w:gridSpan w:val="2"/>
            <w:vMerge w:val="restart"/>
            <w:noWrap w:val="0"/>
            <w:vAlign w:val="center"/>
          </w:tcPr>
          <w:p>
            <w:pPr>
              <w:adjustRightInd w:val="0"/>
              <w:snapToGrid w:val="0"/>
              <w:spacing w:line="320" w:lineRule="exact"/>
              <w:ind w:firstLine="0" w:firstLineChars="0"/>
              <w:jc w:val="center"/>
              <w:rPr>
                <w:rFonts w:hint="eastAsia"/>
                <w:snapToGrid w:val="0"/>
                <w:kern w:val="0"/>
                <w:sz w:val="21"/>
                <w:szCs w:val="21"/>
              </w:rPr>
            </w:pPr>
            <w:r>
              <w:rPr>
                <w:rFonts w:hint="eastAsia"/>
                <w:snapToGrid w:val="0"/>
                <w:kern w:val="0"/>
                <w:sz w:val="21"/>
                <w:szCs w:val="21"/>
              </w:rPr>
              <w:t>两期一次安</w:t>
            </w:r>
          </w:p>
          <w:p>
            <w:pPr>
              <w:adjustRightInd w:val="0"/>
              <w:snapToGrid w:val="0"/>
              <w:spacing w:line="320" w:lineRule="exact"/>
              <w:ind w:firstLine="0" w:firstLineChars="0"/>
              <w:jc w:val="center"/>
              <w:rPr>
                <w:snapToGrid w:val="0"/>
                <w:kern w:val="0"/>
                <w:sz w:val="21"/>
                <w:szCs w:val="21"/>
              </w:rPr>
            </w:pPr>
            <w:r>
              <w:rPr>
                <w:rFonts w:hint="eastAsia"/>
                <w:snapToGrid w:val="0"/>
                <w:kern w:val="0"/>
                <w:sz w:val="21"/>
                <w:szCs w:val="21"/>
              </w:rPr>
              <w:t>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2</w:t>
            </w:r>
          </w:p>
        </w:tc>
        <w:tc>
          <w:tcPr>
            <w:tcW w:w="1447" w:type="pct"/>
            <w:noWrap w:val="0"/>
            <w:vAlign w:val="center"/>
          </w:tcPr>
          <w:p>
            <w:pPr>
              <w:spacing w:before="1" w:line="320" w:lineRule="exact"/>
              <w:ind w:right="88" w:firstLine="0" w:firstLineChars="0"/>
              <w:jc w:val="center"/>
              <w:rPr>
                <w:rFonts w:hint="eastAsia" w:ascii="Times New Roman" w:hAnsi="Times New Roman" w:eastAsia="宋体" w:cs="Times New Roman"/>
                <w:snapToGrid w:val="0"/>
                <w:kern w:val="0"/>
                <w:sz w:val="21"/>
                <w:szCs w:val="21"/>
              </w:rPr>
            </w:pPr>
            <w:r>
              <w:rPr>
                <w:rFonts w:hint="eastAsia" w:ascii="Times New Roman" w:hAnsi="Times New Roman" w:eastAsia="宋体" w:cs="Times New Roman"/>
                <w:snapToGrid w:val="0"/>
                <w:kern w:val="0"/>
                <w:sz w:val="21"/>
                <w:szCs w:val="21"/>
                <w:lang w:val="en-US" w:eastAsia="zh-CN"/>
              </w:rPr>
              <w:t>板框压滤机</w:t>
            </w:r>
          </w:p>
        </w:tc>
        <w:tc>
          <w:tcPr>
            <w:tcW w:w="349" w:type="pct"/>
            <w:noWrap w:val="0"/>
            <w:vAlign w:val="center"/>
          </w:tcPr>
          <w:p>
            <w:pPr>
              <w:spacing w:before="1" w:line="320" w:lineRule="exact"/>
              <w:ind w:right="88" w:firstLine="0" w:firstLineChars="0"/>
              <w:jc w:val="center"/>
              <w:rPr>
                <w:rFonts w:hint="eastAsia" w:ascii="Times New Roman" w:hAnsi="Times New Roman" w:eastAsia="宋体" w:cs="Times New Roman"/>
                <w:snapToGrid w:val="0"/>
                <w:kern w:val="0"/>
                <w:sz w:val="21"/>
                <w:szCs w:val="21"/>
              </w:rPr>
            </w:pPr>
            <w:r>
              <w:rPr>
                <w:sz w:val="21"/>
              </w:rPr>
              <w:t>台</w:t>
            </w:r>
          </w:p>
        </w:tc>
        <w:tc>
          <w:tcPr>
            <w:tcW w:w="843" w:type="pct"/>
            <w:noWrap w:val="0"/>
            <w:vAlign w:val="center"/>
          </w:tcPr>
          <w:p>
            <w:pPr>
              <w:spacing w:before="1" w:line="320" w:lineRule="exact"/>
              <w:ind w:right="88" w:firstLine="0" w:firstLineChars="0"/>
              <w:jc w:val="center"/>
              <w:rPr>
                <w:rFonts w:hint="eastAsia" w:ascii="Times New Roman" w:hAnsi="Times New Roman" w:eastAsia="宋体" w:cs="Times New Roman"/>
                <w:snapToGrid w:val="0"/>
                <w:kern w:val="0"/>
                <w:sz w:val="21"/>
                <w:szCs w:val="21"/>
                <w:lang w:val="en-US" w:eastAsia="zh-CN"/>
              </w:rPr>
            </w:pPr>
            <w:r>
              <w:rPr>
                <w:rFonts w:hint="eastAsia" w:ascii="Times New Roman" w:hAnsi="Times New Roman" w:eastAsia="宋体" w:cs="Times New Roman"/>
                <w:snapToGrid w:val="0"/>
                <w:kern w:val="0"/>
                <w:sz w:val="21"/>
                <w:szCs w:val="21"/>
                <w:lang w:val="en-US" w:eastAsia="zh-CN"/>
              </w:rPr>
              <w:t>1</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snapToGrid w:val="0"/>
                <w:kern w:val="0"/>
                <w:sz w:val="21"/>
                <w:szCs w:val="21"/>
                <w:lang w:val="en-US" w:eastAsia="zh-CN"/>
              </w:rPr>
              <w:t>1</w:t>
            </w:r>
          </w:p>
        </w:tc>
        <w:tc>
          <w:tcPr>
            <w:tcW w:w="573" w:type="pct"/>
            <w:noWrap w:val="0"/>
            <w:vAlign w:val="center"/>
          </w:tcPr>
          <w:p>
            <w:pPr>
              <w:pStyle w:val="29"/>
              <w:ind w:firstLine="0" w:firstLineChars="0"/>
              <w:rPr>
                <w:rFonts w:hint="eastAsia" w:ascii="Times New Roman" w:hAnsi="Times New Roman" w:eastAsia="宋体" w:cs="Times New Roman"/>
                <w:snapToGrid w:val="0"/>
                <w:kern w:val="0"/>
                <w:sz w:val="21"/>
                <w:szCs w:val="21"/>
              </w:rPr>
            </w:pPr>
            <w:r>
              <w:t>无</w:t>
            </w:r>
          </w:p>
        </w:tc>
        <w:tc>
          <w:tcPr>
            <w:tcW w:w="812" w:type="pct"/>
            <w:gridSpan w:val="2"/>
            <w:vMerge w:val="continue"/>
            <w:noWrap w:val="0"/>
            <w:vAlign w:val="center"/>
          </w:tcPr>
          <w:p>
            <w:pPr>
              <w:adjustRightInd w:val="0"/>
              <w:snapToGrid w:val="0"/>
              <w:spacing w:line="320" w:lineRule="exact"/>
              <w:ind w:firstLine="0" w:firstLineChars="0"/>
              <w:jc w:val="center"/>
              <w:rPr>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rFonts w:hint="default" w:eastAsia="宋体"/>
                <w:snapToGrid w:val="0"/>
                <w:kern w:val="0"/>
                <w:sz w:val="21"/>
                <w:szCs w:val="21"/>
                <w:lang w:val="en-US" w:eastAsia="zh-CN"/>
              </w:rPr>
            </w:pPr>
            <w:r>
              <w:rPr>
                <w:rFonts w:hint="eastAsia"/>
                <w:snapToGrid w:val="0"/>
                <w:kern w:val="0"/>
                <w:sz w:val="21"/>
                <w:szCs w:val="21"/>
                <w:lang w:val="en-US" w:eastAsia="zh-CN"/>
              </w:rPr>
              <w:t>3</w:t>
            </w:r>
          </w:p>
        </w:tc>
        <w:tc>
          <w:tcPr>
            <w:tcW w:w="1447" w:type="pct"/>
            <w:noWrap w:val="0"/>
            <w:vAlign w:val="center"/>
          </w:tcPr>
          <w:p>
            <w:pPr>
              <w:spacing w:before="1" w:line="320" w:lineRule="exact"/>
              <w:ind w:right="88" w:firstLine="0" w:firstLineChars="0"/>
              <w:jc w:val="center"/>
              <w:rPr>
                <w:rFonts w:hint="eastAsia" w:ascii="Times New Roman" w:hAnsi="Times New Roman" w:eastAsia="宋体" w:cs="Times New Roman"/>
                <w:snapToGrid w:val="0"/>
                <w:kern w:val="0"/>
                <w:sz w:val="21"/>
                <w:szCs w:val="21"/>
              </w:rPr>
            </w:pPr>
            <w:r>
              <w:rPr>
                <w:rFonts w:hint="eastAsia" w:ascii="Times New Roman" w:hAnsi="Times New Roman" w:eastAsia="宋体" w:cs="Times New Roman"/>
                <w:snapToGrid w:val="0"/>
                <w:kern w:val="0"/>
                <w:sz w:val="21"/>
                <w:szCs w:val="21"/>
                <w:lang w:val="en-US" w:eastAsia="zh-CN"/>
              </w:rPr>
              <w:t>污泥缓存罐</w:t>
            </w:r>
          </w:p>
        </w:tc>
        <w:tc>
          <w:tcPr>
            <w:tcW w:w="349" w:type="pct"/>
            <w:noWrap w:val="0"/>
            <w:vAlign w:val="center"/>
          </w:tcPr>
          <w:p>
            <w:pPr>
              <w:spacing w:before="1" w:line="320" w:lineRule="exact"/>
              <w:ind w:right="88" w:firstLine="0" w:firstLineChars="0"/>
              <w:jc w:val="center"/>
              <w:rPr>
                <w:rFonts w:hint="eastAsia" w:ascii="Times New Roman" w:hAnsi="Times New Roman" w:eastAsia="宋体" w:cs="Times New Roman"/>
                <w:snapToGrid w:val="0"/>
                <w:kern w:val="0"/>
                <w:sz w:val="21"/>
                <w:szCs w:val="21"/>
                <w:lang w:eastAsia="zh-CN"/>
              </w:rPr>
            </w:pPr>
            <w:r>
              <w:rPr>
                <w:rFonts w:hint="eastAsia" w:ascii="Times New Roman" w:hAnsi="Times New Roman" w:eastAsia="宋体" w:cs="Times New Roman"/>
                <w:snapToGrid w:val="0"/>
                <w:kern w:val="0"/>
                <w:sz w:val="21"/>
                <w:szCs w:val="21"/>
                <w:lang w:eastAsia="zh-CN"/>
              </w:rPr>
              <w:t>套</w:t>
            </w:r>
          </w:p>
        </w:tc>
        <w:tc>
          <w:tcPr>
            <w:tcW w:w="843" w:type="pct"/>
            <w:noWrap w:val="0"/>
            <w:vAlign w:val="center"/>
          </w:tcPr>
          <w:p>
            <w:pPr>
              <w:spacing w:before="1" w:line="320" w:lineRule="exact"/>
              <w:ind w:right="88" w:firstLine="0" w:firstLineChars="0"/>
              <w:jc w:val="center"/>
              <w:rPr>
                <w:rFonts w:hint="eastAsia" w:ascii="Times New Roman" w:hAnsi="Times New Roman" w:eastAsia="宋体" w:cs="Times New Roman"/>
                <w:snapToGrid w:val="0"/>
                <w:kern w:val="0"/>
                <w:sz w:val="21"/>
                <w:szCs w:val="21"/>
                <w:lang w:val="en-US" w:eastAsia="zh-CN"/>
              </w:rPr>
            </w:pPr>
            <w:r>
              <w:rPr>
                <w:rFonts w:hint="eastAsia" w:ascii="Times New Roman" w:hAnsi="Times New Roman" w:eastAsia="宋体" w:cs="Times New Roman"/>
                <w:snapToGrid w:val="0"/>
                <w:kern w:val="0"/>
                <w:sz w:val="21"/>
                <w:szCs w:val="21"/>
                <w:lang w:val="en-US" w:eastAsia="zh-CN"/>
              </w:rPr>
              <w:t>1</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snapToGrid w:val="0"/>
                <w:kern w:val="0"/>
                <w:sz w:val="21"/>
                <w:szCs w:val="21"/>
                <w:lang w:val="en-US" w:eastAsia="zh-CN"/>
              </w:rPr>
              <w:t>1</w:t>
            </w:r>
          </w:p>
        </w:tc>
        <w:tc>
          <w:tcPr>
            <w:tcW w:w="573" w:type="pct"/>
            <w:noWrap w:val="0"/>
            <w:vAlign w:val="center"/>
          </w:tcPr>
          <w:p>
            <w:pPr>
              <w:pStyle w:val="29"/>
              <w:ind w:firstLine="0" w:firstLineChars="0"/>
              <w:rPr>
                <w:rFonts w:hint="eastAsia" w:ascii="Times New Roman" w:hAnsi="Times New Roman" w:eastAsia="宋体" w:cs="Times New Roman"/>
                <w:snapToGrid w:val="0"/>
                <w:kern w:val="0"/>
                <w:sz w:val="21"/>
                <w:szCs w:val="21"/>
              </w:rPr>
            </w:pPr>
            <w:r>
              <w:t>无</w:t>
            </w:r>
          </w:p>
        </w:tc>
        <w:tc>
          <w:tcPr>
            <w:tcW w:w="812" w:type="pct"/>
            <w:gridSpan w:val="2"/>
            <w:vMerge w:val="continue"/>
            <w:noWrap w:val="0"/>
            <w:vAlign w:val="center"/>
          </w:tcPr>
          <w:p>
            <w:pPr>
              <w:adjustRightInd w:val="0"/>
              <w:snapToGrid w:val="0"/>
              <w:spacing w:line="320" w:lineRule="exact"/>
              <w:ind w:firstLine="0" w:firstLineChars="0"/>
              <w:jc w:val="center"/>
              <w:rPr>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4</w:t>
            </w:r>
          </w:p>
        </w:tc>
        <w:tc>
          <w:tcPr>
            <w:tcW w:w="1447" w:type="pct"/>
            <w:noWrap w:val="0"/>
            <w:vAlign w:val="center"/>
          </w:tcPr>
          <w:p>
            <w:pPr>
              <w:spacing w:before="1" w:line="320" w:lineRule="exact"/>
              <w:ind w:right="88" w:firstLine="0" w:firstLineChars="0"/>
              <w:jc w:val="center"/>
              <w:rPr>
                <w:rFonts w:hint="eastAsia" w:ascii="Times New Roman" w:hAnsi="Times New Roman" w:eastAsia="宋体" w:cs="Times New Roman"/>
                <w:snapToGrid w:val="0"/>
                <w:kern w:val="0"/>
                <w:sz w:val="21"/>
                <w:szCs w:val="21"/>
              </w:rPr>
            </w:pPr>
            <w:r>
              <w:rPr>
                <w:rFonts w:hint="eastAsia" w:ascii="Times New Roman" w:hAnsi="Times New Roman" w:eastAsia="宋体" w:cs="Times New Roman"/>
                <w:snapToGrid w:val="0"/>
                <w:kern w:val="0"/>
                <w:sz w:val="21"/>
                <w:szCs w:val="21"/>
                <w:lang w:val="en-US" w:eastAsia="zh-CN"/>
              </w:rPr>
              <w:t>中转泵</w:t>
            </w:r>
          </w:p>
        </w:tc>
        <w:tc>
          <w:tcPr>
            <w:tcW w:w="349" w:type="pct"/>
            <w:noWrap w:val="0"/>
            <w:vAlign w:val="center"/>
          </w:tcPr>
          <w:p>
            <w:pPr>
              <w:spacing w:before="1" w:line="320" w:lineRule="exact"/>
              <w:ind w:right="88" w:firstLine="0" w:firstLineChars="0"/>
              <w:jc w:val="center"/>
              <w:rPr>
                <w:rFonts w:hint="eastAsia" w:ascii="Times New Roman" w:hAnsi="Times New Roman" w:eastAsia="宋体" w:cs="Times New Roman"/>
                <w:snapToGrid w:val="0"/>
                <w:kern w:val="0"/>
                <w:sz w:val="21"/>
                <w:szCs w:val="21"/>
                <w:lang w:eastAsia="zh-CN"/>
              </w:rPr>
            </w:pPr>
            <w:r>
              <w:rPr>
                <w:rFonts w:hint="eastAsia" w:ascii="Times New Roman" w:hAnsi="Times New Roman" w:eastAsia="宋体" w:cs="Times New Roman"/>
                <w:snapToGrid w:val="0"/>
                <w:kern w:val="0"/>
                <w:sz w:val="21"/>
                <w:szCs w:val="21"/>
                <w:lang w:eastAsia="zh-CN"/>
              </w:rPr>
              <w:t>台</w:t>
            </w:r>
          </w:p>
        </w:tc>
        <w:tc>
          <w:tcPr>
            <w:tcW w:w="843" w:type="pct"/>
            <w:noWrap w:val="0"/>
            <w:vAlign w:val="center"/>
          </w:tcPr>
          <w:p>
            <w:pPr>
              <w:spacing w:before="1" w:line="320" w:lineRule="exact"/>
              <w:ind w:right="88" w:firstLine="0" w:firstLineChars="0"/>
              <w:jc w:val="center"/>
              <w:rPr>
                <w:rFonts w:hint="eastAsia" w:ascii="Times New Roman" w:hAnsi="Times New Roman" w:eastAsia="宋体" w:cs="Times New Roman"/>
                <w:snapToGrid w:val="0"/>
                <w:kern w:val="0"/>
                <w:sz w:val="21"/>
                <w:szCs w:val="21"/>
                <w:lang w:val="en-US" w:eastAsia="zh-CN"/>
              </w:rPr>
            </w:pPr>
            <w:r>
              <w:rPr>
                <w:rFonts w:hint="eastAsia" w:ascii="Times New Roman" w:hAnsi="Times New Roman" w:eastAsia="宋体" w:cs="Times New Roman"/>
                <w:snapToGrid w:val="0"/>
                <w:kern w:val="0"/>
                <w:sz w:val="21"/>
                <w:szCs w:val="21"/>
                <w:lang w:val="en-US" w:eastAsia="zh-CN"/>
              </w:rPr>
              <w:t>2</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snapToGrid w:val="0"/>
                <w:kern w:val="0"/>
                <w:sz w:val="21"/>
                <w:szCs w:val="21"/>
                <w:lang w:val="en-US" w:eastAsia="zh-CN"/>
              </w:rPr>
              <w:t>2</w:t>
            </w:r>
          </w:p>
        </w:tc>
        <w:tc>
          <w:tcPr>
            <w:tcW w:w="573" w:type="pct"/>
            <w:noWrap w:val="0"/>
            <w:vAlign w:val="center"/>
          </w:tcPr>
          <w:p>
            <w:pPr>
              <w:pStyle w:val="29"/>
              <w:ind w:firstLine="0" w:firstLineChars="0"/>
              <w:rPr>
                <w:rFonts w:hint="eastAsia" w:ascii="Times New Roman" w:hAnsi="Times New Roman" w:eastAsia="宋体" w:cs="Times New Roman"/>
                <w:snapToGrid w:val="0"/>
                <w:kern w:val="0"/>
                <w:sz w:val="21"/>
                <w:szCs w:val="21"/>
              </w:rPr>
            </w:pPr>
            <w:r>
              <w:t>无</w:t>
            </w:r>
          </w:p>
        </w:tc>
        <w:tc>
          <w:tcPr>
            <w:tcW w:w="812" w:type="pct"/>
            <w:gridSpan w:val="2"/>
            <w:vMerge w:val="continue"/>
            <w:noWrap w:val="0"/>
            <w:vAlign w:val="center"/>
          </w:tcPr>
          <w:p>
            <w:pPr>
              <w:adjustRightInd w:val="0"/>
              <w:snapToGrid w:val="0"/>
              <w:spacing w:line="320" w:lineRule="exact"/>
              <w:ind w:firstLine="0" w:firstLineChars="0"/>
              <w:jc w:val="center"/>
              <w:rPr>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5</w:t>
            </w:r>
          </w:p>
        </w:tc>
        <w:tc>
          <w:tcPr>
            <w:tcW w:w="1447" w:type="pct"/>
            <w:noWrap w:val="0"/>
            <w:vAlign w:val="center"/>
          </w:tcPr>
          <w:p>
            <w:pPr>
              <w:spacing w:before="1" w:line="320" w:lineRule="exact"/>
              <w:ind w:right="88" w:firstLine="0" w:firstLineChars="0"/>
              <w:jc w:val="center"/>
              <w:rPr>
                <w:rFonts w:hint="eastAsia" w:ascii="Times New Roman" w:hAnsi="Times New Roman" w:eastAsia="宋体" w:cs="Times New Roman"/>
                <w:snapToGrid w:val="0"/>
                <w:kern w:val="0"/>
                <w:sz w:val="21"/>
                <w:szCs w:val="21"/>
              </w:rPr>
            </w:pPr>
            <w:r>
              <w:rPr>
                <w:rFonts w:hint="eastAsia" w:ascii="Times New Roman" w:hAnsi="Times New Roman" w:eastAsia="宋体" w:cs="Times New Roman"/>
                <w:snapToGrid w:val="0"/>
                <w:kern w:val="0"/>
                <w:sz w:val="21"/>
                <w:szCs w:val="21"/>
                <w:lang w:val="en-US" w:eastAsia="zh-CN"/>
              </w:rPr>
              <w:t>污泥调理罐</w:t>
            </w:r>
          </w:p>
        </w:tc>
        <w:tc>
          <w:tcPr>
            <w:tcW w:w="349" w:type="pct"/>
            <w:noWrap w:val="0"/>
            <w:vAlign w:val="center"/>
          </w:tcPr>
          <w:p>
            <w:pPr>
              <w:spacing w:before="1" w:line="320" w:lineRule="exact"/>
              <w:ind w:right="88" w:firstLine="0" w:firstLineChars="0"/>
              <w:jc w:val="center"/>
              <w:rPr>
                <w:rFonts w:hint="eastAsia" w:ascii="Times New Roman" w:hAnsi="Times New Roman" w:eastAsia="宋体" w:cs="Times New Roman"/>
                <w:snapToGrid w:val="0"/>
                <w:kern w:val="0"/>
                <w:sz w:val="21"/>
                <w:szCs w:val="21"/>
                <w:lang w:eastAsia="zh-CN"/>
              </w:rPr>
            </w:pPr>
            <w:r>
              <w:rPr>
                <w:rFonts w:hint="eastAsia" w:ascii="Times New Roman" w:hAnsi="Times New Roman" w:eastAsia="宋体" w:cs="Times New Roman"/>
                <w:snapToGrid w:val="0"/>
                <w:kern w:val="0"/>
                <w:sz w:val="21"/>
                <w:szCs w:val="21"/>
                <w:lang w:eastAsia="zh-CN"/>
              </w:rPr>
              <w:t>套</w:t>
            </w:r>
          </w:p>
        </w:tc>
        <w:tc>
          <w:tcPr>
            <w:tcW w:w="843" w:type="pct"/>
            <w:noWrap w:val="0"/>
            <w:vAlign w:val="center"/>
          </w:tcPr>
          <w:p>
            <w:pPr>
              <w:spacing w:before="1" w:line="320" w:lineRule="exact"/>
              <w:ind w:right="88" w:firstLine="0" w:firstLineChars="0"/>
              <w:jc w:val="center"/>
              <w:rPr>
                <w:rFonts w:hint="eastAsia" w:ascii="Times New Roman" w:hAnsi="Times New Roman" w:eastAsia="宋体" w:cs="Times New Roman"/>
                <w:snapToGrid w:val="0"/>
                <w:kern w:val="0"/>
                <w:sz w:val="21"/>
                <w:szCs w:val="21"/>
                <w:lang w:val="en-US" w:eastAsia="zh-CN"/>
              </w:rPr>
            </w:pPr>
            <w:r>
              <w:rPr>
                <w:rFonts w:hint="eastAsia" w:ascii="Times New Roman" w:hAnsi="Times New Roman" w:eastAsia="宋体" w:cs="Times New Roman"/>
                <w:snapToGrid w:val="0"/>
                <w:kern w:val="0"/>
                <w:sz w:val="21"/>
                <w:szCs w:val="21"/>
                <w:lang w:val="en-US" w:eastAsia="zh-CN"/>
              </w:rPr>
              <w:t>1</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snapToGrid w:val="0"/>
                <w:kern w:val="0"/>
                <w:sz w:val="21"/>
                <w:szCs w:val="21"/>
                <w:lang w:val="en-US" w:eastAsia="zh-CN"/>
              </w:rPr>
              <w:t>1</w:t>
            </w:r>
          </w:p>
        </w:tc>
        <w:tc>
          <w:tcPr>
            <w:tcW w:w="573" w:type="pct"/>
            <w:noWrap w:val="0"/>
            <w:vAlign w:val="center"/>
          </w:tcPr>
          <w:p>
            <w:pPr>
              <w:pStyle w:val="29"/>
              <w:ind w:firstLine="0" w:firstLineChars="0"/>
              <w:rPr>
                <w:rFonts w:hint="eastAsia" w:ascii="Times New Roman" w:hAnsi="Times New Roman" w:eastAsia="宋体" w:cs="Times New Roman"/>
                <w:snapToGrid w:val="0"/>
                <w:kern w:val="0"/>
                <w:sz w:val="21"/>
                <w:szCs w:val="21"/>
              </w:rPr>
            </w:pPr>
            <w:r>
              <w:t>无</w:t>
            </w:r>
          </w:p>
        </w:tc>
        <w:tc>
          <w:tcPr>
            <w:tcW w:w="812" w:type="pct"/>
            <w:gridSpan w:val="2"/>
            <w:vMerge w:val="continue"/>
            <w:noWrap w:val="0"/>
            <w:vAlign w:val="center"/>
          </w:tcPr>
          <w:p>
            <w:pPr>
              <w:adjustRightInd w:val="0"/>
              <w:snapToGrid w:val="0"/>
              <w:spacing w:line="320" w:lineRule="exact"/>
              <w:ind w:firstLine="0" w:firstLineChars="0"/>
              <w:jc w:val="center"/>
              <w:rPr>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6</w:t>
            </w:r>
          </w:p>
        </w:tc>
        <w:tc>
          <w:tcPr>
            <w:tcW w:w="1447" w:type="pct"/>
            <w:noWrap w:val="0"/>
            <w:vAlign w:val="center"/>
          </w:tcPr>
          <w:p>
            <w:pPr>
              <w:spacing w:before="1" w:line="320" w:lineRule="exact"/>
              <w:ind w:right="88" w:firstLine="0" w:firstLineChars="0"/>
              <w:jc w:val="center"/>
              <w:rPr>
                <w:rFonts w:hint="eastAsia" w:ascii="Times New Roman" w:hAnsi="Times New Roman" w:eastAsia="宋体" w:cs="Times New Roman"/>
                <w:snapToGrid w:val="0"/>
                <w:kern w:val="0"/>
                <w:sz w:val="21"/>
                <w:szCs w:val="21"/>
              </w:rPr>
            </w:pPr>
            <w:r>
              <w:rPr>
                <w:rFonts w:hint="eastAsia" w:ascii="Times New Roman" w:hAnsi="Times New Roman" w:eastAsia="宋体" w:cs="Times New Roman"/>
                <w:snapToGrid w:val="0"/>
                <w:kern w:val="0"/>
                <w:sz w:val="21"/>
                <w:szCs w:val="21"/>
                <w:lang w:val="en-US" w:eastAsia="zh-CN"/>
              </w:rPr>
              <w:t>压滤机进泥泵</w:t>
            </w:r>
          </w:p>
        </w:tc>
        <w:tc>
          <w:tcPr>
            <w:tcW w:w="349" w:type="pct"/>
            <w:noWrap w:val="0"/>
            <w:vAlign w:val="center"/>
          </w:tcPr>
          <w:p>
            <w:pPr>
              <w:spacing w:before="1" w:line="320" w:lineRule="exact"/>
              <w:ind w:right="88" w:rightChars="0" w:firstLine="0" w:firstLineChars="0"/>
              <w:jc w:val="center"/>
              <w:rPr>
                <w:rFonts w:hint="eastAsia" w:ascii="Times New Roman" w:hAnsi="Times New Roman" w:eastAsia="宋体" w:cs="Times New Roman"/>
                <w:snapToGrid w:val="0"/>
                <w:kern w:val="0"/>
                <w:sz w:val="21"/>
                <w:szCs w:val="21"/>
                <w:lang w:val="en-US" w:eastAsia="zh-CN" w:bidi="ar-SA"/>
              </w:rPr>
            </w:pPr>
            <w:r>
              <w:rPr>
                <w:sz w:val="21"/>
              </w:rPr>
              <w:t>台</w:t>
            </w:r>
          </w:p>
        </w:tc>
        <w:tc>
          <w:tcPr>
            <w:tcW w:w="843" w:type="pct"/>
            <w:noWrap w:val="0"/>
            <w:vAlign w:val="center"/>
          </w:tcPr>
          <w:p>
            <w:pPr>
              <w:spacing w:before="1" w:line="320" w:lineRule="exact"/>
              <w:ind w:right="88" w:firstLine="0" w:firstLineChars="0"/>
              <w:jc w:val="center"/>
              <w:rPr>
                <w:rFonts w:hint="eastAsia" w:ascii="Times New Roman" w:hAnsi="Times New Roman" w:eastAsia="宋体" w:cs="Times New Roman"/>
                <w:snapToGrid w:val="0"/>
                <w:kern w:val="0"/>
                <w:sz w:val="21"/>
                <w:szCs w:val="21"/>
                <w:lang w:val="en-US" w:eastAsia="zh-CN"/>
              </w:rPr>
            </w:pPr>
            <w:r>
              <w:rPr>
                <w:rFonts w:hint="eastAsia" w:ascii="Times New Roman" w:hAnsi="Times New Roman" w:eastAsia="宋体" w:cs="Times New Roman"/>
                <w:snapToGrid w:val="0"/>
                <w:kern w:val="0"/>
                <w:sz w:val="21"/>
                <w:szCs w:val="21"/>
                <w:lang w:val="en-US" w:eastAsia="zh-CN"/>
              </w:rPr>
              <w:t>2</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snapToGrid w:val="0"/>
                <w:kern w:val="0"/>
                <w:sz w:val="21"/>
                <w:szCs w:val="21"/>
                <w:lang w:val="en-US" w:eastAsia="zh-CN"/>
              </w:rPr>
              <w:t>2</w:t>
            </w:r>
          </w:p>
        </w:tc>
        <w:tc>
          <w:tcPr>
            <w:tcW w:w="573" w:type="pct"/>
            <w:noWrap w:val="0"/>
            <w:vAlign w:val="center"/>
          </w:tcPr>
          <w:p>
            <w:pPr>
              <w:pStyle w:val="29"/>
              <w:ind w:firstLine="0" w:firstLineChars="0"/>
              <w:rPr>
                <w:rFonts w:hint="eastAsia" w:ascii="Times New Roman" w:hAnsi="Times New Roman" w:eastAsia="宋体" w:cs="Times New Roman"/>
                <w:snapToGrid w:val="0"/>
                <w:kern w:val="0"/>
                <w:sz w:val="21"/>
                <w:szCs w:val="21"/>
              </w:rPr>
            </w:pPr>
            <w:r>
              <w:t>无</w:t>
            </w:r>
          </w:p>
        </w:tc>
        <w:tc>
          <w:tcPr>
            <w:tcW w:w="812" w:type="pct"/>
            <w:gridSpan w:val="2"/>
            <w:vMerge w:val="continue"/>
            <w:noWrap w:val="0"/>
            <w:vAlign w:val="center"/>
          </w:tcPr>
          <w:p>
            <w:pPr>
              <w:adjustRightInd w:val="0"/>
              <w:snapToGrid w:val="0"/>
              <w:spacing w:line="320" w:lineRule="exact"/>
              <w:ind w:firstLine="0" w:firstLineChars="0"/>
              <w:jc w:val="center"/>
              <w:rPr>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7</w:t>
            </w:r>
          </w:p>
        </w:tc>
        <w:tc>
          <w:tcPr>
            <w:tcW w:w="1447" w:type="pct"/>
            <w:noWrap w:val="0"/>
            <w:vAlign w:val="center"/>
          </w:tcPr>
          <w:p>
            <w:pPr>
              <w:spacing w:before="1" w:line="320" w:lineRule="exact"/>
              <w:ind w:right="88" w:firstLine="0" w:firstLineChars="0"/>
              <w:jc w:val="center"/>
              <w:rPr>
                <w:rFonts w:hint="eastAsia" w:ascii="Times New Roman" w:hAnsi="Times New Roman" w:eastAsia="宋体" w:cs="Times New Roman"/>
                <w:snapToGrid w:val="0"/>
                <w:kern w:val="0"/>
                <w:sz w:val="21"/>
                <w:szCs w:val="21"/>
              </w:rPr>
            </w:pPr>
            <w:r>
              <w:rPr>
                <w:rFonts w:hint="eastAsia" w:ascii="Times New Roman" w:hAnsi="Times New Roman" w:eastAsia="宋体" w:cs="Times New Roman"/>
                <w:snapToGrid w:val="0"/>
                <w:kern w:val="0"/>
                <w:sz w:val="21"/>
                <w:szCs w:val="21"/>
                <w:lang w:val="en-US" w:eastAsia="zh-CN"/>
              </w:rPr>
              <w:t>水平皮带输送机</w:t>
            </w:r>
          </w:p>
        </w:tc>
        <w:tc>
          <w:tcPr>
            <w:tcW w:w="349" w:type="pct"/>
            <w:noWrap w:val="0"/>
            <w:vAlign w:val="center"/>
          </w:tcPr>
          <w:p>
            <w:pPr>
              <w:spacing w:before="1" w:line="320" w:lineRule="exact"/>
              <w:ind w:right="88" w:rightChars="0" w:firstLine="0" w:firstLineChars="0"/>
              <w:jc w:val="center"/>
              <w:rPr>
                <w:rFonts w:hint="eastAsia" w:ascii="Times New Roman" w:hAnsi="Times New Roman" w:eastAsia="宋体" w:cs="Times New Roman"/>
                <w:snapToGrid w:val="0"/>
                <w:kern w:val="0"/>
                <w:sz w:val="21"/>
                <w:szCs w:val="21"/>
                <w:lang w:val="en-US" w:eastAsia="zh-CN" w:bidi="ar-SA"/>
              </w:rPr>
            </w:pPr>
            <w:r>
              <w:rPr>
                <w:sz w:val="21"/>
              </w:rPr>
              <w:t>台</w:t>
            </w:r>
          </w:p>
        </w:tc>
        <w:tc>
          <w:tcPr>
            <w:tcW w:w="843" w:type="pct"/>
            <w:noWrap w:val="0"/>
            <w:vAlign w:val="center"/>
          </w:tcPr>
          <w:p>
            <w:pPr>
              <w:spacing w:before="1" w:line="320" w:lineRule="exact"/>
              <w:ind w:right="88" w:firstLine="0" w:firstLineChars="0"/>
              <w:jc w:val="center"/>
              <w:rPr>
                <w:rFonts w:hint="eastAsia" w:ascii="Times New Roman" w:hAnsi="Times New Roman" w:eastAsia="宋体" w:cs="Times New Roman"/>
                <w:snapToGrid w:val="0"/>
                <w:kern w:val="0"/>
                <w:sz w:val="21"/>
                <w:szCs w:val="21"/>
                <w:lang w:val="en-US" w:eastAsia="zh-CN"/>
              </w:rPr>
            </w:pPr>
            <w:r>
              <w:rPr>
                <w:rFonts w:hint="eastAsia" w:ascii="Times New Roman" w:hAnsi="Times New Roman" w:eastAsia="宋体" w:cs="Times New Roman"/>
                <w:snapToGrid w:val="0"/>
                <w:kern w:val="0"/>
                <w:sz w:val="21"/>
                <w:szCs w:val="21"/>
                <w:lang w:val="en-US" w:eastAsia="zh-CN"/>
              </w:rPr>
              <w:t>3</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snapToGrid w:val="0"/>
                <w:kern w:val="0"/>
                <w:sz w:val="21"/>
                <w:szCs w:val="21"/>
                <w:lang w:val="en-US" w:eastAsia="zh-CN"/>
              </w:rPr>
              <w:t>3</w:t>
            </w:r>
          </w:p>
        </w:tc>
        <w:tc>
          <w:tcPr>
            <w:tcW w:w="573" w:type="pct"/>
            <w:noWrap w:val="0"/>
            <w:vAlign w:val="center"/>
          </w:tcPr>
          <w:p>
            <w:pPr>
              <w:pStyle w:val="29"/>
              <w:ind w:firstLine="0" w:firstLineChars="0"/>
              <w:rPr>
                <w:rFonts w:hint="eastAsia" w:ascii="Times New Roman" w:hAnsi="Times New Roman" w:eastAsia="宋体" w:cs="Times New Roman"/>
                <w:snapToGrid w:val="0"/>
                <w:kern w:val="0"/>
                <w:sz w:val="21"/>
                <w:szCs w:val="21"/>
              </w:rPr>
            </w:pPr>
            <w:r>
              <w:t>无</w:t>
            </w:r>
          </w:p>
        </w:tc>
        <w:tc>
          <w:tcPr>
            <w:tcW w:w="812" w:type="pct"/>
            <w:gridSpan w:val="2"/>
            <w:vMerge w:val="continue"/>
            <w:noWrap w:val="0"/>
            <w:vAlign w:val="center"/>
          </w:tcPr>
          <w:p>
            <w:pPr>
              <w:adjustRightInd w:val="0"/>
              <w:snapToGrid w:val="0"/>
              <w:spacing w:line="320" w:lineRule="exact"/>
              <w:ind w:firstLine="0" w:firstLineChars="0"/>
              <w:jc w:val="center"/>
              <w:rPr>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8</w:t>
            </w:r>
          </w:p>
        </w:tc>
        <w:tc>
          <w:tcPr>
            <w:tcW w:w="1447" w:type="pct"/>
            <w:noWrap w:val="0"/>
            <w:vAlign w:val="center"/>
          </w:tcPr>
          <w:p>
            <w:pPr>
              <w:spacing w:before="1" w:line="320" w:lineRule="exact"/>
              <w:ind w:right="88" w:firstLine="0" w:firstLineChars="0"/>
              <w:jc w:val="center"/>
              <w:rPr>
                <w:rFonts w:hint="eastAsia" w:ascii="Times New Roman" w:hAnsi="Times New Roman" w:eastAsia="宋体" w:cs="Times New Roman"/>
                <w:snapToGrid w:val="0"/>
                <w:kern w:val="0"/>
                <w:sz w:val="21"/>
                <w:szCs w:val="21"/>
                <w:lang w:val="en-US" w:eastAsia="zh-CN"/>
              </w:rPr>
            </w:pPr>
            <w:r>
              <w:rPr>
                <w:rFonts w:hint="eastAsia" w:ascii="Times New Roman" w:hAnsi="Times New Roman" w:eastAsia="宋体" w:cs="Times New Roman"/>
                <w:snapToGrid w:val="0"/>
                <w:kern w:val="0"/>
                <w:sz w:val="21"/>
                <w:szCs w:val="21"/>
                <w:lang w:val="en-US" w:eastAsia="zh-CN"/>
              </w:rPr>
              <w:t>倾斜皮带输送机</w:t>
            </w:r>
          </w:p>
        </w:tc>
        <w:tc>
          <w:tcPr>
            <w:tcW w:w="349" w:type="pct"/>
            <w:noWrap w:val="0"/>
            <w:vAlign w:val="center"/>
          </w:tcPr>
          <w:p>
            <w:pPr>
              <w:spacing w:before="1" w:line="320" w:lineRule="exact"/>
              <w:ind w:right="88" w:rightChars="0" w:firstLine="0" w:firstLineChars="0"/>
              <w:jc w:val="center"/>
              <w:rPr>
                <w:rFonts w:hint="eastAsia" w:ascii="Times New Roman" w:hAnsi="Times New Roman" w:eastAsia="宋体" w:cs="Times New Roman"/>
                <w:snapToGrid w:val="0"/>
                <w:kern w:val="0"/>
                <w:sz w:val="21"/>
                <w:szCs w:val="21"/>
                <w:lang w:val="en-US" w:eastAsia="zh-CN" w:bidi="ar-SA"/>
              </w:rPr>
            </w:pPr>
            <w:r>
              <w:rPr>
                <w:sz w:val="21"/>
              </w:rPr>
              <w:t>台</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1</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1</w:t>
            </w:r>
          </w:p>
        </w:tc>
        <w:tc>
          <w:tcPr>
            <w:tcW w:w="573" w:type="pct"/>
            <w:noWrap w:val="0"/>
            <w:vAlign w:val="center"/>
          </w:tcPr>
          <w:p>
            <w:pPr>
              <w:pStyle w:val="29"/>
              <w:ind w:firstLine="0" w:firstLineChars="0"/>
              <w:rPr>
                <w:snapToGrid w:val="0"/>
                <w:kern w:val="0"/>
                <w:sz w:val="21"/>
                <w:szCs w:val="21"/>
              </w:rPr>
            </w:pPr>
            <w:r>
              <w:t>无</w:t>
            </w:r>
          </w:p>
        </w:tc>
        <w:tc>
          <w:tcPr>
            <w:tcW w:w="812" w:type="pct"/>
            <w:gridSpan w:val="2"/>
            <w:vMerge w:val="continue"/>
            <w:noWrap w:val="0"/>
            <w:vAlign w:val="center"/>
          </w:tcPr>
          <w:p>
            <w:pPr>
              <w:adjustRightInd w:val="0"/>
              <w:snapToGrid w:val="0"/>
              <w:spacing w:line="320" w:lineRule="exact"/>
              <w:ind w:firstLine="0" w:firstLineChars="0"/>
              <w:jc w:val="center"/>
              <w:rPr>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9</w:t>
            </w:r>
          </w:p>
        </w:tc>
        <w:tc>
          <w:tcPr>
            <w:tcW w:w="1447" w:type="pct"/>
            <w:noWrap w:val="0"/>
            <w:vAlign w:val="center"/>
          </w:tcPr>
          <w:p>
            <w:pPr>
              <w:spacing w:before="1" w:line="320" w:lineRule="exact"/>
              <w:ind w:right="88" w:firstLine="0" w:firstLineChars="0"/>
              <w:jc w:val="center"/>
              <w:rPr>
                <w:rFonts w:hint="eastAsia"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PAC</w:t>
            </w:r>
            <w:r>
              <w:rPr>
                <w:rFonts w:hint="eastAsia" w:ascii="Times New Roman" w:hAnsi="Times New Roman" w:eastAsia="宋体" w:cs="Times New Roman"/>
                <w:snapToGrid w:val="0"/>
                <w:kern w:val="0"/>
                <w:sz w:val="21"/>
                <w:szCs w:val="21"/>
                <w:lang w:val="en-US" w:eastAsia="zh-CN"/>
              </w:rPr>
              <w:t>制备装置</w:t>
            </w:r>
          </w:p>
        </w:tc>
        <w:tc>
          <w:tcPr>
            <w:tcW w:w="349" w:type="pct"/>
            <w:noWrap w:val="0"/>
            <w:vAlign w:val="center"/>
          </w:tcPr>
          <w:p>
            <w:pPr>
              <w:spacing w:before="1" w:line="320" w:lineRule="exact"/>
              <w:ind w:right="88" w:firstLine="0" w:firstLineChars="0"/>
              <w:jc w:val="center"/>
              <w:rPr>
                <w:rFonts w:hint="eastAsia" w:eastAsia="宋体"/>
                <w:sz w:val="21"/>
                <w:lang w:eastAsia="zh-CN"/>
              </w:rPr>
            </w:pPr>
            <w:r>
              <w:rPr>
                <w:rFonts w:hint="eastAsia"/>
                <w:sz w:val="21"/>
                <w:lang w:eastAsia="zh-CN"/>
              </w:rPr>
              <w:t>套</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1</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1</w:t>
            </w:r>
          </w:p>
        </w:tc>
        <w:tc>
          <w:tcPr>
            <w:tcW w:w="573" w:type="pct"/>
            <w:noWrap w:val="0"/>
            <w:vAlign w:val="center"/>
          </w:tcPr>
          <w:p>
            <w:pPr>
              <w:pStyle w:val="29"/>
              <w:ind w:firstLine="0" w:firstLineChars="0"/>
              <w:rPr>
                <w:snapToGrid w:val="0"/>
                <w:kern w:val="0"/>
                <w:sz w:val="21"/>
                <w:szCs w:val="21"/>
              </w:rPr>
            </w:pPr>
            <w:r>
              <w:t>无</w:t>
            </w:r>
          </w:p>
        </w:tc>
        <w:tc>
          <w:tcPr>
            <w:tcW w:w="812" w:type="pct"/>
            <w:gridSpan w:val="2"/>
            <w:vMerge w:val="continue"/>
            <w:noWrap w:val="0"/>
            <w:vAlign w:val="center"/>
          </w:tcPr>
          <w:p>
            <w:pPr>
              <w:adjustRightInd w:val="0"/>
              <w:snapToGrid w:val="0"/>
              <w:spacing w:line="320" w:lineRule="exact"/>
              <w:ind w:firstLine="0" w:firstLineChars="0"/>
              <w:jc w:val="center"/>
              <w:rPr>
                <w:snapToGrid w:val="0"/>
                <w:kern w:val="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4" w:type="pct"/>
            <w:noWrap w:val="0"/>
            <w:vAlign w:val="center"/>
          </w:tcPr>
          <w:p>
            <w:pPr>
              <w:adjustRightInd w:val="0"/>
              <w:snapToGrid w:val="0"/>
              <w:spacing w:line="320" w:lineRule="exact"/>
              <w:ind w:firstLine="0" w:firstLineChars="0"/>
              <w:jc w:val="center"/>
              <w:rPr>
                <w:rFonts w:hint="default" w:eastAsia="宋体"/>
                <w:snapToGrid w:val="0"/>
                <w:kern w:val="0"/>
                <w:sz w:val="21"/>
                <w:szCs w:val="21"/>
                <w:lang w:val="en-US" w:eastAsia="zh-CN"/>
              </w:rPr>
            </w:pPr>
            <w:r>
              <w:rPr>
                <w:rFonts w:hint="eastAsia"/>
                <w:snapToGrid w:val="0"/>
                <w:kern w:val="0"/>
                <w:sz w:val="21"/>
                <w:szCs w:val="21"/>
                <w:lang w:val="en-US" w:eastAsia="zh-CN"/>
              </w:rPr>
              <w:t>10</w:t>
            </w:r>
          </w:p>
        </w:tc>
        <w:tc>
          <w:tcPr>
            <w:tcW w:w="1447" w:type="pct"/>
            <w:noWrap w:val="0"/>
            <w:vAlign w:val="center"/>
          </w:tcPr>
          <w:p>
            <w:pPr>
              <w:spacing w:before="1" w:line="320" w:lineRule="exact"/>
              <w:ind w:right="88" w:firstLine="0" w:firstLineChars="0"/>
              <w:jc w:val="center"/>
              <w:rPr>
                <w:rFonts w:hint="eastAsia" w:ascii="Times New Roman" w:hAnsi="Times New Roman" w:eastAsia="宋体" w:cs="Times New Roman"/>
                <w:snapToGrid w:val="0"/>
                <w:kern w:val="0"/>
                <w:sz w:val="21"/>
                <w:szCs w:val="21"/>
                <w:lang w:val="en-US" w:eastAsia="zh-CN"/>
              </w:rPr>
            </w:pPr>
            <w:r>
              <w:rPr>
                <w:rFonts w:hint="eastAsia" w:ascii="Times New Roman" w:hAnsi="Times New Roman" w:eastAsia="宋体" w:cs="Times New Roman"/>
                <w:snapToGrid w:val="0"/>
                <w:kern w:val="0"/>
                <w:sz w:val="21"/>
                <w:szCs w:val="21"/>
                <w:lang w:val="en-US" w:eastAsia="zh-CN"/>
              </w:rPr>
              <w:t>三厢式</w:t>
            </w:r>
            <w:r>
              <w:rPr>
                <w:rFonts w:hint="default" w:ascii="Times New Roman" w:hAnsi="Times New Roman" w:eastAsia="宋体" w:cs="Times New Roman"/>
                <w:snapToGrid w:val="0"/>
                <w:kern w:val="0"/>
                <w:sz w:val="21"/>
                <w:szCs w:val="21"/>
                <w:lang w:val="en-US" w:eastAsia="zh-CN"/>
              </w:rPr>
              <w:t>PAM</w:t>
            </w:r>
            <w:r>
              <w:rPr>
                <w:rFonts w:hint="eastAsia" w:ascii="Times New Roman" w:hAnsi="Times New Roman" w:eastAsia="宋体" w:cs="Times New Roman"/>
                <w:snapToGrid w:val="0"/>
                <w:kern w:val="0"/>
                <w:sz w:val="21"/>
                <w:szCs w:val="21"/>
                <w:lang w:val="en-US" w:eastAsia="zh-CN"/>
              </w:rPr>
              <w:t>制备装置</w:t>
            </w:r>
          </w:p>
        </w:tc>
        <w:tc>
          <w:tcPr>
            <w:tcW w:w="349" w:type="pct"/>
            <w:noWrap w:val="0"/>
            <w:vAlign w:val="center"/>
          </w:tcPr>
          <w:p>
            <w:pPr>
              <w:spacing w:before="1" w:line="320" w:lineRule="exact"/>
              <w:ind w:right="88" w:firstLine="0" w:firstLineChars="0"/>
              <w:jc w:val="center"/>
              <w:rPr>
                <w:rFonts w:hint="eastAsia" w:eastAsia="宋体"/>
                <w:sz w:val="21"/>
                <w:lang w:eastAsia="zh-CN"/>
              </w:rPr>
            </w:pPr>
            <w:r>
              <w:rPr>
                <w:rFonts w:hint="eastAsia"/>
                <w:sz w:val="21"/>
                <w:lang w:eastAsia="zh-CN"/>
              </w:rPr>
              <w:t>套</w:t>
            </w:r>
          </w:p>
        </w:tc>
        <w:tc>
          <w:tcPr>
            <w:tcW w:w="843" w:type="pct"/>
            <w:noWrap w:val="0"/>
            <w:vAlign w:val="center"/>
          </w:tcPr>
          <w:p>
            <w:pPr>
              <w:spacing w:before="1" w:line="320" w:lineRule="exact"/>
              <w:ind w:right="88" w:firstLine="0" w:firstLineChars="0"/>
              <w:jc w:val="center"/>
              <w:rPr>
                <w:rFonts w:hint="eastAsia" w:eastAsia="宋体"/>
                <w:snapToGrid w:val="0"/>
                <w:kern w:val="0"/>
                <w:sz w:val="21"/>
                <w:szCs w:val="21"/>
                <w:lang w:val="en-US" w:eastAsia="zh-CN"/>
              </w:rPr>
            </w:pPr>
            <w:r>
              <w:rPr>
                <w:rFonts w:hint="eastAsia"/>
                <w:snapToGrid w:val="0"/>
                <w:kern w:val="0"/>
                <w:sz w:val="21"/>
                <w:szCs w:val="21"/>
                <w:lang w:val="en-US" w:eastAsia="zh-CN"/>
              </w:rPr>
              <w:t>1</w:t>
            </w:r>
          </w:p>
        </w:tc>
        <w:tc>
          <w:tcPr>
            <w:tcW w:w="580" w:type="pct"/>
            <w:noWrap w:val="0"/>
            <w:vAlign w:val="center"/>
          </w:tcPr>
          <w:p>
            <w:pPr>
              <w:spacing w:before="1" w:line="320" w:lineRule="exact"/>
              <w:ind w:right="88" w:rightChars="0" w:firstLine="0" w:firstLineChars="0"/>
              <w:jc w:val="center"/>
              <w:rPr>
                <w:rFonts w:hint="eastAsia" w:ascii="Times New Roman" w:hAnsi="Times New Roman" w:eastAsia="宋体"/>
                <w:snapToGrid w:val="0"/>
                <w:kern w:val="0"/>
                <w:sz w:val="21"/>
                <w:szCs w:val="21"/>
                <w:lang w:val="en-US" w:eastAsia="zh-CN" w:bidi="ar-SA"/>
              </w:rPr>
            </w:pPr>
            <w:r>
              <w:rPr>
                <w:rFonts w:hint="eastAsia"/>
                <w:snapToGrid w:val="0"/>
                <w:kern w:val="0"/>
                <w:sz w:val="21"/>
                <w:szCs w:val="21"/>
                <w:lang w:val="en-US" w:eastAsia="zh-CN"/>
              </w:rPr>
              <w:t>1</w:t>
            </w:r>
          </w:p>
        </w:tc>
        <w:tc>
          <w:tcPr>
            <w:tcW w:w="573" w:type="pct"/>
            <w:noWrap w:val="0"/>
            <w:vAlign w:val="center"/>
          </w:tcPr>
          <w:p>
            <w:pPr>
              <w:pStyle w:val="29"/>
              <w:ind w:firstLine="0" w:firstLineChars="0"/>
              <w:rPr>
                <w:snapToGrid w:val="0"/>
                <w:kern w:val="0"/>
                <w:sz w:val="21"/>
                <w:szCs w:val="21"/>
              </w:rPr>
            </w:pPr>
            <w:r>
              <w:t>无</w:t>
            </w:r>
          </w:p>
        </w:tc>
        <w:tc>
          <w:tcPr>
            <w:tcW w:w="812" w:type="pct"/>
            <w:gridSpan w:val="2"/>
            <w:vMerge w:val="continue"/>
            <w:noWrap w:val="0"/>
            <w:vAlign w:val="center"/>
          </w:tcPr>
          <w:p>
            <w:pPr>
              <w:adjustRightInd w:val="0"/>
              <w:snapToGrid w:val="0"/>
              <w:spacing w:line="320" w:lineRule="exact"/>
              <w:ind w:firstLine="0" w:firstLineChars="0"/>
              <w:jc w:val="center"/>
              <w:rPr>
                <w:snapToGrid w:val="0"/>
                <w:kern w:val="0"/>
                <w:sz w:val="21"/>
                <w:szCs w:val="21"/>
              </w:rPr>
            </w:pPr>
          </w:p>
        </w:tc>
      </w:tr>
    </w:tbl>
    <w:p>
      <w:pPr>
        <w:pStyle w:val="5"/>
        <w:keepLines w:val="0"/>
        <w:numPr>
          <w:ilvl w:val="0"/>
          <w:numId w:val="0"/>
        </w:numPr>
        <w:tabs>
          <w:tab w:val="left" w:pos="1134"/>
        </w:tabs>
        <w:adjustRightInd/>
        <w:textAlignment w:val="auto"/>
        <w:rPr>
          <w:color w:val="000000"/>
          <w:sz w:val="24"/>
          <w:szCs w:val="24"/>
        </w:rPr>
      </w:pPr>
      <w:bookmarkStart w:id="36" w:name="_Toc1460"/>
      <w:r>
        <w:rPr>
          <w:bCs/>
          <w:szCs w:val="30"/>
        </w:rPr>
        <w:t>3.3主要原辅材料及燃料</w:t>
      </w:r>
      <w:bookmarkEnd w:id="34"/>
      <w:bookmarkEnd w:id="35"/>
      <w:bookmarkEnd w:id="36"/>
    </w:p>
    <w:p>
      <w:pPr>
        <w:widowControl/>
        <w:wordWrap w:val="0"/>
        <w:topLinePunct/>
        <w:rPr>
          <w:b/>
          <w:sz w:val="22"/>
        </w:rPr>
      </w:pPr>
      <w:r>
        <w:rPr>
          <w:color w:val="000000"/>
          <w:szCs w:val="28"/>
        </w:rPr>
        <w:t>项目主要原辅材料及能源见表3-4；</w:t>
      </w:r>
    </w:p>
    <w:p>
      <w:pPr>
        <w:wordWrap w:val="0"/>
        <w:topLinePunct/>
        <w:spacing w:line="240" w:lineRule="auto"/>
        <w:ind w:firstLine="0" w:firstLineChars="0"/>
        <w:jc w:val="center"/>
        <w:rPr>
          <w:b/>
          <w:sz w:val="21"/>
          <w:szCs w:val="21"/>
        </w:rPr>
      </w:pPr>
    </w:p>
    <w:p>
      <w:pPr>
        <w:wordWrap w:val="0"/>
        <w:topLinePunct/>
        <w:spacing w:line="240" w:lineRule="auto"/>
        <w:ind w:firstLine="0" w:firstLineChars="0"/>
        <w:jc w:val="center"/>
        <w:rPr>
          <w:b/>
          <w:sz w:val="21"/>
          <w:szCs w:val="21"/>
        </w:rPr>
      </w:pPr>
    </w:p>
    <w:p>
      <w:pPr>
        <w:wordWrap w:val="0"/>
        <w:topLinePunct/>
        <w:spacing w:line="240" w:lineRule="auto"/>
        <w:ind w:firstLine="0" w:firstLineChars="0"/>
        <w:jc w:val="center"/>
        <w:rPr>
          <w:b/>
          <w:sz w:val="21"/>
          <w:szCs w:val="21"/>
        </w:rPr>
      </w:pPr>
      <w:r>
        <w:rPr>
          <w:b/>
          <w:sz w:val="21"/>
          <w:szCs w:val="21"/>
        </w:rPr>
        <w:t>表3-4  项目主要原辅材料</w:t>
      </w:r>
    </w:p>
    <w:tbl>
      <w:tblPr>
        <w:tblStyle w:val="19"/>
        <w:tblW w:w="0" w:type="auto"/>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1"/>
        <w:gridCol w:w="2453"/>
        <w:gridCol w:w="2184"/>
        <w:gridCol w:w="2405"/>
        <w:gridCol w:w="164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054" w:type="dxa"/>
            <w:gridSpan w:val="2"/>
            <w:noWrap w:val="0"/>
            <w:vAlign w:val="center"/>
          </w:tcPr>
          <w:p>
            <w:pPr>
              <w:spacing w:line="320" w:lineRule="exact"/>
              <w:ind w:firstLine="0" w:firstLineChars="0"/>
              <w:jc w:val="center"/>
              <w:rPr>
                <w:b/>
                <w:bCs/>
                <w:sz w:val="21"/>
                <w:szCs w:val="21"/>
              </w:rPr>
            </w:pPr>
            <w:r>
              <w:rPr>
                <w:b/>
                <w:bCs/>
                <w:sz w:val="21"/>
                <w:szCs w:val="21"/>
              </w:rPr>
              <w:t>名称</w:t>
            </w:r>
          </w:p>
        </w:tc>
        <w:tc>
          <w:tcPr>
            <w:tcW w:w="2184" w:type="dxa"/>
            <w:noWrap w:val="0"/>
            <w:vAlign w:val="center"/>
          </w:tcPr>
          <w:p>
            <w:pPr>
              <w:spacing w:line="320" w:lineRule="exact"/>
              <w:ind w:firstLine="0" w:firstLineChars="0"/>
              <w:jc w:val="center"/>
              <w:rPr>
                <w:b/>
                <w:bCs/>
                <w:sz w:val="21"/>
                <w:szCs w:val="21"/>
              </w:rPr>
            </w:pPr>
            <w:r>
              <w:rPr>
                <w:b/>
                <w:bCs/>
                <w:sz w:val="21"/>
                <w:szCs w:val="21"/>
              </w:rPr>
              <w:t>环评设计年耗量</w:t>
            </w:r>
            <w:r>
              <w:rPr>
                <w:rFonts w:hint="eastAsia"/>
                <w:b/>
                <w:bCs/>
                <w:sz w:val="21"/>
                <w:szCs w:val="21"/>
              </w:rPr>
              <w:t>t/a</w:t>
            </w:r>
          </w:p>
        </w:tc>
        <w:tc>
          <w:tcPr>
            <w:tcW w:w="2405" w:type="dxa"/>
            <w:noWrap w:val="0"/>
            <w:vAlign w:val="center"/>
          </w:tcPr>
          <w:p>
            <w:pPr>
              <w:spacing w:line="320" w:lineRule="exact"/>
              <w:ind w:firstLine="0" w:firstLineChars="0"/>
              <w:jc w:val="center"/>
              <w:rPr>
                <w:b/>
                <w:bCs/>
                <w:sz w:val="21"/>
                <w:szCs w:val="21"/>
              </w:rPr>
            </w:pPr>
            <w:r>
              <w:rPr>
                <w:b/>
                <w:bCs/>
                <w:sz w:val="21"/>
                <w:szCs w:val="21"/>
              </w:rPr>
              <w:t>实际年耗量</w:t>
            </w:r>
            <w:r>
              <w:rPr>
                <w:rFonts w:hint="eastAsia"/>
                <w:b/>
                <w:bCs/>
                <w:sz w:val="21"/>
                <w:szCs w:val="21"/>
              </w:rPr>
              <w:t>t/a</w:t>
            </w:r>
          </w:p>
        </w:tc>
        <w:tc>
          <w:tcPr>
            <w:tcW w:w="1645" w:type="dxa"/>
            <w:noWrap w:val="0"/>
            <w:vAlign w:val="center"/>
          </w:tcPr>
          <w:p>
            <w:pPr>
              <w:spacing w:line="320" w:lineRule="exact"/>
              <w:ind w:firstLine="0" w:firstLineChars="0"/>
              <w:jc w:val="center"/>
              <w:rPr>
                <w:rFonts w:hint="eastAsia"/>
                <w:b/>
                <w:bCs/>
                <w:sz w:val="21"/>
                <w:szCs w:val="21"/>
              </w:rPr>
            </w:pPr>
            <w:r>
              <w:rPr>
                <w:rFonts w:hint="eastAsia"/>
                <w:b/>
                <w:bCs/>
                <w:sz w:val="21"/>
                <w:szCs w:val="21"/>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1" w:type="dxa"/>
            <w:vMerge w:val="restart"/>
            <w:noWrap w:val="0"/>
            <w:vAlign w:val="center"/>
          </w:tcPr>
          <w:p>
            <w:pPr>
              <w:spacing w:line="320" w:lineRule="exact"/>
              <w:ind w:firstLine="0" w:firstLineChars="0"/>
              <w:jc w:val="center"/>
              <w:rPr>
                <w:sz w:val="21"/>
                <w:szCs w:val="21"/>
              </w:rPr>
            </w:pPr>
            <w:r>
              <w:rPr>
                <w:sz w:val="21"/>
                <w:szCs w:val="21"/>
              </w:rPr>
              <w:t>原辅</w:t>
            </w:r>
          </w:p>
          <w:p>
            <w:pPr>
              <w:spacing w:line="320" w:lineRule="exact"/>
              <w:ind w:firstLine="0" w:firstLineChars="0"/>
              <w:jc w:val="center"/>
              <w:rPr>
                <w:sz w:val="21"/>
                <w:szCs w:val="21"/>
              </w:rPr>
            </w:pPr>
            <w:r>
              <w:rPr>
                <w:sz w:val="21"/>
                <w:szCs w:val="21"/>
              </w:rPr>
              <w:t>料</w:t>
            </w:r>
          </w:p>
        </w:tc>
        <w:tc>
          <w:tcPr>
            <w:tcW w:w="2453" w:type="dxa"/>
            <w:noWrap w:val="0"/>
            <w:vAlign w:val="center"/>
          </w:tcPr>
          <w:p>
            <w:pPr>
              <w:spacing w:line="320" w:lineRule="exact"/>
              <w:ind w:firstLine="0" w:firstLineChars="0"/>
              <w:jc w:val="center"/>
              <w:rPr>
                <w:sz w:val="21"/>
                <w:szCs w:val="21"/>
                <w:highlight w:val="none"/>
              </w:rPr>
            </w:pPr>
            <w:r>
              <w:rPr>
                <w:sz w:val="21"/>
                <w:szCs w:val="21"/>
                <w:highlight w:val="none"/>
              </w:rPr>
              <w:t>PAC</w:t>
            </w:r>
          </w:p>
        </w:tc>
        <w:tc>
          <w:tcPr>
            <w:tcW w:w="2184" w:type="dxa"/>
            <w:noWrap w:val="0"/>
            <w:vAlign w:val="center"/>
          </w:tcPr>
          <w:p>
            <w:pPr>
              <w:spacing w:line="320" w:lineRule="exact"/>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36</w:t>
            </w:r>
          </w:p>
        </w:tc>
        <w:tc>
          <w:tcPr>
            <w:tcW w:w="2405" w:type="dxa"/>
            <w:noWrap w:val="0"/>
            <w:vAlign w:val="center"/>
          </w:tcPr>
          <w:p>
            <w:pPr>
              <w:spacing w:line="320" w:lineRule="exact"/>
              <w:ind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40</w:t>
            </w:r>
          </w:p>
        </w:tc>
        <w:tc>
          <w:tcPr>
            <w:tcW w:w="1645" w:type="dxa"/>
            <w:noWrap w:val="0"/>
            <w:vAlign w:val="center"/>
          </w:tcPr>
          <w:p>
            <w:pPr>
              <w:spacing w:line="320" w:lineRule="exact"/>
              <w:ind w:firstLine="0" w:firstLineChars="0"/>
              <w:jc w:val="center"/>
              <w:rPr>
                <w:rFonts w:hint="eastAsia"/>
                <w:sz w:val="21"/>
                <w:szCs w:val="21"/>
                <w:highlight w:val="none"/>
              </w:rPr>
            </w:pPr>
            <w:r>
              <w:rPr>
                <w:rFonts w:hint="eastAsia"/>
                <w:sz w:val="21"/>
                <w:szCs w:val="21"/>
                <w:highlight w:val="none"/>
              </w:rPr>
              <w:t>用于污泥浓缩</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1" w:type="dxa"/>
            <w:vMerge w:val="continue"/>
            <w:noWrap w:val="0"/>
            <w:vAlign w:val="center"/>
          </w:tcPr>
          <w:p>
            <w:pPr>
              <w:spacing w:line="320" w:lineRule="exact"/>
              <w:ind w:firstLine="0" w:firstLineChars="0"/>
              <w:jc w:val="center"/>
              <w:rPr>
                <w:sz w:val="21"/>
                <w:szCs w:val="21"/>
              </w:rPr>
            </w:pPr>
          </w:p>
        </w:tc>
        <w:tc>
          <w:tcPr>
            <w:tcW w:w="2453" w:type="dxa"/>
            <w:noWrap w:val="0"/>
            <w:vAlign w:val="center"/>
          </w:tcPr>
          <w:p>
            <w:pPr>
              <w:spacing w:line="320" w:lineRule="exact"/>
              <w:ind w:firstLine="0" w:firstLineChars="0"/>
              <w:jc w:val="center"/>
              <w:rPr>
                <w:sz w:val="21"/>
                <w:szCs w:val="21"/>
              </w:rPr>
            </w:pPr>
            <w:r>
              <w:rPr>
                <w:sz w:val="21"/>
                <w:szCs w:val="21"/>
              </w:rPr>
              <w:t>PAM</w:t>
            </w:r>
          </w:p>
        </w:tc>
        <w:tc>
          <w:tcPr>
            <w:tcW w:w="2184" w:type="dxa"/>
            <w:noWrap w:val="0"/>
            <w:vAlign w:val="center"/>
          </w:tcPr>
          <w:p>
            <w:pPr>
              <w:spacing w:line="320" w:lineRule="exact"/>
              <w:ind w:firstLine="0" w:firstLineChars="0"/>
              <w:jc w:val="center"/>
              <w:rPr>
                <w:rFonts w:hint="default" w:eastAsia="宋体"/>
                <w:sz w:val="21"/>
                <w:szCs w:val="21"/>
                <w:lang w:val="en-US" w:eastAsia="zh-CN"/>
              </w:rPr>
            </w:pPr>
            <w:r>
              <w:rPr>
                <w:rFonts w:hint="eastAsia"/>
                <w:sz w:val="21"/>
                <w:szCs w:val="21"/>
                <w:lang w:val="en-US" w:eastAsia="zh-CN"/>
              </w:rPr>
              <w:t>0.05</w:t>
            </w:r>
          </w:p>
        </w:tc>
        <w:tc>
          <w:tcPr>
            <w:tcW w:w="2405" w:type="dxa"/>
            <w:noWrap w:val="0"/>
            <w:vAlign w:val="center"/>
          </w:tcPr>
          <w:p>
            <w:pPr>
              <w:spacing w:line="320" w:lineRule="exact"/>
              <w:ind w:firstLine="0" w:firstLineChars="0"/>
              <w:jc w:val="center"/>
              <w:rPr>
                <w:rFonts w:hint="default" w:eastAsia="宋体"/>
                <w:sz w:val="21"/>
                <w:szCs w:val="21"/>
                <w:lang w:val="en-US" w:eastAsia="zh-CN"/>
              </w:rPr>
            </w:pPr>
            <w:r>
              <w:rPr>
                <w:rFonts w:hint="eastAsia"/>
                <w:sz w:val="21"/>
                <w:szCs w:val="21"/>
                <w:lang w:val="en-US" w:eastAsia="zh-CN"/>
              </w:rPr>
              <w:t>0.1</w:t>
            </w:r>
          </w:p>
        </w:tc>
        <w:tc>
          <w:tcPr>
            <w:tcW w:w="1645" w:type="dxa"/>
            <w:noWrap w:val="0"/>
            <w:vAlign w:val="center"/>
          </w:tcPr>
          <w:p>
            <w:pPr>
              <w:spacing w:line="320" w:lineRule="exact"/>
              <w:ind w:firstLine="0" w:firstLineChars="0"/>
              <w:jc w:val="center"/>
              <w:rPr>
                <w:rFonts w:hint="eastAsia"/>
                <w:sz w:val="21"/>
                <w:szCs w:val="21"/>
              </w:rPr>
            </w:pPr>
            <w:r>
              <w:rPr>
                <w:rFonts w:hint="eastAsia"/>
                <w:sz w:val="21"/>
                <w:szCs w:val="21"/>
              </w:rPr>
              <w:t>用于生化处理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1" w:type="dxa"/>
            <w:vMerge w:val="continue"/>
            <w:noWrap w:val="0"/>
            <w:vAlign w:val="center"/>
          </w:tcPr>
          <w:p>
            <w:pPr>
              <w:spacing w:line="320" w:lineRule="exact"/>
              <w:ind w:firstLine="0" w:firstLineChars="0"/>
              <w:jc w:val="center"/>
              <w:rPr>
                <w:sz w:val="21"/>
                <w:szCs w:val="21"/>
              </w:rPr>
            </w:pPr>
          </w:p>
        </w:tc>
        <w:tc>
          <w:tcPr>
            <w:tcW w:w="2453" w:type="dxa"/>
            <w:noWrap w:val="0"/>
            <w:vAlign w:val="center"/>
          </w:tcPr>
          <w:p>
            <w:pPr>
              <w:spacing w:line="320" w:lineRule="exact"/>
              <w:ind w:firstLine="0" w:firstLineChars="0"/>
              <w:jc w:val="center"/>
              <w:rPr>
                <w:rFonts w:hint="eastAsia" w:eastAsia="宋体"/>
                <w:sz w:val="21"/>
                <w:szCs w:val="21"/>
                <w:lang w:eastAsia="zh-CN"/>
              </w:rPr>
            </w:pPr>
            <w:r>
              <w:rPr>
                <w:rFonts w:hint="eastAsia"/>
                <w:sz w:val="21"/>
                <w:szCs w:val="21"/>
                <w:lang w:eastAsia="zh-CN"/>
              </w:rPr>
              <w:t>生石灰</w:t>
            </w:r>
          </w:p>
        </w:tc>
        <w:tc>
          <w:tcPr>
            <w:tcW w:w="2184" w:type="dxa"/>
            <w:noWrap w:val="0"/>
            <w:vAlign w:val="center"/>
          </w:tcPr>
          <w:p>
            <w:pPr>
              <w:spacing w:line="320" w:lineRule="exact"/>
              <w:ind w:firstLine="0" w:firstLineChars="0"/>
              <w:jc w:val="center"/>
              <w:rPr>
                <w:rFonts w:hint="default" w:eastAsia="宋体"/>
                <w:sz w:val="21"/>
                <w:szCs w:val="21"/>
                <w:lang w:val="en-US" w:eastAsia="zh-CN"/>
              </w:rPr>
            </w:pPr>
            <w:r>
              <w:rPr>
                <w:rFonts w:hint="eastAsia"/>
                <w:sz w:val="21"/>
                <w:szCs w:val="21"/>
                <w:lang w:val="en-US" w:eastAsia="zh-CN"/>
              </w:rPr>
              <w:t>0.5</w:t>
            </w:r>
          </w:p>
        </w:tc>
        <w:tc>
          <w:tcPr>
            <w:tcW w:w="2405" w:type="dxa"/>
            <w:noWrap w:val="0"/>
            <w:vAlign w:val="center"/>
          </w:tcPr>
          <w:p>
            <w:pPr>
              <w:spacing w:line="320" w:lineRule="exact"/>
              <w:ind w:firstLine="0" w:firstLineChars="0"/>
              <w:jc w:val="center"/>
              <w:rPr>
                <w:rFonts w:hint="default" w:eastAsia="宋体"/>
                <w:sz w:val="21"/>
                <w:szCs w:val="21"/>
                <w:lang w:val="en-US" w:eastAsia="zh-CN"/>
              </w:rPr>
            </w:pPr>
            <w:r>
              <w:rPr>
                <w:rFonts w:hint="eastAsia"/>
                <w:sz w:val="21"/>
                <w:szCs w:val="21"/>
                <w:lang w:val="en-US" w:eastAsia="zh-CN"/>
              </w:rPr>
              <w:t>0.4</w:t>
            </w:r>
          </w:p>
        </w:tc>
        <w:tc>
          <w:tcPr>
            <w:tcW w:w="1645" w:type="dxa"/>
            <w:noWrap w:val="0"/>
            <w:vAlign w:val="center"/>
          </w:tcPr>
          <w:p>
            <w:pPr>
              <w:spacing w:line="320" w:lineRule="exact"/>
              <w:ind w:firstLine="0" w:firstLineChars="0"/>
              <w:jc w:val="center"/>
              <w:rPr>
                <w:rFonts w:hint="eastAsia"/>
                <w:sz w:val="21"/>
                <w:szCs w:val="21"/>
              </w:rPr>
            </w:pPr>
            <w:r>
              <w:rPr>
                <w:rFonts w:hint="eastAsia"/>
                <w:sz w:val="21"/>
                <w:szCs w:val="21"/>
              </w:rPr>
              <w:t>用于污泥脱水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1" w:type="dxa"/>
            <w:vMerge w:val="continue"/>
            <w:noWrap w:val="0"/>
            <w:vAlign w:val="center"/>
          </w:tcPr>
          <w:p>
            <w:pPr>
              <w:spacing w:line="320" w:lineRule="exact"/>
              <w:ind w:firstLine="0" w:firstLineChars="0"/>
              <w:jc w:val="center"/>
              <w:rPr>
                <w:sz w:val="21"/>
                <w:szCs w:val="21"/>
              </w:rPr>
            </w:pPr>
          </w:p>
        </w:tc>
        <w:tc>
          <w:tcPr>
            <w:tcW w:w="2453" w:type="dxa"/>
            <w:noWrap w:val="0"/>
            <w:vAlign w:val="center"/>
          </w:tcPr>
          <w:p>
            <w:pPr>
              <w:spacing w:line="320" w:lineRule="exact"/>
              <w:ind w:firstLine="0" w:firstLineChars="0"/>
              <w:jc w:val="center"/>
              <w:rPr>
                <w:rFonts w:hint="eastAsia"/>
                <w:sz w:val="21"/>
                <w:szCs w:val="21"/>
                <w:lang w:eastAsia="zh-CN"/>
              </w:rPr>
            </w:pPr>
            <w:r>
              <w:rPr>
                <w:rFonts w:hint="eastAsia"/>
                <w:sz w:val="21"/>
                <w:szCs w:val="21"/>
                <w:lang w:eastAsia="zh-CN"/>
              </w:rPr>
              <w:t>盐酸</w:t>
            </w:r>
          </w:p>
        </w:tc>
        <w:tc>
          <w:tcPr>
            <w:tcW w:w="2184" w:type="dxa"/>
            <w:noWrap w:val="0"/>
            <w:vAlign w:val="center"/>
          </w:tcPr>
          <w:p>
            <w:pPr>
              <w:spacing w:line="320" w:lineRule="exact"/>
              <w:ind w:firstLine="0" w:firstLineChars="0"/>
              <w:jc w:val="center"/>
              <w:rPr>
                <w:rFonts w:hint="default" w:eastAsia="宋体"/>
                <w:sz w:val="21"/>
                <w:szCs w:val="21"/>
                <w:lang w:val="en-US" w:eastAsia="zh-CN"/>
              </w:rPr>
            </w:pPr>
            <w:r>
              <w:rPr>
                <w:rFonts w:hint="eastAsia"/>
                <w:sz w:val="21"/>
                <w:szCs w:val="21"/>
                <w:lang w:val="en-US" w:eastAsia="zh-CN"/>
              </w:rPr>
              <w:t>1.2</w:t>
            </w:r>
          </w:p>
        </w:tc>
        <w:tc>
          <w:tcPr>
            <w:tcW w:w="2405" w:type="dxa"/>
            <w:noWrap w:val="0"/>
            <w:vAlign w:val="center"/>
          </w:tcPr>
          <w:p>
            <w:pPr>
              <w:spacing w:line="320" w:lineRule="exact"/>
              <w:ind w:firstLine="0" w:firstLineChars="0"/>
              <w:jc w:val="center"/>
              <w:rPr>
                <w:rFonts w:hint="default" w:eastAsia="宋体"/>
                <w:sz w:val="21"/>
                <w:szCs w:val="21"/>
                <w:lang w:val="en-US" w:eastAsia="zh-CN"/>
              </w:rPr>
            </w:pPr>
            <w:r>
              <w:rPr>
                <w:rFonts w:hint="eastAsia"/>
                <w:sz w:val="21"/>
                <w:szCs w:val="21"/>
                <w:lang w:val="en-US" w:eastAsia="zh-CN"/>
              </w:rPr>
              <w:t>1.4</w:t>
            </w:r>
          </w:p>
        </w:tc>
        <w:tc>
          <w:tcPr>
            <w:tcW w:w="1645" w:type="dxa"/>
            <w:vMerge w:val="restart"/>
            <w:noWrap w:val="0"/>
            <w:vAlign w:val="center"/>
          </w:tcPr>
          <w:p>
            <w:pPr>
              <w:spacing w:line="320" w:lineRule="exact"/>
              <w:ind w:firstLine="0" w:firstLineChars="0"/>
              <w:jc w:val="center"/>
              <w:rPr>
                <w:rFonts w:hint="eastAsia" w:eastAsia="宋体"/>
                <w:sz w:val="21"/>
                <w:szCs w:val="21"/>
                <w:lang w:eastAsia="zh-CN"/>
              </w:rPr>
            </w:pPr>
            <w:r>
              <w:rPr>
                <w:rFonts w:hint="eastAsia"/>
                <w:sz w:val="21"/>
                <w:szCs w:val="21"/>
                <w:lang w:eastAsia="zh-CN"/>
              </w:rPr>
              <w:t>制备二氧化氯</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1" w:type="dxa"/>
            <w:vMerge w:val="continue"/>
            <w:noWrap w:val="0"/>
            <w:vAlign w:val="center"/>
          </w:tcPr>
          <w:p>
            <w:pPr>
              <w:spacing w:line="320" w:lineRule="exact"/>
              <w:ind w:firstLine="0" w:firstLineChars="0"/>
              <w:jc w:val="center"/>
              <w:rPr>
                <w:sz w:val="21"/>
                <w:szCs w:val="21"/>
              </w:rPr>
            </w:pPr>
          </w:p>
        </w:tc>
        <w:tc>
          <w:tcPr>
            <w:tcW w:w="2453" w:type="dxa"/>
            <w:noWrap w:val="0"/>
            <w:vAlign w:val="center"/>
          </w:tcPr>
          <w:p>
            <w:pPr>
              <w:spacing w:line="320" w:lineRule="exact"/>
              <w:ind w:firstLine="0" w:firstLineChars="0"/>
              <w:jc w:val="center"/>
              <w:rPr>
                <w:rFonts w:hint="eastAsia" w:eastAsia="宋体"/>
                <w:sz w:val="21"/>
                <w:szCs w:val="21"/>
                <w:lang w:eastAsia="zh-CN"/>
              </w:rPr>
            </w:pPr>
            <w:r>
              <w:rPr>
                <w:rFonts w:hint="eastAsia"/>
                <w:sz w:val="21"/>
                <w:szCs w:val="21"/>
                <w:lang w:eastAsia="zh-CN"/>
              </w:rPr>
              <w:t>次氯酸钠</w:t>
            </w:r>
          </w:p>
        </w:tc>
        <w:tc>
          <w:tcPr>
            <w:tcW w:w="2184" w:type="dxa"/>
            <w:noWrap w:val="0"/>
            <w:vAlign w:val="center"/>
          </w:tcPr>
          <w:p>
            <w:pPr>
              <w:spacing w:line="320" w:lineRule="exact"/>
              <w:ind w:firstLine="0" w:firstLineChars="0"/>
              <w:jc w:val="center"/>
              <w:rPr>
                <w:rFonts w:hint="default" w:eastAsia="宋体"/>
                <w:sz w:val="21"/>
                <w:szCs w:val="21"/>
                <w:lang w:val="en-US" w:eastAsia="zh-CN"/>
              </w:rPr>
            </w:pPr>
            <w:r>
              <w:rPr>
                <w:rFonts w:hint="eastAsia"/>
                <w:sz w:val="21"/>
                <w:szCs w:val="21"/>
                <w:lang w:val="en-US" w:eastAsia="zh-CN"/>
              </w:rPr>
              <w:t>0.6</w:t>
            </w:r>
          </w:p>
        </w:tc>
        <w:tc>
          <w:tcPr>
            <w:tcW w:w="2405" w:type="dxa"/>
            <w:noWrap w:val="0"/>
            <w:vAlign w:val="center"/>
          </w:tcPr>
          <w:p>
            <w:pPr>
              <w:spacing w:line="320" w:lineRule="exact"/>
              <w:ind w:firstLine="0" w:firstLineChars="0"/>
              <w:jc w:val="center"/>
              <w:rPr>
                <w:rFonts w:hint="default" w:eastAsia="宋体"/>
                <w:sz w:val="21"/>
                <w:szCs w:val="21"/>
                <w:lang w:val="en-US" w:eastAsia="zh-CN"/>
              </w:rPr>
            </w:pPr>
            <w:r>
              <w:rPr>
                <w:rFonts w:hint="eastAsia"/>
                <w:sz w:val="21"/>
                <w:szCs w:val="21"/>
                <w:lang w:val="en-US" w:eastAsia="zh-CN"/>
              </w:rPr>
              <w:t>0.7</w:t>
            </w:r>
          </w:p>
        </w:tc>
        <w:tc>
          <w:tcPr>
            <w:tcW w:w="1645" w:type="dxa"/>
            <w:vMerge w:val="continue"/>
            <w:noWrap w:val="0"/>
            <w:vAlign w:val="center"/>
          </w:tcPr>
          <w:p>
            <w:pPr>
              <w:spacing w:line="320" w:lineRule="exact"/>
              <w:ind w:firstLine="0" w:firstLineChars="0"/>
              <w:jc w:val="center"/>
              <w:rPr>
                <w:rFonts w:hint="eastAsia"/>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1" w:type="dxa"/>
            <w:vMerge w:val="restart"/>
            <w:noWrap w:val="0"/>
            <w:vAlign w:val="center"/>
          </w:tcPr>
          <w:p>
            <w:pPr>
              <w:spacing w:line="320" w:lineRule="exact"/>
              <w:ind w:firstLine="0" w:firstLineChars="0"/>
              <w:jc w:val="center"/>
              <w:rPr>
                <w:sz w:val="21"/>
                <w:szCs w:val="21"/>
              </w:rPr>
            </w:pPr>
            <w:r>
              <w:rPr>
                <w:sz w:val="21"/>
                <w:szCs w:val="21"/>
              </w:rPr>
              <w:t>能源</w:t>
            </w:r>
          </w:p>
        </w:tc>
        <w:tc>
          <w:tcPr>
            <w:tcW w:w="2453" w:type="dxa"/>
            <w:noWrap w:val="0"/>
            <w:vAlign w:val="center"/>
          </w:tcPr>
          <w:p>
            <w:pPr>
              <w:spacing w:line="320" w:lineRule="exact"/>
              <w:ind w:firstLine="0" w:firstLineChars="0"/>
              <w:jc w:val="center"/>
              <w:rPr>
                <w:sz w:val="21"/>
                <w:szCs w:val="21"/>
              </w:rPr>
            </w:pPr>
            <w:r>
              <w:rPr>
                <w:sz w:val="21"/>
                <w:szCs w:val="21"/>
              </w:rPr>
              <w:t>自来水（m</w:t>
            </w:r>
            <w:r>
              <w:rPr>
                <w:sz w:val="21"/>
                <w:szCs w:val="21"/>
                <w:vertAlign w:val="superscript"/>
              </w:rPr>
              <w:t>3</w:t>
            </w:r>
            <w:r>
              <w:rPr>
                <w:sz w:val="21"/>
                <w:szCs w:val="21"/>
              </w:rPr>
              <w:t>/a）</w:t>
            </w:r>
          </w:p>
        </w:tc>
        <w:tc>
          <w:tcPr>
            <w:tcW w:w="2184" w:type="dxa"/>
            <w:noWrap w:val="0"/>
            <w:vAlign w:val="center"/>
          </w:tcPr>
          <w:p>
            <w:pPr>
              <w:spacing w:line="320" w:lineRule="exact"/>
              <w:ind w:firstLine="0" w:firstLineChars="0"/>
              <w:jc w:val="center"/>
              <w:rPr>
                <w:rFonts w:hint="default" w:eastAsia="宋体"/>
                <w:sz w:val="21"/>
                <w:szCs w:val="21"/>
                <w:lang w:val="en-US" w:eastAsia="zh-CN"/>
              </w:rPr>
            </w:pPr>
            <w:r>
              <w:rPr>
                <w:rFonts w:hint="eastAsia"/>
                <w:sz w:val="21"/>
                <w:szCs w:val="21"/>
                <w:lang w:val="en-US" w:eastAsia="zh-CN"/>
              </w:rPr>
              <w:t>100</w:t>
            </w:r>
          </w:p>
        </w:tc>
        <w:tc>
          <w:tcPr>
            <w:tcW w:w="2405" w:type="dxa"/>
            <w:noWrap w:val="0"/>
            <w:vAlign w:val="center"/>
          </w:tcPr>
          <w:p>
            <w:pPr>
              <w:spacing w:line="320" w:lineRule="exact"/>
              <w:ind w:firstLine="0" w:firstLineChars="0"/>
              <w:jc w:val="center"/>
              <w:rPr>
                <w:rFonts w:hint="default" w:eastAsia="宋体"/>
                <w:sz w:val="21"/>
                <w:szCs w:val="21"/>
                <w:lang w:val="en-US" w:eastAsia="zh-CN"/>
              </w:rPr>
            </w:pPr>
            <w:r>
              <w:rPr>
                <w:rFonts w:hint="eastAsia"/>
                <w:sz w:val="21"/>
                <w:szCs w:val="21"/>
                <w:lang w:val="en-US" w:eastAsia="zh-CN"/>
              </w:rPr>
              <w:t>130</w:t>
            </w:r>
          </w:p>
        </w:tc>
        <w:tc>
          <w:tcPr>
            <w:tcW w:w="1645" w:type="dxa"/>
            <w:noWrap w:val="0"/>
            <w:vAlign w:val="center"/>
          </w:tcPr>
          <w:p>
            <w:pPr>
              <w:spacing w:line="320" w:lineRule="exact"/>
              <w:ind w:firstLine="0" w:firstLineChars="0"/>
              <w:jc w:val="center"/>
              <w:rPr>
                <w:rFonts w:hint="eastAsia"/>
                <w:sz w:val="21"/>
                <w:szCs w:val="21"/>
              </w:rPr>
            </w:pPr>
            <w:r>
              <w:rPr>
                <w:rFonts w:hint="eastAsia"/>
                <w:sz w:val="21"/>
                <w:szCs w:val="21"/>
              </w:rPr>
              <w:t>员工生活</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1" w:type="dxa"/>
            <w:vMerge w:val="continue"/>
            <w:noWrap w:val="0"/>
            <w:vAlign w:val="center"/>
          </w:tcPr>
          <w:p>
            <w:pPr>
              <w:spacing w:line="320" w:lineRule="exact"/>
              <w:ind w:firstLine="0" w:firstLineChars="0"/>
              <w:jc w:val="center"/>
              <w:rPr>
                <w:sz w:val="21"/>
                <w:szCs w:val="21"/>
              </w:rPr>
            </w:pPr>
          </w:p>
        </w:tc>
        <w:tc>
          <w:tcPr>
            <w:tcW w:w="2453" w:type="dxa"/>
            <w:noWrap w:val="0"/>
            <w:vAlign w:val="center"/>
          </w:tcPr>
          <w:p>
            <w:pPr>
              <w:spacing w:line="320" w:lineRule="exact"/>
              <w:ind w:firstLine="0" w:firstLineChars="0"/>
              <w:jc w:val="center"/>
              <w:rPr>
                <w:sz w:val="21"/>
                <w:szCs w:val="21"/>
              </w:rPr>
            </w:pPr>
            <w:r>
              <w:rPr>
                <w:bCs/>
                <w:sz w:val="21"/>
                <w:szCs w:val="21"/>
              </w:rPr>
              <w:t>电（万</w:t>
            </w:r>
            <w:r>
              <w:rPr>
                <w:sz w:val="21"/>
                <w:szCs w:val="21"/>
              </w:rPr>
              <w:t>kw·h/a</w:t>
            </w:r>
            <w:r>
              <w:rPr>
                <w:bCs/>
                <w:sz w:val="21"/>
                <w:szCs w:val="21"/>
              </w:rPr>
              <w:t>）</w:t>
            </w:r>
          </w:p>
        </w:tc>
        <w:tc>
          <w:tcPr>
            <w:tcW w:w="2184" w:type="dxa"/>
            <w:noWrap w:val="0"/>
            <w:vAlign w:val="center"/>
          </w:tcPr>
          <w:p>
            <w:pPr>
              <w:spacing w:line="320" w:lineRule="exact"/>
              <w:ind w:firstLine="0" w:firstLineChars="0"/>
              <w:jc w:val="center"/>
              <w:rPr>
                <w:rFonts w:hint="default" w:eastAsia="宋体"/>
                <w:sz w:val="21"/>
                <w:szCs w:val="21"/>
                <w:lang w:val="en-US" w:eastAsia="zh-CN"/>
              </w:rPr>
            </w:pPr>
            <w:r>
              <w:rPr>
                <w:rFonts w:hint="eastAsia"/>
                <w:sz w:val="21"/>
                <w:szCs w:val="21"/>
                <w:lang w:val="en-US" w:eastAsia="zh-CN"/>
              </w:rPr>
              <w:t>42</w:t>
            </w:r>
          </w:p>
        </w:tc>
        <w:tc>
          <w:tcPr>
            <w:tcW w:w="2405" w:type="dxa"/>
            <w:noWrap w:val="0"/>
            <w:vAlign w:val="center"/>
          </w:tcPr>
          <w:p>
            <w:pPr>
              <w:spacing w:line="320" w:lineRule="exact"/>
              <w:ind w:firstLine="0" w:firstLineChars="0"/>
              <w:jc w:val="center"/>
              <w:rPr>
                <w:rFonts w:hint="default" w:eastAsia="宋体"/>
                <w:sz w:val="21"/>
                <w:szCs w:val="21"/>
                <w:lang w:val="en-US" w:eastAsia="zh-CN"/>
              </w:rPr>
            </w:pPr>
            <w:r>
              <w:rPr>
                <w:rFonts w:hint="eastAsia"/>
                <w:sz w:val="21"/>
                <w:szCs w:val="21"/>
                <w:lang w:val="en-US" w:eastAsia="zh-CN"/>
              </w:rPr>
              <w:t>44</w:t>
            </w:r>
          </w:p>
        </w:tc>
        <w:tc>
          <w:tcPr>
            <w:tcW w:w="1645" w:type="dxa"/>
            <w:noWrap w:val="0"/>
            <w:vAlign w:val="center"/>
          </w:tcPr>
          <w:p>
            <w:pPr>
              <w:spacing w:line="320" w:lineRule="exact"/>
              <w:ind w:firstLine="0" w:firstLineChars="0"/>
              <w:jc w:val="center"/>
              <w:rPr>
                <w:rFonts w:hint="eastAsia"/>
                <w:sz w:val="21"/>
                <w:szCs w:val="21"/>
              </w:rPr>
            </w:pPr>
            <w:r>
              <w:rPr>
                <w:rFonts w:hint="eastAsia"/>
                <w:sz w:val="21"/>
                <w:szCs w:val="21"/>
              </w:rPr>
              <w:t>市政供给</w:t>
            </w:r>
          </w:p>
        </w:tc>
      </w:tr>
    </w:tbl>
    <w:p>
      <w:pPr>
        <w:pStyle w:val="5"/>
        <w:keepLines w:val="0"/>
        <w:numPr>
          <w:ilvl w:val="1"/>
          <w:numId w:val="0"/>
        </w:numPr>
        <w:tabs>
          <w:tab w:val="left" w:pos="1134"/>
        </w:tabs>
        <w:adjustRightInd/>
        <w:textAlignment w:val="auto"/>
        <w:rPr>
          <w:bCs/>
          <w:szCs w:val="30"/>
        </w:rPr>
      </w:pPr>
      <w:bookmarkStart w:id="37" w:name="_Toc444"/>
      <w:bookmarkStart w:id="38" w:name="_Toc19926"/>
      <w:bookmarkStart w:id="39" w:name="_Toc519171325"/>
      <w:bookmarkStart w:id="40" w:name="_Toc1793"/>
      <w:bookmarkStart w:id="41" w:name="_Toc9823"/>
      <w:r>
        <w:rPr>
          <w:bCs/>
          <w:szCs w:val="30"/>
        </w:rPr>
        <w:t>3.4水平衡分析</w:t>
      </w:r>
      <w:bookmarkEnd w:id="37"/>
      <w:bookmarkEnd w:id="38"/>
      <w:bookmarkEnd w:id="39"/>
      <w:bookmarkEnd w:id="40"/>
      <w:bookmarkEnd w:id="41"/>
    </w:p>
    <w:p>
      <w:pPr>
        <w:ind w:firstLine="480"/>
        <w:rPr>
          <w:sz w:val="24"/>
          <w:szCs w:val="24"/>
        </w:rPr>
      </w:pPr>
      <w:r>
        <w:rPr>
          <w:sz w:val="24"/>
          <w:szCs w:val="24"/>
        </w:rPr>
        <w:t>本项目厂区用水主要包括员工生活用水、生产用水（主要为</w:t>
      </w:r>
      <w:r>
        <w:rPr>
          <w:rFonts w:hint="eastAsia"/>
          <w:sz w:val="24"/>
          <w:szCs w:val="24"/>
        </w:rPr>
        <w:t>污泥压滤水、地面冲洗水、</w:t>
      </w:r>
      <w:r>
        <w:rPr>
          <w:sz w:val="24"/>
          <w:szCs w:val="24"/>
        </w:rPr>
        <w:t>化验室用水）；厂区处理的废水主要来源于</w:t>
      </w:r>
      <w:r>
        <w:rPr>
          <w:rFonts w:hint="eastAsia" w:ascii="宋体" w:hAnsi="宋体" w:eastAsia="宋体" w:cs="宋体"/>
          <w:color w:val="000000"/>
          <w:kern w:val="0"/>
          <w:sz w:val="24"/>
          <w:szCs w:val="24"/>
          <w:lang w:val="en-US" w:eastAsia="zh-CN" w:bidi="ar"/>
        </w:rPr>
        <w:t>绵竹装备制造产业园（原新市物流园）企业生产废水及生活污水、孝德镇清道社区及年俗村新村的生活污水</w:t>
      </w:r>
      <w:r>
        <w:rPr>
          <w:sz w:val="24"/>
          <w:szCs w:val="24"/>
        </w:rPr>
        <w:t>。项目水平衡图见下图。</w:t>
      </w:r>
    </w:p>
    <w:p>
      <w:pPr>
        <w:ind w:firstLine="0" w:firstLineChars="0"/>
        <w:rPr>
          <w:rFonts w:hint="eastAsia" w:eastAsia="宋体"/>
          <w:sz w:val="24"/>
          <w:lang w:eastAsia="zh-CN"/>
        </w:rPr>
      </w:pPr>
      <w:r>
        <w:rPr>
          <w:rFonts w:hint="eastAsia" w:eastAsia="宋体"/>
          <w:sz w:val="24"/>
          <w:lang w:eastAsia="zh-CN"/>
        </w:rPr>
        <w:drawing>
          <wp:inline distT="0" distB="0" distL="114300" distR="114300">
            <wp:extent cx="6046470" cy="765175"/>
            <wp:effectExtent l="0" t="0" r="11430" b="0"/>
            <wp:docPr id="14" name="ECB019B1-382A-4266-B25C-5B523AA43C14-1" descr="C:/Users/Administrator/AppData/Local/Temp/wps.irhdhQ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B019B1-382A-4266-B25C-5B523AA43C14-1" descr="C:/Users/Administrator/AppData/Local/Temp/wps.irhdhQwps"/>
                    <pic:cNvPicPr>
                      <a:picLocks noChangeAspect="1"/>
                    </pic:cNvPicPr>
                  </pic:nvPicPr>
                  <pic:blipFill>
                    <a:blip r:embed="rId28"/>
                    <a:srcRect l="3310" t="29840" r="1654"/>
                    <a:stretch>
                      <a:fillRect/>
                    </a:stretch>
                  </pic:blipFill>
                  <pic:spPr>
                    <a:xfrm>
                      <a:off x="0" y="0"/>
                      <a:ext cx="6046470" cy="765175"/>
                    </a:xfrm>
                    <a:prstGeom prst="rect">
                      <a:avLst/>
                    </a:prstGeom>
                    <a:noFill/>
                    <a:ln>
                      <a:noFill/>
                    </a:ln>
                  </pic:spPr>
                </pic:pic>
              </a:graphicData>
            </a:graphic>
          </wp:inline>
        </w:drawing>
      </w:r>
    </w:p>
    <w:p>
      <w:pPr>
        <w:pStyle w:val="28"/>
        <w:ind w:firstLine="482"/>
      </w:pPr>
      <w:r>
        <w:t>图3-5 水平衡图  单位：m</w:t>
      </w:r>
      <w:r>
        <w:rPr>
          <w:vertAlign w:val="superscript"/>
        </w:rPr>
        <w:t>3</w:t>
      </w:r>
      <w:r>
        <w:t>/d</w:t>
      </w:r>
    </w:p>
    <w:p>
      <w:pPr>
        <w:pStyle w:val="5"/>
        <w:keepLines w:val="0"/>
        <w:numPr>
          <w:ilvl w:val="1"/>
          <w:numId w:val="0"/>
        </w:numPr>
        <w:tabs>
          <w:tab w:val="left" w:pos="1134"/>
        </w:tabs>
        <w:adjustRightInd/>
        <w:textAlignment w:val="auto"/>
        <w:rPr>
          <w:bCs/>
          <w:szCs w:val="30"/>
        </w:rPr>
      </w:pPr>
      <w:bookmarkStart w:id="42" w:name="_Toc519171326"/>
      <w:bookmarkStart w:id="43" w:name="_Toc26744"/>
      <w:bookmarkStart w:id="44" w:name="_Toc28685"/>
      <w:bookmarkStart w:id="45" w:name="_Toc18500"/>
      <w:bookmarkStart w:id="46" w:name="_Toc14251"/>
      <w:bookmarkStart w:id="47" w:name="_Toc5686"/>
      <w:bookmarkStart w:id="48" w:name="_Toc9458"/>
      <w:r>
        <w:rPr>
          <w:bCs/>
          <w:szCs w:val="30"/>
        </w:rPr>
        <w:t>3.5生产工艺</w:t>
      </w:r>
      <w:bookmarkEnd w:id="42"/>
      <w:bookmarkEnd w:id="43"/>
      <w:bookmarkEnd w:id="44"/>
      <w:bookmarkEnd w:id="45"/>
      <w:bookmarkEnd w:id="46"/>
    </w:p>
    <w:p>
      <w:pPr>
        <w:ind w:firstLine="560" w:firstLineChars="200"/>
        <w:rPr>
          <w:rFonts w:hint="eastAsia"/>
        </w:rPr>
      </w:pPr>
      <w:r>
        <w:rPr>
          <w:rFonts w:hint="eastAsia"/>
        </w:rPr>
        <w:t>1、预处理单元</w:t>
      </w:r>
    </w:p>
    <w:p>
      <w:pPr>
        <w:ind w:firstLine="560" w:firstLineChars="200"/>
        <w:rPr>
          <w:rFonts w:hint="eastAsia"/>
        </w:rPr>
      </w:pPr>
      <w:r>
        <w:rPr>
          <w:rFonts w:hint="eastAsia"/>
        </w:rPr>
        <w:t>污水在进入生物处理单元前必须进行预处理，以保证后续处理工段的运行。预处理单元包括粗格栅、细格栅、曝气沉砂池、水解酸化池等。主要去除污水中的砂粒、栅渣等颗粒漂浮物及悬浮物（必要时投加药剂），对难降解的大分子有机物进行降解。由于绵竹装备制造产业园区污水水质比较简单，预处理单元构筑物形式较单一，亦无特殊设备，本可研报告便不作论述，直接选取常规处理构筑物及设备。</w:t>
      </w:r>
    </w:p>
    <w:p>
      <w:pPr>
        <w:ind w:firstLine="560" w:firstLineChars="200"/>
        <w:rPr>
          <w:rFonts w:hint="eastAsia"/>
        </w:rPr>
      </w:pPr>
      <w:r>
        <w:rPr>
          <w:rFonts w:hint="eastAsia"/>
        </w:rPr>
        <w:t>2、生化处理单元</w:t>
      </w:r>
    </w:p>
    <w:p>
      <w:pPr>
        <w:ind w:firstLine="560" w:firstLineChars="200"/>
        <w:rPr>
          <w:rFonts w:hint="eastAsia"/>
        </w:rPr>
      </w:pPr>
      <w:r>
        <w:rPr>
          <w:rFonts w:hint="eastAsia"/>
        </w:rPr>
        <w:t>本工程处理的原水可生化性较好，因此采用具有除磷脱氮功能的生物处理工艺，但由于本项目所需达到出水标准要求较高，为保证处理后出水能够达到排放要求，降低后续处理工艺的负荷，生化工艺应较传统处理工艺更加优化可行，处理效果更可靠，后续辅之一定的化学脱磷手段，一般情况下可稳定运行。</w:t>
      </w:r>
    </w:p>
    <w:p>
      <w:pPr>
        <w:ind w:firstLine="560" w:firstLineChars="200"/>
        <w:rPr>
          <w:rFonts w:hint="eastAsia"/>
        </w:rPr>
      </w:pPr>
      <w:r>
        <w:rPr>
          <w:rFonts w:hint="eastAsia"/>
        </w:rPr>
        <w:t>3、深度处理单元</w:t>
      </w:r>
    </w:p>
    <w:p>
      <w:pPr>
        <w:ind w:firstLine="560" w:firstLineChars="200"/>
        <w:rPr>
          <w:rFonts w:hint="eastAsia"/>
        </w:rPr>
      </w:pPr>
      <w:r>
        <w:rPr>
          <w:rFonts w:hint="eastAsia"/>
        </w:rPr>
        <w:t>一般情况下，具有除磷脱氮功能的二级生物处理工艺出水能够达到一级B排放标准。但是要使出水中SS、TN、TP等污染物满足回用水标准，除了对二级生物处理段强化外，还需要后续深度处理段进一步去除水中SS、TP和TN等污染物。</w:t>
      </w:r>
    </w:p>
    <w:p>
      <w:pPr>
        <w:ind w:firstLine="560" w:firstLineChars="200"/>
        <w:rPr>
          <w:rFonts w:hint="eastAsia"/>
        </w:rPr>
      </w:pPr>
      <w:r>
        <w:rPr>
          <w:rFonts w:hint="eastAsia"/>
        </w:rPr>
        <w:t>4、污泥处理单元</w:t>
      </w:r>
    </w:p>
    <w:p>
      <w:pPr>
        <w:ind w:firstLine="560" w:firstLineChars="200"/>
        <w:rPr>
          <w:rFonts w:hint="eastAsia" w:eastAsia="宋体"/>
          <w:lang w:eastAsia="zh-CN"/>
        </w:rPr>
      </w:pPr>
      <w:r>
        <w:rPr>
          <w:rFonts w:hint="eastAsia"/>
        </w:rPr>
        <w:t>由于本工程在生化处理单元需采用生物除磷脱氮工艺，若采用重力浓缩，不仅不利于环境卫生，也会造成污泥在浓缩池内停留时间过长造成磷的二次释放，不利于生物除磷。因此本工程污泥处理单元考虑采用叠螺浓缩+隔膜压滤脱水工艺</w:t>
      </w:r>
      <w:r>
        <w:rPr>
          <w:rFonts w:hint="eastAsia"/>
          <w:lang w:eastAsia="zh-CN"/>
        </w:rPr>
        <w:t>。</w:t>
      </w:r>
    </w:p>
    <w:p>
      <w:pPr>
        <w:ind w:firstLine="0" w:firstLineChars="0"/>
        <w:jc w:val="center"/>
      </w:pPr>
      <w:r>
        <w:drawing>
          <wp:inline distT="0" distB="0" distL="114300" distR="114300">
            <wp:extent cx="5038725" cy="7277100"/>
            <wp:effectExtent l="0" t="0" r="9525" b="0"/>
            <wp:docPr id="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3"/>
                    <pic:cNvPicPr>
                      <a:picLocks noChangeAspect="1"/>
                    </pic:cNvPicPr>
                  </pic:nvPicPr>
                  <pic:blipFill>
                    <a:blip r:embed="rId29"/>
                    <a:stretch>
                      <a:fillRect/>
                    </a:stretch>
                  </pic:blipFill>
                  <pic:spPr>
                    <a:xfrm>
                      <a:off x="0" y="0"/>
                      <a:ext cx="5038725" cy="7277100"/>
                    </a:xfrm>
                    <a:prstGeom prst="rect">
                      <a:avLst/>
                    </a:prstGeom>
                    <a:noFill/>
                    <a:ln>
                      <a:noFill/>
                    </a:ln>
                  </pic:spPr>
                </pic:pic>
              </a:graphicData>
            </a:graphic>
          </wp:inline>
        </w:drawing>
      </w:r>
    </w:p>
    <w:p>
      <w:pPr>
        <w:pStyle w:val="28"/>
        <w:ind w:firstLine="482"/>
      </w:pPr>
      <w:r>
        <w:t>图3-4 工艺流程及产污位置图</w:t>
      </w:r>
    </w:p>
    <w:p>
      <w:pPr>
        <w:bidi w:val="0"/>
        <w:rPr>
          <w:b/>
          <w:bCs/>
        </w:rPr>
      </w:pPr>
      <w:r>
        <w:rPr>
          <w:b/>
          <w:bCs/>
        </w:rPr>
        <w:t>工艺简述：</w:t>
      </w:r>
    </w:p>
    <w:p>
      <w:pPr>
        <w:bidi w:val="0"/>
        <w:rPr>
          <w:rFonts w:hint="eastAsia"/>
        </w:rPr>
      </w:pPr>
      <w:r>
        <w:rPr>
          <w:rFonts w:hint="eastAsia"/>
          <w:lang w:val="en-US" w:eastAsia="zh-CN"/>
        </w:rPr>
        <w:t>1、</w:t>
      </w:r>
      <w:r>
        <w:rPr>
          <w:rFonts w:hint="eastAsia"/>
        </w:rPr>
        <w:t>水解酸化</w:t>
      </w:r>
    </w:p>
    <w:p>
      <w:pPr>
        <w:bidi w:val="0"/>
        <w:rPr>
          <w:rFonts w:hint="eastAsia"/>
        </w:rPr>
      </w:pPr>
      <w:r>
        <w:rPr>
          <w:rFonts w:hint="eastAsia"/>
        </w:rPr>
        <w:t>水解酸化是将水中的固体、大分子和不易生物降解的有机物降解为易于生物降解的小分子有机物，提高了废水的可生化性。水解酸化对有机物的去除主要是对悬浮性有机物，对溶解性有机物去除率则很低，保证了后续脱氮除磷对其的需求，也提高了氮、磷的去除率。水解酸化也具有沉淀作用，通过加药沉淀，可有效去除污水中的重金属离子。</w:t>
      </w:r>
    </w:p>
    <w:p>
      <w:pPr>
        <w:bidi w:val="0"/>
        <w:rPr>
          <w:rFonts w:hint="eastAsia"/>
        </w:rPr>
      </w:pPr>
      <w:r>
        <w:rPr>
          <w:rFonts w:hint="eastAsia"/>
          <w:lang w:val="en-US" w:eastAsia="zh-CN"/>
        </w:rPr>
        <w:t>2、</w:t>
      </w:r>
      <w:r>
        <w:rPr>
          <w:rFonts w:hint="eastAsia"/>
        </w:rPr>
        <w:t>改良A2/O工艺</w:t>
      </w:r>
    </w:p>
    <w:p>
      <w:pPr>
        <w:bidi w:val="0"/>
      </w:pPr>
      <w:r>
        <w:rPr>
          <w:rFonts w:hint="eastAsia"/>
        </w:rPr>
        <w:t>A2/O法即厌氧/缺氧/好氧活性污泥法。其构造是在A/O工艺的缺氧区之后、好氧区之前增设一个缺氧区，好氧区具有硝化功能，并使好氧区中的混合液回流至缺氧区进行反硝化，使之脱氮。污水在流经三个不同功能分区的过程中，在不同微生物菌群作用下，使污水中的有机物、氮和磷得到去除，达到同时进行生物除磷和生物除氮的目的。</w:t>
      </w:r>
    </w:p>
    <w:p>
      <w:pPr>
        <w:bidi w:val="0"/>
        <w:rPr>
          <w:rFonts w:hint="eastAsia"/>
        </w:rPr>
      </w:pPr>
      <w:r>
        <w:rPr>
          <w:rFonts w:hint="eastAsia"/>
        </w:rPr>
        <w:t>改良的A2/O工艺是结合了氧化沟的混合液内回流及一体化结构的设计理念，利用A2/O不同功能分区的形式，通过创新的空气提推技术作为源动力，将不同功能单元结合在一起的生化处理工艺。该工艺具备占地少、能耗低、投资少及运营管理简便等优点，针对高浓度难降解工业废水及市政生活污水均有较大的处理优势。</w:t>
      </w:r>
    </w:p>
    <w:p>
      <w:pPr>
        <w:bidi w:val="0"/>
        <w:rPr>
          <w:rFonts w:hint="eastAsia"/>
        </w:rPr>
      </w:pPr>
      <w:r>
        <w:rPr>
          <w:rFonts w:hint="eastAsia"/>
        </w:rPr>
        <w:t>工艺将除碳、脱氮、除磷甚至沉淀等多个单元设置成一个组合单元，有效节省了占地面积，缩短了工艺流程，使得传统流程中不同单元能够有机组合，并充分利用一次提升势能完成了污水在整个系统内的输送，降低了污水提升的能耗，减少了土建及管道投资，并且也大大缩短了巡检路线，便于运营管理。具体结构见下图。</w:t>
      </w:r>
    </w:p>
    <w:p>
      <w:pPr>
        <w:pStyle w:val="16"/>
        <w:spacing w:line="240" w:lineRule="auto"/>
        <w:ind w:left="0" w:leftChars="0" w:firstLine="0" w:firstLineChars="0"/>
        <w:jc w:val="center"/>
        <w:rPr>
          <w:rFonts w:hint="eastAsia"/>
          <w:sz w:val="24"/>
          <w:szCs w:val="24"/>
        </w:rPr>
      </w:pPr>
      <w:r>
        <w:drawing>
          <wp:inline distT="0" distB="0" distL="114300" distR="114300">
            <wp:extent cx="5724525" cy="3257550"/>
            <wp:effectExtent l="0" t="0" r="9525" b="0"/>
            <wp:docPr id="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pic:cNvPicPr>
                      <a:picLocks noChangeAspect="1"/>
                    </pic:cNvPicPr>
                  </pic:nvPicPr>
                  <pic:blipFill>
                    <a:blip r:embed="rId30"/>
                    <a:stretch>
                      <a:fillRect/>
                    </a:stretch>
                  </pic:blipFill>
                  <pic:spPr>
                    <a:xfrm>
                      <a:off x="0" y="0"/>
                      <a:ext cx="5724525" cy="3257550"/>
                    </a:xfrm>
                    <a:prstGeom prst="rect">
                      <a:avLst/>
                    </a:prstGeom>
                    <a:noFill/>
                    <a:ln>
                      <a:noFill/>
                    </a:ln>
                  </pic:spPr>
                </pic:pic>
              </a:graphicData>
            </a:graphic>
          </wp:inline>
        </w:drawing>
      </w:r>
    </w:p>
    <w:p>
      <w:pPr>
        <w:pStyle w:val="28"/>
        <w:bidi w:val="0"/>
      </w:pPr>
      <w:r>
        <w:rPr>
          <w:rFonts w:hint="eastAsia"/>
          <w:lang w:val="en-US" w:eastAsia="zh-CN"/>
        </w:rPr>
        <w:t>改良型</w:t>
      </w:r>
      <w:r>
        <w:rPr>
          <w:rFonts w:hint="default"/>
          <w:lang w:val="en-US" w:eastAsia="zh-CN"/>
        </w:rPr>
        <w:t>A2/O</w:t>
      </w:r>
      <w:r>
        <w:rPr>
          <w:rFonts w:hint="eastAsia"/>
          <w:lang w:val="en-US" w:eastAsia="zh-CN"/>
        </w:rPr>
        <w:t>结构示意图</w:t>
      </w:r>
    </w:p>
    <w:p>
      <w:pPr>
        <w:bidi w:val="0"/>
        <w:rPr>
          <w:rFonts w:hint="eastAsia"/>
          <w:lang w:eastAsia="zh-CN"/>
        </w:rPr>
      </w:pPr>
      <w:r>
        <w:rPr>
          <w:rFonts w:hint="eastAsia"/>
          <w:lang w:val="en-US" w:eastAsia="zh-CN"/>
        </w:rPr>
        <w:t>3、</w:t>
      </w:r>
      <w:r>
        <w:rPr>
          <w:rFonts w:hint="eastAsia"/>
        </w:rPr>
        <w:t>高效沉淀池</w:t>
      </w:r>
    </w:p>
    <w:p>
      <w:pPr>
        <w:bidi w:val="0"/>
        <w:rPr>
          <w:rFonts w:hint="eastAsia"/>
        </w:rPr>
      </w:pPr>
      <w:r>
        <w:rPr>
          <w:rFonts w:hint="eastAsia"/>
        </w:rPr>
        <w:t>高效沉淀池是一种澄清工艺，在常规混合絮凝的过程中，通过沉淀区的泥渣回流，并与混凝剂、聚合物以及原水中的杂质颗粒相互接触、吸附、沉淀，因而具有极佳的絮凝性能，矾花密集、结实。良好的絮凝效果也保证了较高的沉淀速度和高效的沉淀效率。由于污泥的循环，使得污泥与水之间的接触时间较长，絮凝效果好，药剂投加量低于其它工艺。外排污泥含水率低，大大降低了污泥处理的费用。因此，高密池的处理效率高于传统沉淀池，节省了占地面积，且结构简单紧凑，施工方便，但设备投资成本较大，运行费用较高。</w:t>
      </w:r>
    </w:p>
    <w:p>
      <w:pPr>
        <w:bidi w:val="0"/>
        <w:spacing w:line="240" w:lineRule="auto"/>
        <w:ind w:left="0" w:leftChars="0" w:firstLine="0" w:firstLineChars="0"/>
        <w:rPr>
          <w:rFonts w:hint="eastAsia"/>
        </w:rPr>
      </w:pPr>
      <w:r>
        <w:drawing>
          <wp:inline distT="0" distB="0" distL="114300" distR="114300">
            <wp:extent cx="5760085" cy="3321685"/>
            <wp:effectExtent l="0" t="0" r="12065" b="12065"/>
            <wp:docPr id="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pic:cNvPicPr>
                      <a:picLocks noChangeAspect="1"/>
                    </pic:cNvPicPr>
                  </pic:nvPicPr>
                  <pic:blipFill>
                    <a:blip r:embed="rId31"/>
                    <a:stretch>
                      <a:fillRect/>
                    </a:stretch>
                  </pic:blipFill>
                  <pic:spPr>
                    <a:xfrm>
                      <a:off x="0" y="0"/>
                      <a:ext cx="5760085" cy="3321685"/>
                    </a:xfrm>
                    <a:prstGeom prst="rect">
                      <a:avLst/>
                    </a:prstGeom>
                    <a:noFill/>
                    <a:ln>
                      <a:noFill/>
                    </a:ln>
                  </pic:spPr>
                </pic:pic>
              </a:graphicData>
            </a:graphic>
          </wp:inline>
        </w:drawing>
      </w:r>
    </w:p>
    <w:p>
      <w:pPr>
        <w:pStyle w:val="28"/>
        <w:bidi w:val="0"/>
      </w:pPr>
      <w:r>
        <w:rPr>
          <w:rFonts w:hint="eastAsia"/>
          <w:lang w:val="en-US" w:eastAsia="zh-CN"/>
        </w:rPr>
        <w:t>高效沉淀池工作原理图</w:t>
      </w:r>
    </w:p>
    <w:p>
      <w:pPr>
        <w:bidi w:val="0"/>
        <w:rPr>
          <w:rFonts w:hint="eastAsia"/>
        </w:rPr>
      </w:pPr>
      <w:r>
        <w:rPr>
          <w:rFonts w:hint="eastAsia"/>
          <w:lang w:val="en-US" w:eastAsia="zh-CN"/>
        </w:rPr>
        <w:t>4、</w:t>
      </w:r>
      <w:r>
        <w:rPr>
          <w:rFonts w:hint="eastAsia"/>
        </w:rPr>
        <w:t>转鼓精密过滤器</w:t>
      </w:r>
    </w:p>
    <w:p>
      <w:pPr>
        <w:bidi w:val="0"/>
        <w:rPr>
          <w:rFonts w:hint="eastAsia"/>
        </w:rPr>
      </w:pPr>
      <w:r>
        <w:rPr>
          <w:rFonts w:hint="eastAsia"/>
        </w:rPr>
        <w:t>高效沉淀池出水流入转鼓精密过滤器，通过不锈钢滤网的物理拦截作用，对水体中的悬浮物进行去除，转鼓精密过滤器具有较强的耐冲击负荷能力，保证出水的SS达标。</w:t>
      </w:r>
    </w:p>
    <w:p>
      <w:pPr>
        <w:bidi w:val="0"/>
        <w:rPr>
          <w:rFonts w:hint="eastAsia" w:eastAsia="宋体"/>
          <w:lang w:eastAsia="zh-CN"/>
        </w:rPr>
      </w:pPr>
      <w:r>
        <w:rPr>
          <w:rFonts w:hint="eastAsia"/>
        </w:rPr>
        <w:t>综上分析，本项目深度处理工艺采用“高效沉淀池+转鼓精密过滤器”。此外，考虑到园区来水的不确定性，设计时在厂区西南角预留空地用于后续废水深度处理设施建设，使废水能达标排放</w:t>
      </w:r>
      <w:r>
        <w:rPr>
          <w:rFonts w:hint="eastAsia"/>
          <w:lang w:eastAsia="zh-CN"/>
        </w:rPr>
        <w:t>。</w:t>
      </w:r>
    </w:p>
    <w:p>
      <w:pPr>
        <w:bidi w:val="0"/>
        <w:rPr>
          <w:rFonts w:hint="eastAsia"/>
          <w:b w:val="0"/>
          <w:bCs w:val="0"/>
          <w:lang w:val="en-US" w:eastAsia="zh-CN"/>
        </w:rPr>
      </w:pPr>
      <w:r>
        <w:rPr>
          <w:rFonts w:hint="eastAsia"/>
          <w:b w:val="0"/>
          <w:bCs w:val="0"/>
          <w:lang w:val="en-US" w:eastAsia="zh-CN"/>
        </w:rPr>
        <w:t>5、消毒</w:t>
      </w:r>
    </w:p>
    <w:p>
      <w:pPr>
        <w:bidi w:val="0"/>
        <w:rPr>
          <w:rFonts w:hint="eastAsia" w:eastAsia="宋体"/>
          <w:lang w:eastAsia="zh-CN"/>
        </w:rPr>
      </w:pPr>
      <w:r>
        <w:rPr>
          <w:rFonts w:hint="eastAsia"/>
        </w:rPr>
        <w:t>为防止传染性病原菌对人们的危害，降低出厂水的总大肠菌群数，对污水处理厂出水进行消毒是十分必要的。</w:t>
      </w:r>
      <w:r>
        <w:rPr>
          <w:rFonts w:hint="eastAsia"/>
          <w:lang w:eastAsia="zh-CN"/>
        </w:rPr>
        <w:t>本项目选用</w:t>
      </w:r>
      <w:r>
        <w:rPr>
          <w:rFonts w:hint="eastAsia"/>
        </w:rPr>
        <w:t>二氧化氯消毒</w:t>
      </w:r>
      <w:r>
        <w:rPr>
          <w:rFonts w:hint="eastAsia"/>
          <w:lang w:eastAsia="zh-CN"/>
        </w:rPr>
        <w:t>。</w:t>
      </w:r>
    </w:p>
    <w:p>
      <w:pPr>
        <w:bidi w:val="0"/>
        <w:rPr>
          <w:rFonts w:hint="eastAsia"/>
          <w:lang w:val="en-US" w:eastAsia="zh-CN"/>
        </w:rPr>
      </w:pPr>
      <w:r>
        <w:rPr>
          <w:rFonts w:hint="eastAsia"/>
          <w:lang w:val="en-US" w:eastAsia="zh-CN"/>
        </w:rPr>
        <w:t>6、污泥处理</w:t>
      </w:r>
    </w:p>
    <w:p>
      <w:pPr>
        <w:bidi w:val="0"/>
        <w:rPr>
          <w:rFonts w:hint="eastAsia"/>
        </w:rPr>
      </w:pPr>
      <w:r>
        <w:rPr>
          <w:rFonts w:hint="eastAsia"/>
          <w:lang w:val="en-US" w:eastAsia="zh-CN"/>
        </w:rPr>
        <w:t>本项目</w:t>
      </w:r>
      <w:r>
        <w:rPr>
          <w:rFonts w:hint="eastAsia"/>
        </w:rPr>
        <w:t>采用机械浓缩、脱水处理工艺在占地、环境保护、投资以及除磷方面具有比较明显的优势，因此本工程推荐采用机械浓缩、脱水工艺。</w:t>
      </w:r>
    </w:p>
    <w:p>
      <w:pPr>
        <w:bidi w:val="0"/>
        <w:rPr>
          <w:rFonts w:hint="eastAsia" w:eastAsia="宋体"/>
          <w:lang w:eastAsia="zh-CN"/>
        </w:rPr>
      </w:pPr>
      <w:r>
        <w:rPr>
          <w:rFonts w:hint="eastAsia"/>
        </w:rPr>
        <w:t>板框压滤机一般为间歇操作，其设备大，基建设备投资较高，不能24小时连续运行，因不断加厚的泥饼产生的过滤比阻大、为达到相应的污泥脱水干度而进行的保压过滤所带来的能耗也较大；由于其卸泥方式为打开板框后泥饼往下坠落的方式，所以其主体设备一般设置在楼上，楼下设置泥饼输送机</w:t>
      </w:r>
      <w:r>
        <w:rPr>
          <w:rFonts w:hint="eastAsia"/>
          <w:lang w:eastAsia="zh-CN"/>
        </w:rPr>
        <w:t>。</w:t>
      </w:r>
    </w:p>
    <w:p>
      <w:pPr>
        <w:bidi w:val="0"/>
        <w:rPr>
          <w:rFonts w:hint="eastAsia" w:eastAsia="宋体"/>
          <w:lang w:val="en-US" w:eastAsia="zh-CN"/>
        </w:rPr>
      </w:pPr>
      <w:r>
        <w:rPr>
          <w:rFonts w:hint="eastAsia"/>
          <w:lang w:val="en-US" w:eastAsia="zh-CN"/>
        </w:rPr>
        <w:t>7、臭气处理</w:t>
      </w:r>
    </w:p>
    <w:p>
      <w:pPr>
        <w:bidi w:val="0"/>
        <w:rPr>
          <w:rFonts w:hint="eastAsia"/>
        </w:rPr>
      </w:pPr>
      <w:r>
        <w:rPr>
          <w:rFonts w:hint="eastAsia"/>
        </w:rPr>
        <w:t>污水处理厂产生臭气的主要构筑物包括：粗格栅及提升泵房、细格栅及曝气沉砂池、缓冲调节池、水解酸化池、改良A2O池、污泥储池、污泥脱水间等，这些构筑物在运行过程中会产生一些臭气。除臭设施主要收集这些构筑物的臭气并进行处理。</w:t>
      </w:r>
    </w:p>
    <w:p>
      <w:pPr>
        <w:bidi w:val="0"/>
        <w:rPr>
          <w:rFonts w:hint="eastAsia"/>
        </w:rPr>
      </w:pPr>
      <w:r>
        <w:rPr>
          <w:rFonts w:hint="eastAsia"/>
        </w:rPr>
        <w:t>本项目确定采用</w:t>
      </w:r>
      <w:r>
        <w:rPr>
          <w:rFonts w:hint="eastAsia"/>
          <w:b/>
          <w:bCs/>
        </w:rPr>
        <w:t>生物除臭</w:t>
      </w:r>
      <w:r>
        <w:rPr>
          <w:rFonts w:hint="eastAsia"/>
        </w:rPr>
        <w:t>。</w:t>
      </w:r>
    </w:p>
    <w:p>
      <w:pPr>
        <w:bidi w:val="0"/>
        <w:rPr>
          <w:rFonts w:hint="eastAsia"/>
        </w:rPr>
      </w:pPr>
      <w:r>
        <w:rPr>
          <w:rFonts w:hint="eastAsia"/>
          <w:lang w:eastAsia="zh-CN"/>
        </w:rPr>
        <w:t>（</w:t>
      </w:r>
      <w:r>
        <w:rPr>
          <w:rFonts w:hint="eastAsia"/>
          <w:lang w:val="en-US" w:eastAsia="zh-CN"/>
        </w:rPr>
        <w:t>1</w:t>
      </w:r>
      <w:r>
        <w:rPr>
          <w:rFonts w:hint="eastAsia"/>
          <w:lang w:eastAsia="zh-CN"/>
        </w:rPr>
        <w:t>）</w:t>
      </w:r>
      <w:r>
        <w:rPr>
          <w:rFonts w:hint="eastAsia"/>
        </w:rPr>
        <w:t>生物除臭的原理</w:t>
      </w:r>
    </w:p>
    <w:p>
      <w:pPr>
        <w:bidi w:val="0"/>
        <w:rPr>
          <w:rFonts w:hint="eastAsia"/>
        </w:rPr>
      </w:pPr>
      <w:r>
        <w:rPr>
          <w:rFonts w:hint="eastAsia"/>
        </w:rPr>
        <w:t>本项目采用生物滤池除臭，原理是指加湿后的废气被通入填充有填料（如堆肥、土壤、树皮、珍珠岩、沸石、有机塑料等）的生物过滤器中，与填料上所附着生长的生物膜（微生物）接触，被微生物所吸附降解，最终转化为简单的无机物（如CO</w:t>
      </w:r>
      <w:r>
        <w:rPr>
          <w:rFonts w:hint="eastAsia"/>
          <w:vertAlign w:val="subscript"/>
        </w:rPr>
        <w:t>2</w:t>
      </w:r>
      <w:r>
        <w:rPr>
          <w:rFonts w:hint="eastAsia"/>
        </w:rPr>
        <w:t>、H</w:t>
      </w:r>
      <w:r>
        <w:rPr>
          <w:rFonts w:hint="eastAsia"/>
          <w:vertAlign w:val="subscript"/>
        </w:rPr>
        <w:t>2</w:t>
      </w:r>
      <w:r>
        <w:rPr>
          <w:rFonts w:hint="eastAsia"/>
        </w:rPr>
        <w:t>O、SO</w:t>
      </w:r>
      <w:r>
        <w:rPr>
          <w:rFonts w:hint="eastAsia"/>
          <w:vertAlign w:val="subscript"/>
        </w:rPr>
        <w:t>4</w:t>
      </w:r>
      <w:r>
        <w:rPr>
          <w:rFonts w:hint="eastAsia"/>
          <w:vertAlign w:val="superscript"/>
        </w:rPr>
        <w:t>2-</w:t>
      </w:r>
      <w:r>
        <w:rPr>
          <w:rFonts w:hint="eastAsia"/>
        </w:rPr>
        <w:t>、NO</w:t>
      </w:r>
      <w:r>
        <w:rPr>
          <w:rFonts w:hint="eastAsia"/>
          <w:vertAlign w:val="subscript"/>
        </w:rPr>
        <w:t>3</w:t>
      </w:r>
      <w:r>
        <w:rPr>
          <w:rFonts w:hint="eastAsia"/>
          <w:vertAlign w:val="superscript"/>
        </w:rPr>
        <w:t>-</w:t>
      </w:r>
      <w:r>
        <w:rPr>
          <w:rFonts w:hint="eastAsia"/>
        </w:rPr>
        <w:t>和Cl</w:t>
      </w:r>
      <w:r>
        <w:rPr>
          <w:rFonts w:hint="eastAsia"/>
          <w:vertAlign w:val="superscript"/>
        </w:rPr>
        <w:t>-</w:t>
      </w:r>
      <w:r>
        <w:rPr>
          <w:rFonts w:hint="eastAsia"/>
        </w:rPr>
        <w:t>等）或合成新细胞物质，处理后的气体在从生物过滤器的另一端排出。生物过滤法对废气去除是不同的生化作用与物理化学作用的复杂结合的结果。其降解机理如下：</w:t>
      </w:r>
    </w:p>
    <w:p>
      <w:pPr>
        <w:bidi w:val="0"/>
        <w:rPr>
          <w:rFonts w:hint="eastAsia"/>
        </w:rPr>
      </w:pPr>
      <w:r>
        <w:rPr>
          <w:rFonts w:hint="eastAsia"/>
        </w:rPr>
        <w:t>H</w:t>
      </w:r>
      <w:r>
        <w:rPr>
          <w:rFonts w:hint="eastAsia"/>
          <w:vertAlign w:val="subscript"/>
        </w:rPr>
        <w:t>2</w:t>
      </w:r>
      <w:r>
        <w:rPr>
          <w:rFonts w:hint="eastAsia"/>
        </w:rPr>
        <w:t>S或其它含硫物质+O</w:t>
      </w:r>
      <w:r>
        <w:rPr>
          <w:rFonts w:hint="eastAsia"/>
          <w:vertAlign w:val="subscript"/>
        </w:rPr>
        <w:t>2</w:t>
      </w:r>
      <w:r>
        <w:rPr>
          <w:rFonts w:hint="eastAsia"/>
        </w:rPr>
        <w:t>→SO</w:t>
      </w:r>
      <w:r>
        <w:rPr>
          <w:rFonts w:hint="eastAsia"/>
          <w:vertAlign w:val="subscript"/>
        </w:rPr>
        <w:t>4</w:t>
      </w:r>
      <w:r>
        <w:rPr>
          <w:rFonts w:hint="eastAsia"/>
          <w:vertAlign w:val="superscript"/>
        </w:rPr>
        <w:t>2-</w:t>
      </w:r>
      <w:r>
        <w:rPr>
          <w:rFonts w:hint="eastAsia"/>
        </w:rPr>
        <w:t>+CO</w:t>
      </w:r>
      <w:r>
        <w:rPr>
          <w:rFonts w:hint="eastAsia"/>
          <w:vertAlign w:val="subscript"/>
        </w:rPr>
        <w:t>2</w:t>
      </w:r>
      <w:r>
        <w:rPr>
          <w:rFonts w:hint="eastAsia"/>
        </w:rPr>
        <w:t>+H</w:t>
      </w:r>
      <w:r>
        <w:rPr>
          <w:rFonts w:hint="eastAsia"/>
          <w:vertAlign w:val="subscript"/>
        </w:rPr>
        <w:t>2</w:t>
      </w:r>
      <w:r>
        <w:rPr>
          <w:rFonts w:hint="eastAsia"/>
        </w:rPr>
        <w:t>O+细胞物质</w:t>
      </w:r>
    </w:p>
    <w:p>
      <w:pPr>
        <w:bidi w:val="0"/>
        <w:rPr>
          <w:rFonts w:hint="eastAsia"/>
        </w:rPr>
      </w:pPr>
      <w:r>
        <w:rPr>
          <w:rFonts w:hint="eastAsia"/>
        </w:rPr>
        <w:t>NH</w:t>
      </w:r>
      <w:r>
        <w:rPr>
          <w:rFonts w:hint="eastAsia"/>
          <w:vertAlign w:val="subscript"/>
        </w:rPr>
        <w:t>3</w:t>
      </w:r>
      <w:r>
        <w:rPr>
          <w:rFonts w:hint="eastAsia"/>
        </w:rPr>
        <w:t>或含N无机化合物+O</w:t>
      </w:r>
      <w:r>
        <w:rPr>
          <w:rFonts w:hint="eastAsia"/>
          <w:vertAlign w:val="subscript"/>
        </w:rPr>
        <w:t>2</w:t>
      </w:r>
      <w:r>
        <w:rPr>
          <w:rFonts w:hint="eastAsia"/>
        </w:rPr>
        <w:t>→CO</w:t>
      </w:r>
      <w:r>
        <w:rPr>
          <w:rFonts w:hint="eastAsia"/>
          <w:vertAlign w:val="subscript"/>
        </w:rPr>
        <w:t>2</w:t>
      </w:r>
      <w:r>
        <w:rPr>
          <w:rFonts w:hint="eastAsia"/>
        </w:rPr>
        <w:t>+NO</w:t>
      </w:r>
      <w:r>
        <w:rPr>
          <w:rFonts w:hint="eastAsia"/>
          <w:vertAlign w:val="subscript"/>
        </w:rPr>
        <w:t>3</w:t>
      </w:r>
      <w:r>
        <w:rPr>
          <w:rFonts w:hint="eastAsia"/>
          <w:vertAlign w:val="superscript"/>
        </w:rPr>
        <w:t>-</w:t>
      </w:r>
      <w:r>
        <w:rPr>
          <w:rFonts w:hint="eastAsia"/>
        </w:rPr>
        <w:t>+H</w:t>
      </w:r>
      <w:r>
        <w:rPr>
          <w:rFonts w:hint="eastAsia"/>
          <w:vertAlign w:val="subscript"/>
        </w:rPr>
        <w:t>2</w:t>
      </w:r>
      <w:r>
        <w:rPr>
          <w:rFonts w:hint="eastAsia"/>
        </w:rPr>
        <w:t>O+细胞物质</w:t>
      </w:r>
    </w:p>
    <w:p>
      <w:pPr>
        <w:bidi w:val="0"/>
        <w:rPr>
          <w:rFonts w:hint="eastAsia"/>
        </w:rPr>
      </w:pPr>
      <w:r>
        <w:rPr>
          <w:rFonts w:hint="eastAsia"/>
          <w:lang w:eastAsia="zh-CN"/>
        </w:rPr>
        <w:t>（</w:t>
      </w:r>
      <w:r>
        <w:rPr>
          <w:rFonts w:hint="eastAsia"/>
          <w:lang w:val="en-US" w:eastAsia="zh-CN"/>
        </w:rPr>
        <w:t>2</w:t>
      </w:r>
      <w:r>
        <w:rPr>
          <w:rFonts w:hint="eastAsia"/>
          <w:lang w:eastAsia="zh-CN"/>
        </w:rPr>
        <w:t>）</w:t>
      </w:r>
      <w:r>
        <w:rPr>
          <w:rFonts w:hint="eastAsia"/>
        </w:rPr>
        <w:t>本项目除臭方案</w:t>
      </w:r>
    </w:p>
    <w:p>
      <w:pPr>
        <w:bidi w:val="0"/>
        <w:rPr>
          <w:rFonts w:hint="eastAsia"/>
        </w:rPr>
      </w:pPr>
      <w:r>
        <w:rPr>
          <w:rFonts w:hint="eastAsia"/>
        </w:rPr>
        <w:t>按照相关标准及要求，本项目污水处理厂收集预处理区（粗格栅及提升泵房、细格栅及曝气沉淀池、缓冲调节池、水解酸化池）、生化池（改良A2/O）、污泥脱水（脱水间、污泥储池）产生的臭气，送生物滤池除臭系统处理。臭气收集：其中，进水区机械设备尽可能采用全封闭的形式，以节省加盖的投资，并预留臭气收集口，连接臭气收集管路；预处理区、生化池及污泥储池采用密封加盖并设置气体捕集口，连接臭气收集管路；污泥脱水间设置风阀将臭气抽吸至臭气收集管路。以上收集的臭气全部进入生物滤池除臭系统。</w:t>
      </w:r>
    </w:p>
    <w:p>
      <w:pPr>
        <w:bidi w:val="0"/>
        <w:rPr>
          <w:rFonts w:hint="eastAsia"/>
        </w:rPr>
      </w:pPr>
      <w:r>
        <w:rPr>
          <w:rFonts w:hint="eastAsia"/>
        </w:rPr>
        <w:t>除臭的具体工艺流程为：臭气收集→风管输送→抽风机→预洗池加湿→生物滤池→排气。经生物除臭器处理后的废气集中到15米排气筒排放。</w:t>
      </w:r>
    </w:p>
    <w:p>
      <w:pPr>
        <w:pStyle w:val="5"/>
        <w:keepLines w:val="0"/>
        <w:numPr>
          <w:ilvl w:val="1"/>
          <w:numId w:val="0"/>
        </w:numPr>
        <w:tabs>
          <w:tab w:val="left" w:pos="1134"/>
        </w:tabs>
        <w:adjustRightInd/>
        <w:textAlignment w:val="auto"/>
        <w:rPr>
          <w:bCs/>
          <w:szCs w:val="30"/>
        </w:rPr>
      </w:pPr>
      <w:bookmarkStart w:id="49" w:name="_Toc9796"/>
      <w:r>
        <w:rPr>
          <w:bCs/>
          <w:szCs w:val="30"/>
        </w:rPr>
        <w:t>3.6项目变动情况</w:t>
      </w:r>
      <w:bookmarkEnd w:id="47"/>
      <w:bookmarkEnd w:id="48"/>
      <w:bookmarkEnd w:id="49"/>
    </w:p>
    <w:p>
      <w:pPr>
        <w:rPr>
          <w:rFonts w:hint="eastAsia"/>
          <w:lang w:val="en-US" w:eastAsia="zh-CN"/>
        </w:rPr>
      </w:pPr>
      <w:r>
        <w:t>根据业主提供资料及现场勘查，本项目</w:t>
      </w:r>
      <w:r>
        <w:rPr>
          <w:rFonts w:hint="eastAsia"/>
          <w:lang w:eastAsia="zh-CN"/>
        </w:rPr>
        <w:t>发生变动</w:t>
      </w:r>
      <w:r>
        <w:rPr>
          <w:rFonts w:hint="eastAsia"/>
          <w:lang w:val="en-US" w:eastAsia="zh-CN"/>
        </w:rPr>
        <w:t>如下：</w:t>
      </w:r>
    </w:p>
    <w:p>
      <w:pPr>
        <w:rPr>
          <w:rFonts w:hint="eastAsia"/>
          <w:lang w:eastAsia="zh-CN"/>
        </w:rPr>
      </w:pPr>
      <w:r>
        <w:rPr>
          <w:rFonts w:hint="eastAsia"/>
          <w:lang w:val="en-US" w:eastAsia="zh-CN"/>
        </w:rPr>
        <w:t>1、原环评中本项目设置有一座员工食堂，实际建设中买本项目员工用餐采取外购快餐，厂内不再建设食堂</w:t>
      </w:r>
      <w:r>
        <w:rPr>
          <w:rFonts w:hint="eastAsia"/>
          <w:lang w:eastAsia="zh-CN"/>
        </w:rPr>
        <w:t>。</w:t>
      </w:r>
    </w:p>
    <w:p>
      <w:pPr>
        <w:rPr>
          <w:rFonts w:hint="default"/>
          <w:lang w:val="en-US"/>
        </w:rPr>
      </w:pPr>
      <w:r>
        <w:rPr>
          <w:rFonts w:hint="eastAsia"/>
          <w:lang w:val="en-US" w:eastAsia="zh-CN"/>
        </w:rPr>
        <w:t>不属于重大变动、</w:t>
      </w:r>
    </w:p>
    <w:p>
      <w:pPr>
        <w:spacing w:line="480" w:lineRule="auto"/>
        <w:ind w:firstLine="480"/>
        <w:rPr>
          <w:sz w:val="24"/>
        </w:rPr>
      </w:pPr>
    </w:p>
    <w:p>
      <w:pPr>
        <w:spacing w:line="480" w:lineRule="auto"/>
        <w:ind w:firstLine="480"/>
        <w:rPr>
          <w:sz w:val="24"/>
        </w:rPr>
        <w:sectPr>
          <w:pgSz w:w="11906" w:h="16838"/>
          <w:pgMar w:top="1134" w:right="1417" w:bottom="1134" w:left="1417" w:header="850" w:footer="850" w:gutter="0"/>
          <w:pgBorders>
            <w:top w:val="none" w:sz="0" w:space="0"/>
            <w:left w:val="none" w:sz="0" w:space="0"/>
            <w:bottom w:val="none" w:sz="0" w:space="0"/>
            <w:right w:val="none" w:sz="0" w:space="0"/>
          </w:pgBorders>
          <w:pgNumType w:fmt="decimal"/>
          <w:cols w:space="720" w:num="1"/>
          <w:docGrid w:type="lines" w:linePitch="416" w:charSpace="0"/>
        </w:sectPr>
      </w:pPr>
    </w:p>
    <w:p>
      <w:pPr>
        <w:pStyle w:val="4"/>
        <w:jc w:val="both"/>
        <w:rPr>
          <w:rFonts w:hint="default"/>
          <w:bCs/>
          <w:szCs w:val="32"/>
        </w:rPr>
      </w:pPr>
      <w:bookmarkStart w:id="50" w:name="_Toc18167"/>
      <w:r>
        <w:rPr>
          <w:rFonts w:hint="default"/>
          <w:bCs/>
          <w:szCs w:val="32"/>
        </w:rPr>
        <w:t>4环境保护设施</w:t>
      </w:r>
      <w:bookmarkEnd w:id="50"/>
    </w:p>
    <w:p>
      <w:pPr>
        <w:pStyle w:val="5"/>
        <w:keepLines w:val="0"/>
        <w:numPr>
          <w:ilvl w:val="1"/>
          <w:numId w:val="0"/>
        </w:numPr>
        <w:tabs>
          <w:tab w:val="left" w:pos="1134"/>
        </w:tabs>
        <w:adjustRightInd/>
        <w:textAlignment w:val="auto"/>
        <w:rPr>
          <w:bCs/>
          <w:szCs w:val="30"/>
        </w:rPr>
      </w:pPr>
      <w:bookmarkStart w:id="51" w:name="_Toc3336"/>
      <w:bookmarkStart w:id="52" w:name="_Toc30245"/>
      <w:bookmarkStart w:id="53" w:name="_Toc23422"/>
      <w:bookmarkStart w:id="54" w:name="_Toc519171328"/>
      <w:bookmarkStart w:id="55" w:name="_Toc30508"/>
      <w:r>
        <w:rPr>
          <w:bCs/>
          <w:szCs w:val="30"/>
        </w:rPr>
        <w:t>4.1污染物处置设施</w:t>
      </w:r>
      <w:bookmarkEnd w:id="51"/>
      <w:bookmarkEnd w:id="52"/>
      <w:bookmarkEnd w:id="53"/>
    </w:p>
    <w:p>
      <w:pPr>
        <w:pStyle w:val="6"/>
        <w:wordWrap w:val="0"/>
        <w:topLinePunct/>
        <w:jc w:val="both"/>
        <w:rPr>
          <w:kern w:val="2"/>
          <w:szCs w:val="28"/>
        </w:rPr>
      </w:pPr>
      <w:r>
        <w:rPr>
          <w:kern w:val="2"/>
          <w:szCs w:val="28"/>
        </w:rPr>
        <w:t>4.1.1废水</w:t>
      </w:r>
      <w:bookmarkEnd w:id="54"/>
      <w:bookmarkEnd w:id="55"/>
    </w:p>
    <w:p>
      <w:pPr>
        <w:rPr>
          <w:rFonts w:hint="eastAsia"/>
        </w:rPr>
      </w:pPr>
      <w:bookmarkStart w:id="56" w:name="_Toc3691"/>
      <w:bookmarkStart w:id="57" w:name="_Toc519171329"/>
      <w:r>
        <w:t>本项目产生的废水包括生活</w:t>
      </w:r>
      <w:r>
        <w:rPr>
          <w:rFonts w:hint="eastAsia"/>
        </w:rPr>
        <w:t>污</w:t>
      </w:r>
      <w:r>
        <w:t>水和生产废水</w:t>
      </w:r>
      <w:r>
        <w:rPr>
          <w:rFonts w:hint="eastAsia"/>
        </w:rPr>
        <w:t>。</w:t>
      </w:r>
      <w:r>
        <w:t>生活</w:t>
      </w:r>
      <w:r>
        <w:rPr>
          <w:rFonts w:hint="eastAsia"/>
        </w:rPr>
        <w:t>污</w:t>
      </w:r>
      <w:r>
        <w:t>水</w:t>
      </w:r>
      <w:r>
        <w:rPr>
          <w:rFonts w:hint="eastAsia"/>
        </w:rPr>
        <w:t>主要是</w:t>
      </w:r>
      <w:r>
        <w:t>员工生活</w:t>
      </w:r>
      <w:r>
        <w:rPr>
          <w:rFonts w:hint="eastAsia"/>
        </w:rPr>
        <w:t>污</w:t>
      </w:r>
      <w:r>
        <w:t>水，生产废水主要为化验室废水、污泥脱水间</w:t>
      </w:r>
      <w:r>
        <w:rPr>
          <w:rFonts w:hint="eastAsia"/>
          <w:lang w:val="en-US" w:eastAsia="zh-CN"/>
        </w:rPr>
        <w:t>废水、厂内</w:t>
      </w:r>
      <w:r>
        <w:t>冲洗废水、</w:t>
      </w:r>
      <w:r>
        <w:rPr>
          <w:rFonts w:hint="eastAsia"/>
        </w:rPr>
        <w:t>污水处理厂尾水、生物除臭系统定期淘汰的废弃滤液</w:t>
      </w:r>
      <w:r>
        <w:rPr>
          <w:rFonts w:hint="eastAsia"/>
          <w:lang w:eastAsia="zh-CN"/>
        </w:rPr>
        <w:t>、</w:t>
      </w:r>
      <w:r>
        <w:rPr>
          <w:rFonts w:hint="eastAsia"/>
        </w:rPr>
        <w:t>在线监测废液和实验室废液</w:t>
      </w:r>
      <w:r>
        <w:t>。其具体排放情况如下</w:t>
      </w:r>
      <w:r>
        <w:rPr>
          <w:rFonts w:hint="eastAsia"/>
        </w:rPr>
        <w:t>：</w:t>
      </w:r>
    </w:p>
    <w:p>
      <w:r>
        <w:rPr>
          <w:rFonts w:hint="eastAsia"/>
        </w:rPr>
        <w:t>（1）</w:t>
      </w:r>
      <w:r>
        <w:t>生活污水</w:t>
      </w:r>
    </w:p>
    <w:p>
      <w:pPr>
        <w:rPr>
          <w:rFonts w:hint="eastAsia"/>
        </w:rPr>
      </w:pPr>
      <w:r>
        <w:t>本项目</w:t>
      </w:r>
      <w:r>
        <w:rPr>
          <w:rFonts w:hint="eastAsia"/>
          <w:lang w:val="en-US" w:eastAsia="zh-CN"/>
        </w:rPr>
        <w:t>员工</w:t>
      </w:r>
      <w:r>
        <w:t>生活污水直接进入污水处理工序进行</w:t>
      </w:r>
      <w:r>
        <w:rPr>
          <w:rFonts w:hint="eastAsia"/>
        </w:rPr>
        <w:t>处理。</w:t>
      </w:r>
    </w:p>
    <w:p>
      <w:r>
        <w:rPr>
          <w:rFonts w:hint="eastAsia"/>
        </w:rPr>
        <w:t>（2）</w:t>
      </w:r>
      <w:r>
        <w:t>化验室废水</w:t>
      </w:r>
    </w:p>
    <w:p>
      <w:r>
        <w:t>化验室废水直接进入污水处理工序进行处理</w:t>
      </w:r>
      <w:r>
        <w:rPr>
          <w:rFonts w:hint="eastAsia"/>
        </w:rPr>
        <w:t>；</w:t>
      </w:r>
      <w:r>
        <w:t>化验室废</w:t>
      </w:r>
      <w:r>
        <w:rPr>
          <w:rFonts w:hint="eastAsia"/>
        </w:rPr>
        <w:t>水</w:t>
      </w:r>
      <w:r>
        <w:t>经酸碱中和处理后，排入污水处理厂进水渠与其他污水同进入污水处理厂处理。</w:t>
      </w:r>
    </w:p>
    <w:p>
      <w:pPr>
        <w:rPr>
          <w:rFonts w:hint="default" w:eastAsia="宋体"/>
          <w:lang w:val="en-US" w:eastAsia="zh-CN"/>
        </w:rPr>
      </w:pPr>
      <w:r>
        <w:rPr>
          <w:rFonts w:hint="eastAsia"/>
        </w:rPr>
        <w:t>（3）</w:t>
      </w:r>
      <w:r>
        <w:rPr>
          <w:rFonts w:hint="eastAsia"/>
          <w:lang w:val="en-US" w:eastAsia="zh-CN"/>
        </w:rPr>
        <w:t>污泥脱水废水</w:t>
      </w:r>
    </w:p>
    <w:p>
      <w:pPr>
        <w:rPr>
          <w:rFonts w:hint="eastAsia"/>
        </w:rPr>
      </w:pPr>
      <w:r>
        <w:rPr>
          <w:rFonts w:hint="eastAsia"/>
        </w:rPr>
        <w:t>污泥脱水</w:t>
      </w:r>
      <w:r>
        <w:t>产生的</w:t>
      </w:r>
      <w:r>
        <w:rPr>
          <w:rFonts w:hint="eastAsia"/>
        </w:rPr>
        <w:t>废水</w:t>
      </w:r>
      <w:r>
        <w:t>进入厂区入口配水井中进入污水处理工序处理。</w:t>
      </w:r>
    </w:p>
    <w:p>
      <w:r>
        <w:rPr>
          <w:rFonts w:hint="eastAsia"/>
        </w:rPr>
        <w:t>（</w:t>
      </w:r>
      <w:r>
        <w:rPr>
          <w:rFonts w:hint="eastAsia"/>
          <w:lang w:val="en-US" w:eastAsia="zh-CN"/>
        </w:rPr>
        <w:t>4</w:t>
      </w:r>
      <w:r>
        <w:rPr>
          <w:rFonts w:hint="eastAsia"/>
        </w:rPr>
        <w:t>）</w:t>
      </w:r>
      <w:r>
        <w:t>冲洗废水</w:t>
      </w:r>
    </w:p>
    <w:p>
      <w:r>
        <w:rPr>
          <w:rFonts w:hint="eastAsia"/>
          <w:lang w:val="en-US" w:eastAsia="zh-CN"/>
        </w:rPr>
        <w:t>本项目冲洗废水包括地面冲洗废水、设备反冲洗废水等。厂内</w:t>
      </w:r>
      <w:r>
        <w:t>冲洗采用污水厂尾水，冲洗废水进入厂区入口配水井中进入污水处理工序处理。</w:t>
      </w:r>
    </w:p>
    <w:p>
      <w:pPr>
        <w:rPr>
          <w:rFonts w:hint="eastAsia"/>
        </w:rPr>
      </w:pPr>
      <w:r>
        <w:rPr>
          <w:rFonts w:hint="eastAsia"/>
          <w:lang w:eastAsia="zh-CN"/>
        </w:rPr>
        <w:t>（</w:t>
      </w:r>
      <w:r>
        <w:rPr>
          <w:rFonts w:hint="eastAsia"/>
          <w:lang w:val="en-US" w:eastAsia="zh-CN"/>
        </w:rPr>
        <w:t>5）</w:t>
      </w:r>
      <w:r>
        <w:rPr>
          <w:rFonts w:hint="eastAsia"/>
        </w:rPr>
        <w:t>生物除臭系统定期淘汰的废弃滤液</w:t>
      </w:r>
    </w:p>
    <w:p>
      <w:pPr>
        <w:rPr>
          <w:rFonts w:hint="eastAsia"/>
        </w:rPr>
      </w:pPr>
      <w:r>
        <w:rPr>
          <w:rFonts w:hint="eastAsia"/>
        </w:rPr>
        <w:t>生物除臭系统会定期产生含有活性菌种的废弃滤液，</w:t>
      </w:r>
      <w:r>
        <w:rPr>
          <w:rFonts w:hint="eastAsia"/>
          <w:lang w:val="en-US" w:eastAsia="zh-CN"/>
        </w:rPr>
        <w:t>本项目</w:t>
      </w:r>
      <w:r>
        <w:rPr>
          <w:rFonts w:hint="eastAsia"/>
        </w:rPr>
        <w:t>生物滤池的滤液更换频率为每月1~2次，</w:t>
      </w:r>
      <w:r>
        <w:rPr>
          <w:rFonts w:hint="eastAsia"/>
          <w:lang w:val="en-US" w:eastAsia="zh-CN"/>
        </w:rPr>
        <w:t>更换产生的废弃滤液进入本项目污水处理工序处理</w:t>
      </w:r>
      <w:r>
        <w:rPr>
          <w:rFonts w:hint="eastAsia"/>
        </w:rPr>
        <w:t>。</w:t>
      </w:r>
    </w:p>
    <w:p>
      <w:pPr>
        <w:rPr>
          <w:rFonts w:hint="eastAsia" w:eastAsia="宋体"/>
          <w:lang w:val="en-US" w:eastAsia="zh-CN"/>
        </w:rPr>
      </w:pPr>
      <w:r>
        <w:rPr>
          <w:rFonts w:hint="eastAsia"/>
        </w:rPr>
        <w:t>（6）在线监测</w:t>
      </w:r>
      <w:r>
        <w:rPr>
          <w:rFonts w:hint="eastAsia"/>
          <w:lang w:val="en-US" w:eastAsia="zh-CN"/>
        </w:rPr>
        <w:t>废液</w:t>
      </w:r>
    </w:p>
    <w:p>
      <w:r>
        <w:t>在线监测废</w:t>
      </w:r>
      <w:r>
        <w:rPr>
          <w:rFonts w:hint="eastAsia"/>
        </w:rPr>
        <w:t>液</w:t>
      </w:r>
      <w:r>
        <w:t>用专用容器收集后</w:t>
      </w:r>
      <w:r>
        <w:rPr>
          <w:rFonts w:hint="eastAsia"/>
          <w:lang w:eastAsia="zh-CN"/>
        </w:rPr>
        <w:t>，</w:t>
      </w:r>
      <w:r>
        <w:rPr>
          <w:rFonts w:hint="eastAsia"/>
          <w:lang w:val="en-US" w:eastAsia="zh-CN"/>
        </w:rPr>
        <w:t>分类存放于危废暂存间内</w:t>
      </w:r>
      <w:r>
        <w:t>，委托成都兴蓉环保科技股份有限公司处置。</w:t>
      </w:r>
    </w:p>
    <w:p>
      <w:r>
        <w:t>本项目废水主要污染物的处置方式及排放去向见表4-1。</w:t>
      </w:r>
    </w:p>
    <w:p>
      <w:pPr>
        <w:pStyle w:val="28"/>
        <w:ind w:firstLine="482"/>
      </w:pPr>
      <w:r>
        <w:t>表4-1  废水中主要污染物处置及排放去向</w:t>
      </w:r>
    </w:p>
    <w:tbl>
      <w:tblPr>
        <w:tblStyle w:val="19"/>
        <w:tblW w:w="0" w:type="auto"/>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38"/>
        <w:gridCol w:w="1395"/>
        <w:gridCol w:w="2310"/>
        <w:gridCol w:w="1365"/>
        <w:gridCol w:w="118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38" w:type="dxa"/>
            <w:noWrap w:val="0"/>
            <w:vAlign w:val="center"/>
          </w:tcPr>
          <w:p>
            <w:pPr>
              <w:snapToGrid w:val="0"/>
              <w:spacing w:line="240" w:lineRule="auto"/>
              <w:ind w:firstLine="0" w:firstLineChars="0"/>
              <w:jc w:val="center"/>
              <w:rPr>
                <w:b/>
                <w:bCs/>
                <w:sz w:val="21"/>
                <w:szCs w:val="21"/>
              </w:rPr>
            </w:pPr>
            <w:r>
              <w:rPr>
                <w:b/>
                <w:bCs/>
                <w:sz w:val="21"/>
                <w:szCs w:val="21"/>
              </w:rPr>
              <w:t>污染源</w:t>
            </w:r>
          </w:p>
        </w:tc>
        <w:tc>
          <w:tcPr>
            <w:tcW w:w="1395" w:type="dxa"/>
            <w:noWrap w:val="0"/>
            <w:vAlign w:val="center"/>
          </w:tcPr>
          <w:p>
            <w:pPr>
              <w:snapToGrid w:val="0"/>
              <w:spacing w:line="240" w:lineRule="auto"/>
              <w:ind w:firstLine="0" w:firstLineChars="0"/>
              <w:jc w:val="center"/>
              <w:rPr>
                <w:b/>
                <w:bCs/>
                <w:sz w:val="21"/>
                <w:szCs w:val="21"/>
              </w:rPr>
            </w:pPr>
            <w:r>
              <w:rPr>
                <w:b/>
                <w:bCs/>
                <w:sz w:val="21"/>
                <w:szCs w:val="21"/>
              </w:rPr>
              <w:t>处理设施</w:t>
            </w:r>
          </w:p>
        </w:tc>
        <w:tc>
          <w:tcPr>
            <w:tcW w:w="2310" w:type="dxa"/>
            <w:noWrap w:val="0"/>
            <w:vAlign w:val="center"/>
          </w:tcPr>
          <w:p>
            <w:pPr>
              <w:snapToGrid w:val="0"/>
              <w:spacing w:line="240" w:lineRule="auto"/>
              <w:ind w:firstLine="0" w:firstLineChars="0"/>
              <w:jc w:val="center"/>
              <w:rPr>
                <w:b/>
                <w:bCs/>
                <w:sz w:val="21"/>
                <w:szCs w:val="21"/>
              </w:rPr>
            </w:pPr>
            <w:r>
              <w:rPr>
                <w:b/>
                <w:bCs/>
                <w:sz w:val="21"/>
                <w:szCs w:val="21"/>
              </w:rPr>
              <w:t>污染物种类</w:t>
            </w:r>
          </w:p>
        </w:tc>
        <w:tc>
          <w:tcPr>
            <w:tcW w:w="1365" w:type="dxa"/>
            <w:noWrap w:val="0"/>
            <w:vAlign w:val="center"/>
          </w:tcPr>
          <w:p>
            <w:pPr>
              <w:snapToGrid w:val="0"/>
              <w:spacing w:line="240" w:lineRule="auto"/>
              <w:ind w:firstLine="0" w:firstLineChars="0"/>
              <w:jc w:val="center"/>
              <w:rPr>
                <w:b/>
                <w:bCs/>
                <w:sz w:val="21"/>
                <w:szCs w:val="21"/>
              </w:rPr>
            </w:pPr>
            <w:r>
              <w:rPr>
                <w:b/>
                <w:bCs/>
                <w:sz w:val="21"/>
                <w:szCs w:val="21"/>
              </w:rPr>
              <w:t>去向</w:t>
            </w:r>
          </w:p>
        </w:tc>
        <w:tc>
          <w:tcPr>
            <w:tcW w:w="1180" w:type="dxa"/>
            <w:noWrap w:val="0"/>
            <w:vAlign w:val="center"/>
          </w:tcPr>
          <w:p>
            <w:pPr>
              <w:snapToGrid w:val="0"/>
              <w:spacing w:line="240" w:lineRule="auto"/>
              <w:ind w:firstLine="0" w:firstLineChars="0"/>
              <w:jc w:val="center"/>
              <w:rPr>
                <w:b/>
                <w:bCs/>
                <w:sz w:val="21"/>
                <w:szCs w:val="21"/>
              </w:rPr>
            </w:pPr>
            <w:r>
              <w:rPr>
                <w:b/>
                <w:bCs/>
                <w:sz w:val="21"/>
                <w:szCs w:val="21"/>
              </w:rPr>
              <w:t>排放规律</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38" w:type="dxa"/>
            <w:noWrap w:val="0"/>
            <w:vAlign w:val="center"/>
          </w:tcPr>
          <w:p>
            <w:pPr>
              <w:snapToGrid w:val="0"/>
              <w:spacing w:line="240" w:lineRule="auto"/>
              <w:ind w:firstLine="0" w:firstLineChars="0"/>
              <w:jc w:val="center"/>
              <w:rPr>
                <w:sz w:val="21"/>
                <w:szCs w:val="21"/>
              </w:rPr>
            </w:pPr>
            <w:r>
              <w:rPr>
                <w:sz w:val="21"/>
                <w:szCs w:val="21"/>
              </w:rPr>
              <w:t>生活污水</w:t>
            </w:r>
          </w:p>
        </w:tc>
        <w:tc>
          <w:tcPr>
            <w:tcW w:w="1395" w:type="dxa"/>
            <w:vMerge w:val="restart"/>
            <w:noWrap w:val="0"/>
            <w:vAlign w:val="center"/>
          </w:tcPr>
          <w:p>
            <w:pPr>
              <w:snapToGrid w:val="0"/>
              <w:spacing w:line="240" w:lineRule="auto"/>
              <w:ind w:firstLine="0" w:firstLineChars="0"/>
              <w:jc w:val="center"/>
              <w:rPr>
                <w:sz w:val="21"/>
                <w:szCs w:val="21"/>
              </w:rPr>
            </w:pPr>
            <w:r>
              <w:rPr>
                <w:sz w:val="21"/>
                <w:szCs w:val="21"/>
              </w:rPr>
              <w:t>厂区污水处理系统</w:t>
            </w:r>
          </w:p>
        </w:tc>
        <w:tc>
          <w:tcPr>
            <w:tcW w:w="2310" w:type="dxa"/>
            <w:vMerge w:val="restart"/>
            <w:noWrap w:val="0"/>
            <w:vAlign w:val="center"/>
          </w:tcPr>
          <w:p>
            <w:pPr>
              <w:snapToGrid w:val="0"/>
              <w:spacing w:line="240" w:lineRule="auto"/>
              <w:ind w:firstLine="0" w:firstLineChars="0"/>
              <w:jc w:val="center"/>
              <w:rPr>
                <w:sz w:val="21"/>
                <w:szCs w:val="21"/>
              </w:rPr>
            </w:pPr>
            <w:r>
              <w:rPr>
                <w:sz w:val="21"/>
                <w:szCs w:val="21"/>
              </w:rPr>
              <w:t>化学需氧量、五日生化需氧量、氨氮、动植物油、石油类、</w:t>
            </w:r>
            <w:r>
              <w:rPr>
                <w:rFonts w:hint="eastAsia"/>
                <w:sz w:val="21"/>
                <w:szCs w:val="21"/>
              </w:rPr>
              <w:t>p</w:t>
            </w:r>
            <w:r>
              <w:rPr>
                <w:sz w:val="21"/>
                <w:szCs w:val="21"/>
              </w:rPr>
              <w:t>H、悬浮物、总磷、总氮等</w:t>
            </w:r>
          </w:p>
        </w:tc>
        <w:tc>
          <w:tcPr>
            <w:tcW w:w="1365" w:type="dxa"/>
            <w:vMerge w:val="restart"/>
            <w:noWrap w:val="0"/>
            <w:vAlign w:val="center"/>
          </w:tcPr>
          <w:p>
            <w:pPr>
              <w:snapToGrid w:val="0"/>
              <w:spacing w:line="240" w:lineRule="auto"/>
              <w:ind w:firstLine="0" w:firstLineChars="0"/>
              <w:jc w:val="center"/>
              <w:rPr>
                <w:sz w:val="21"/>
                <w:szCs w:val="21"/>
              </w:rPr>
            </w:pPr>
            <w:r>
              <w:rPr>
                <w:sz w:val="21"/>
                <w:szCs w:val="21"/>
              </w:rPr>
              <w:t>岷江</w:t>
            </w:r>
          </w:p>
        </w:tc>
        <w:tc>
          <w:tcPr>
            <w:tcW w:w="1180" w:type="dxa"/>
            <w:vMerge w:val="restart"/>
            <w:noWrap w:val="0"/>
            <w:vAlign w:val="center"/>
          </w:tcPr>
          <w:p>
            <w:pPr>
              <w:snapToGrid w:val="0"/>
              <w:spacing w:line="240" w:lineRule="auto"/>
              <w:ind w:firstLine="0" w:firstLineChars="0"/>
              <w:jc w:val="center"/>
              <w:rPr>
                <w:sz w:val="21"/>
                <w:szCs w:val="21"/>
              </w:rPr>
            </w:pPr>
            <w:r>
              <w:rPr>
                <w:sz w:val="21"/>
                <w:szCs w:val="21"/>
              </w:rPr>
              <w:t>连续排放</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38" w:type="dxa"/>
            <w:noWrap w:val="0"/>
            <w:vAlign w:val="center"/>
          </w:tcPr>
          <w:p>
            <w:pPr>
              <w:snapToGrid w:val="0"/>
              <w:spacing w:line="240" w:lineRule="auto"/>
              <w:ind w:firstLine="0" w:firstLineChars="0"/>
              <w:jc w:val="both"/>
              <w:rPr>
                <w:rFonts w:hint="eastAsia"/>
                <w:sz w:val="21"/>
                <w:szCs w:val="21"/>
              </w:rPr>
            </w:pPr>
            <w:r>
              <w:rPr>
                <w:sz w:val="21"/>
                <w:szCs w:val="21"/>
              </w:rPr>
              <w:t>化验室废水、污泥脱水间滤液及地面冲洗废水、贮泥池上清液、设备反冲洗废水</w:t>
            </w:r>
            <w:r>
              <w:rPr>
                <w:rFonts w:hint="eastAsia"/>
                <w:sz w:val="21"/>
                <w:szCs w:val="21"/>
              </w:rPr>
              <w:t>、污水处理厂尾水</w:t>
            </w:r>
          </w:p>
        </w:tc>
        <w:tc>
          <w:tcPr>
            <w:tcW w:w="1395" w:type="dxa"/>
            <w:vMerge w:val="continue"/>
            <w:noWrap w:val="0"/>
            <w:vAlign w:val="center"/>
          </w:tcPr>
          <w:p>
            <w:pPr>
              <w:snapToGrid w:val="0"/>
              <w:spacing w:line="240" w:lineRule="auto"/>
              <w:ind w:firstLine="0" w:firstLineChars="0"/>
              <w:jc w:val="center"/>
              <w:rPr>
                <w:sz w:val="21"/>
                <w:szCs w:val="21"/>
              </w:rPr>
            </w:pPr>
          </w:p>
        </w:tc>
        <w:tc>
          <w:tcPr>
            <w:tcW w:w="2310" w:type="dxa"/>
            <w:vMerge w:val="continue"/>
            <w:noWrap w:val="0"/>
            <w:vAlign w:val="center"/>
          </w:tcPr>
          <w:p>
            <w:pPr>
              <w:snapToGrid w:val="0"/>
              <w:spacing w:line="240" w:lineRule="auto"/>
              <w:ind w:firstLine="0" w:firstLineChars="0"/>
              <w:jc w:val="center"/>
              <w:rPr>
                <w:sz w:val="21"/>
                <w:szCs w:val="21"/>
              </w:rPr>
            </w:pPr>
          </w:p>
        </w:tc>
        <w:tc>
          <w:tcPr>
            <w:tcW w:w="1365" w:type="dxa"/>
            <w:vMerge w:val="continue"/>
            <w:noWrap w:val="0"/>
            <w:vAlign w:val="center"/>
          </w:tcPr>
          <w:p>
            <w:pPr>
              <w:snapToGrid w:val="0"/>
              <w:spacing w:line="240" w:lineRule="auto"/>
              <w:ind w:firstLine="0" w:firstLineChars="0"/>
              <w:jc w:val="center"/>
              <w:rPr>
                <w:sz w:val="21"/>
                <w:szCs w:val="21"/>
              </w:rPr>
            </w:pPr>
          </w:p>
        </w:tc>
        <w:tc>
          <w:tcPr>
            <w:tcW w:w="1180" w:type="dxa"/>
            <w:vMerge w:val="continue"/>
            <w:noWrap w:val="0"/>
            <w:vAlign w:val="center"/>
          </w:tcPr>
          <w:p>
            <w:pPr>
              <w:snapToGrid w:val="0"/>
              <w:spacing w:line="240" w:lineRule="auto"/>
              <w:ind w:firstLine="0" w:firstLineChars="0"/>
              <w:jc w:val="center"/>
              <w:rPr>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38" w:type="dxa"/>
            <w:noWrap w:val="0"/>
            <w:vAlign w:val="center"/>
          </w:tcPr>
          <w:p>
            <w:pPr>
              <w:snapToGrid w:val="0"/>
              <w:spacing w:line="240" w:lineRule="auto"/>
              <w:ind w:firstLine="0" w:firstLineChars="0"/>
              <w:jc w:val="center"/>
              <w:rPr>
                <w:sz w:val="21"/>
                <w:szCs w:val="21"/>
              </w:rPr>
            </w:pPr>
            <w:r>
              <w:rPr>
                <w:rFonts w:hint="eastAsia"/>
                <w:sz w:val="21"/>
                <w:szCs w:val="21"/>
              </w:rPr>
              <w:t>在线监测废液和实验室废液</w:t>
            </w:r>
          </w:p>
        </w:tc>
        <w:tc>
          <w:tcPr>
            <w:tcW w:w="1395" w:type="dxa"/>
            <w:noWrap w:val="0"/>
            <w:vAlign w:val="center"/>
          </w:tcPr>
          <w:p>
            <w:pPr>
              <w:snapToGrid w:val="0"/>
              <w:spacing w:line="240" w:lineRule="auto"/>
              <w:ind w:firstLine="0" w:firstLineChars="0"/>
              <w:jc w:val="center"/>
              <w:rPr>
                <w:rFonts w:hint="eastAsia" w:eastAsia="宋体"/>
                <w:sz w:val="21"/>
                <w:szCs w:val="21"/>
                <w:lang w:eastAsia="zh-CN"/>
              </w:rPr>
            </w:pPr>
            <w:r>
              <w:rPr>
                <w:rFonts w:hint="eastAsia"/>
                <w:sz w:val="21"/>
                <w:szCs w:val="21"/>
                <w:lang w:eastAsia="zh-CN"/>
              </w:rPr>
              <w:t>危废暂存间</w:t>
            </w:r>
          </w:p>
        </w:tc>
        <w:tc>
          <w:tcPr>
            <w:tcW w:w="2310" w:type="dxa"/>
            <w:noWrap w:val="0"/>
            <w:vAlign w:val="center"/>
          </w:tcPr>
          <w:p>
            <w:pPr>
              <w:snapToGrid w:val="0"/>
              <w:spacing w:line="240" w:lineRule="auto"/>
              <w:ind w:firstLine="0" w:firstLineChars="0"/>
              <w:jc w:val="center"/>
              <w:rPr>
                <w:rFonts w:hint="eastAsia" w:eastAsia="宋体"/>
                <w:sz w:val="21"/>
                <w:szCs w:val="21"/>
                <w:lang w:eastAsia="zh-CN"/>
              </w:rPr>
            </w:pPr>
            <w:r>
              <w:rPr>
                <w:sz w:val="21"/>
                <w:szCs w:val="21"/>
              </w:rPr>
              <w:t>化学需氧量、氨氮</w:t>
            </w:r>
            <w:r>
              <w:rPr>
                <w:rFonts w:hint="eastAsia"/>
                <w:sz w:val="21"/>
                <w:szCs w:val="21"/>
                <w:lang w:eastAsia="zh-CN"/>
              </w:rPr>
              <w:t>等</w:t>
            </w:r>
          </w:p>
        </w:tc>
        <w:tc>
          <w:tcPr>
            <w:tcW w:w="1365" w:type="dxa"/>
            <w:noWrap w:val="0"/>
            <w:vAlign w:val="center"/>
          </w:tcPr>
          <w:p>
            <w:pPr>
              <w:snapToGrid w:val="0"/>
              <w:spacing w:line="240" w:lineRule="auto"/>
              <w:ind w:firstLine="0" w:firstLineChars="0"/>
              <w:jc w:val="center"/>
              <w:rPr>
                <w:rFonts w:hint="eastAsia" w:eastAsia="宋体"/>
                <w:sz w:val="21"/>
                <w:szCs w:val="21"/>
                <w:lang w:eastAsia="zh-CN"/>
              </w:rPr>
            </w:pPr>
            <w:r>
              <w:rPr>
                <w:rFonts w:hint="eastAsia"/>
                <w:sz w:val="21"/>
                <w:szCs w:val="21"/>
                <w:lang w:eastAsia="zh-CN"/>
              </w:rPr>
              <w:t>有资质单位</w:t>
            </w:r>
          </w:p>
        </w:tc>
        <w:tc>
          <w:tcPr>
            <w:tcW w:w="1180" w:type="dxa"/>
            <w:noWrap w:val="0"/>
            <w:vAlign w:val="center"/>
          </w:tcPr>
          <w:p>
            <w:pPr>
              <w:snapToGrid w:val="0"/>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r>
    </w:tbl>
    <w:p>
      <w:pPr>
        <w:pStyle w:val="6"/>
        <w:wordWrap w:val="0"/>
        <w:topLinePunct/>
        <w:jc w:val="both"/>
        <w:rPr>
          <w:kern w:val="2"/>
          <w:szCs w:val="28"/>
        </w:rPr>
      </w:pPr>
      <w:r>
        <w:rPr>
          <w:kern w:val="2"/>
          <w:szCs w:val="28"/>
        </w:rPr>
        <w:t>4.1.2废气</w:t>
      </w:r>
      <w:bookmarkEnd w:id="56"/>
      <w:bookmarkEnd w:id="57"/>
    </w:p>
    <w:p>
      <w:r>
        <w:t>本项目产生的废气主要为</w:t>
      </w:r>
      <w:r>
        <w:rPr>
          <w:rFonts w:hint="eastAsia"/>
        </w:rPr>
        <w:t>污水生物处理</w:t>
      </w:r>
      <w:r>
        <w:t>区域</w:t>
      </w:r>
      <w:r>
        <w:rPr>
          <w:rFonts w:hint="eastAsia"/>
          <w:lang w:eastAsia="zh-CN"/>
        </w:rPr>
        <w:t>、</w:t>
      </w:r>
      <w:r>
        <w:rPr>
          <w:rFonts w:hint="eastAsia"/>
          <w:lang w:val="en-US" w:eastAsia="zh-CN"/>
        </w:rPr>
        <w:t>污泥处理区域</w:t>
      </w:r>
      <w:r>
        <w:t>产生的臭气。</w:t>
      </w:r>
    </w:p>
    <w:p>
      <w:pPr>
        <w:rPr>
          <w:rFonts w:hint="default" w:eastAsia="宋体"/>
          <w:lang w:val="en-US" w:eastAsia="zh-CN"/>
        </w:rPr>
      </w:pPr>
      <w:r>
        <w:rPr>
          <w:rFonts w:hint="eastAsia"/>
          <w:lang w:val="en-US" w:eastAsia="zh-CN"/>
        </w:rPr>
        <w:t>本项目生化池多采用地埋式或采取封闭措施减少臭气的无组织排放；爆气沉砂池、调节池、水解酸化池等易产生臭气的区域采用封闭式构筑物；格栅间、生化池厌氧和缺氧段、污泥压滤机等采取封闭式围挡，同时设置了集气管道，将污水处理和污泥处理阶段产生的废气引至生物滤池除臭装置进行处理后经15m排气筒排放。</w:t>
      </w:r>
    </w:p>
    <w:p>
      <w:r>
        <w:t>项目废气中污染物处置方式及排放去向见表4-2。</w:t>
      </w:r>
    </w:p>
    <w:p>
      <w:pPr>
        <w:pStyle w:val="28"/>
        <w:ind w:firstLine="482"/>
      </w:pPr>
      <w:r>
        <w:t>表4-2 废气中污染物处置及排放去向</w:t>
      </w:r>
    </w:p>
    <w:tbl>
      <w:tblPr>
        <w:tblStyle w:val="19"/>
        <w:tblW w:w="0" w:type="auto"/>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92"/>
        <w:gridCol w:w="2350"/>
        <w:gridCol w:w="2333"/>
        <w:gridCol w:w="1234"/>
        <w:gridCol w:w="117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92" w:type="dxa"/>
            <w:noWrap w:val="0"/>
            <w:vAlign w:val="center"/>
          </w:tcPr>
          <w:p>
            <w:pPr>
              <w:spacing w:line="240" w:lineRule="auto"/>
              <w:ind w:firstLine="0" w:firstLineChars="0"/>
              <w:jc w:val="center"/>
              <w:rPr>
                <w:b/>
                <w:bCs/>
                <w:sz w:val="21"/>
                <w:szCs w:val="21"/>
              </w:rPr>
            </w:pPr>
            <w:r>
              <w:rPr>
                <w:b/>
                <w:bCs/>
                <w:sz w:val="21"/>
                <w:szCs w:val="21"/>
              </w:rPr>
              <w:t>污染工序</w:t>
            </w:r>
          </w:p>
        </w:tc>
        <w:tc>
          <w:tcPr>
            <w:tcW w:w="2350" w:type="dxa"/>
            <w:noWrap w:val="0"/>
            <w:vAlign w:val="center"/>
          </w:tcPr>
          <w:p>
            <w:pPr>
              <w:spacing w:line="240" w:lineRule="auto"/>
              <w:ind w:firstLine="0" w:firstLineChars="0"/>
              <w:jc w:val="center"/>
            </w:pPr>
            <w:r>
              <w:rPr>
                <w:b/>
                <w:bCs/>
                <w:color w:val="000000"/>
                <w:sz w:val="21"/>
                <w:szCs w:val="21"/>
              </w:rPr>
              <w:t>主要污染物种类</w:t>
            </w:r>
          </w:p>
        </w:tc>
        <w:tc>
          <w:tcPr>
            <w:tcW w:w="2333" w:type="dxa"/>
            <w:noWrap w:val="0"/>
            <w:vAlign w:val="center"/>
          </w:tcPr>
          <w:p>
            <w:pPr>
              <w:spacing w:line="240" w:lineRule="auto"/>
              <w:ind w:firstLine="0" w:firstLineChars="0"/>
              <w:jc w:val="center"/>
              <w:rPr>
                <w:b/>
                <w:bCs/>
                <w:color w:val="000000"/>
                <w:sz w:val="21"/>
                <w:szCs w:val="21"/>
              </w:rPr>
            </w:pPr>
            <w:r>
              <w:rPr>
                <w:b/>
                <w:bCs/>
                <w:color w:val="000000"/>
                <w:sz w:val="21"/>
                <w:szCs w:val="21"/>
              </w:rPr>
              <w:t>处理设施/措施</w:t>
            </w:r>
          </w:p>
        </w:tc>
        <w:tc>
          <w:tcPr>
            <w:tcW w:w="1234" w:type="dxa"/>
            <w:noWrap w:val="0"/>
            <w:vAlign w:val="center"/>
          </w:tcPr>
          <w:p>
            <w:pPr>
              <w:spacing w:line="240" w:lineRule="auto"/>
              <w:ind w:firstLine="0" w:firstLineChars="0"/>
              <w:jc w:val="center"/>
              <w:rPr>
                <w:b/>
                <w:bCs/>
                <w:color w:val="000000"/>
                <w:sz w:val="21"/>
                <w:szCs w:val="21"/>
              </w:rPr>
            </w:pPr>
            <w:r>
              <w:rPr>
                <w:b/>
                <w:bCs/>
                <w:color w:val="000000"/>
                <w:sz w:val="21"/>
                <w:szCs w:val="21"/>
              </w:rPr>
              <w:t>排放方式</w:t>
            </w:r>
          </w:p>
        </w:tc>
        <w:tc>
          <w:tcPr>
            <w:tcW w:w="1179" w:type="dxa"/>
            <w:noWrap w:val="0"/>
            <w:vAlign w:val="center"/>
          </w:tcPr>
          <w:p>
            <w:pPr>
              <w:spacing w:line="240" w:lineRule="auto"/>
              <w:ind w:firstLine="0" w:firstLineChars="0"/>
              <w:jc w:val="center"/>
              <w:rPr>
                <w:b/>
                <w:bCs/>
                <w:color w:val="000000"/>
                <w:sz w:val="21"/>
                <w:szCs w:val="21"/>
              </w:rPr>
            </w:pPr>
            <w:r>
              <w:rPr>
                <w:b/>
                <w:bCs/>
                <w:color w:val="000000"/>
                <w:sz w:val="21"/>
                <w:szCs w:val="21"/>
              </w:rPr>
              <w:t>排放去向</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92" w:type="dxa"/>
            <w:noWrap w:val="0"/>
            <w:vAlign w:val="center"/>
          </w:tcPr>
          <w:p>
            <w:pPr>
              <w:snapToGrid w:val="0"/>
              <w:spacing w:line="240" w:lineRule="auto"/>
              <w:ind w:firstLine="0" w:firstLineChars="0"/>
              <w:jc w:val="center"/>
              <w:rPr>
                <w:rFonts w:hint="eastAsia" w:eastAsia="宋体"/>
                <w:sz w:val="21"/>
                <w:szCs w:val="21"/>
                <w:lang w:val="en-US" w:eastAsia="zh-CN"/>
              </w:rPr>
            </w:pPr>
            <w:r>
              <w:rPr>
                <w:rFonts w:hint="eastAsia"/>
                <w:sz w:val="21"/>
                <w:szCs w:val="21"/>
              </w:rPr>
              <w:t>格栅井、生化池、污泥脱水间</w:t>
            </w:r>
            <w:r>
              <w:rPr>
                <w:rFonts w:hint="eastAsia"/>
                <w:sz w:val="21"/>
                <w:szCs w:val="21"/>
                <w:lang w:val="en-US" w:eastAsia="zh-CN"/>
              </w:rPr>
              <w:t>等</w:t>
            </w:r>
          </w:p>
        </w:tc>
        <w:tc>
          <w:tcPr>
            <w:tcW w:w="2350" w:type="dxa"/>
            <w:noWrap w:val="0"/>
            <w:vAlign w:val="center"/>
          </w:tcPr>
          <w:p>
            <w:pPr>
              <w:snapToGrid w:val="0"/>
              <w:spacing w:line="240" w:lineRule="auto"/>
              <w:ind w:firstLine="0" w:firstLineChars="0"/>
              <w:jc w:val="center"/>
              <w:rPr>
                <w:sz w:val="21"/>
                <w:szCs w:val="21"/>
              </w:rPr>
            </w:pPr>
            <w:r>
              <w:rPr>
                <w:sz w:val="21"/>
                <w:szCs w:val="21"/>
              </w:rPr>
              <w:t>臭气浓度、氨、硫化氢</w:t>
            </w:r>
          </w:p>
        </w:tc>
        <w:tc>
          <w:tcPr>
            <w:tcW w:w="2333" w:type="dxa"/>
            <w:noWrap w:val="0"/>
            <w:vAlign w:val="center"/>
          </w:tcPr>
          <w:p>
            <w:pPr>
              <w:snapToGrid w:val="0"/>
              <w:spacing w:line="240" w:lineRule="auto"/>
              <w:ind w:firstLine="0" w:firstLineChars="0"/>
              <w:jc w:val="center"/>
              <w:rPr>
                <w:sz w:val="21"/>
                <w:szCs w:val="21"/>
              </w:rPr>
            </w:pPr>
            <w:r>
              <w:rPr>
                <w:rFonts w:hint="eastAsia"/>
                <w:sz w:val="21"/>
                <w:szCs w:val="21"/>
              </w:rPr>
              <w:t>加盖、封闭式建筑、生物</w:t>
            </w:r>
            <w:r>
              <w:rPr>
                <w:rFonts w:hint="eastAsia"/>
                <w:sz w:val="21"/>
                <w:szCs w:val="21"/>
                <w:lang w:val="en-US" w:eastAsia="zh-CN"/>
              </w:rPr>
              <w:t>滤池</w:t>
            </w:r>
            <w:r>
              <w:rPr>
                <w:rFonts w:hint="eastAsia"/>
                <w:sz w:val="21"/>
                <w:szCs w:val="21"/>
              </w:rPr>
              <w:t>除臭装置</w:t>
            </w:r>
          </w:p>
        </w:tc>
        <w:tc>
          <w:tcPr>
            <w:tcW w:w="1234" w:type="dxa"/>
            <w:noWrap w:val="0"/>
            <w:vAlign w:val="center"/>
          </w:tcPr>
          <w:p>
            <w:pPr>
              <w:snapToGrid w:val="0"/>
              <w:spacing w:line="240" w:lineRule="auto"/>
              <w:ind w:firstLine="0" w:firstLineChars="0"/>
              <w:jc w:val="center"/>
              <w:rPr>
                <w:sz w:val="21"/>
                <w:szCs w:val="21"/>
              </w:rPr>
            </w:pPr>
            <w:r>
              <w:rPr>
                <w:sz w:val="21"/>
                <w:szCs w:val="21"/>
              </w:rPr>
              <w:t>有组织排放</w:t>
            </w:r>
          </w:p>
        </w:tc>
        <w:tc>
          <w:tcPr>
            <w:tcW w:w="1179" w:type="dxa"/>
            <w:noWrap w:val="0"/>
            <w:vAlign w:val="center"/>
          </w:tcPr>
          <w:p>
            <w:pPr>
              <w:snapToGrid w:val="0"/>
              <w:spacing w:line="240" w:lineRule="auto"/>
              <w:ind w:firstLine="0" w:firstLineChars="0"/>
              <w:jc w:val="center"/>
              <w:rPr>
                <w:sz w:val="21"/>
                <w:szCs w:val="21"/>
              </w:rPr>
            </w:pPr>
            <w:r>
              <w:rPr>
                <w:sz w:val="21"/>
                <w:szCs w:val="21"/>
              </w:rPr>
              <w:t>大气</w:t>
            </w:r>
          </w:p>
        </w:tc>
      </w:tr>
    </w:tbl>
    <w:p>
      <w:pPr>
        <w:pStyle w:val="6"/>
        <w:wordWrap w:val="0"/>
        <w:topLinePunct/>
        <w:jc w:val="both"/>
        <w:rPr>
          <w:kern w:val="2"/>
          <w:szCs w:val="28"/>
        </w:rPr>
      </w:pPr>
      <w:bookmarkStart w:id="58" w:name="_Toc519171330"/>
      <w:bookmarkStart w:id="59" w:name="_Toc22408"/>
      <w:r>
        <w:rPr>
          <w:kern w:val="2"/>
          <w:szCs w:val="28"/>
        </w:rPr>
        <w:t>4.1.3噪声</w:t>
      </w:r>
      <w:bookmarkEnd w:id="58"/>
    </w:p>
    <w:p>
      <w:r>
        <w:t>本项目噪声主要为污水泵、污泥泵、潜水泵、风机、脱水机以及其它机械设备运行时产生的噪声。项目通过厂区基础的减振措施、厂房隔声和距离衰减控制噪声污染。具体噪声源及处置措施见表4-3。</w:t>
      </w:r>
      <w:bookmarkStart w:id="60" w:name="_Toc519171331"/>
    </w:p>
    <w:p>
      <w:pPr>
        <w:pStyle w:val="28"/>
        <w:ind w:firstLine="482"/>
      </w:pPr>
    </w:p>
    <w:p>
      <w:pPr>
        <w:pStyle w:val="28"/>
        <w:ind w:firstLine="482"/>
      </w:pPr>
    </w:p>
    <w:p>
      <w:pPr>
        <w:pStyle w:val="28"/>
        <w:ind w:firstLine="482"/>
      </w:pPr>
    </w:p>
    <w:p>
      <w:pPr>
        <w:pStyle w:val="28"/>
        <w:ind w:firstLine="482"/>
      </w:pPr>
      <w:r>
        <w:t>表4-3  主要噪声源强及治理措施</w:t>
      </w:r>
    </w:p>
    <w:tbl>
      <w:tblPr>
        <w:tblStyle w:val="19"/>
        <w:tblW w:w="0" w:type="auto"/>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02"/>
        <w:gridCol w:w="1141"/>
        <w:gridCol w:w="1992"/>
        <w:gridCol w:w="1191"/>
        <w:gridCol w:w="286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2" w:type="dxa"/>
            <w:noWrap w:val="0"/>
            <w:vAlign w:val="center"/>
          </w:tcPr>
          <w:p>
            <w:pPr>
              <w:spacing w:line="320" w:lineRule="exact"/>
              <w:ind w:firstLine="0" w:firstLineChars="0"/>
              <w:jc w:val="center"/>
              <w:rPr>
                <w:b/>
                <w:sz w:val="21"/>
                <w:szCs w:val="21"/>
              </w:rPr>
            </w:pPr>
            <w:r>
              <w:rPr>
                <w:b/>
                <w:sz w:val="21"/>
                <w:szCs w:val="21"/>
              </w:rPr>
              <w:t>产噪设备</w:t>
            </w:r>
          </w:p>
        </w:tc>
        <w:tc>
          <w:tcPr>
            <w:tcW w:w="1141" w:type="dxa"/>
            <w:noWrap w:val="0"/>
            <w:vAlign w:val="center"/>
          </w:tcPr>
          <w:p>
            <w:pPr>
              <w:spacing w:line="320" w:lineRule="exact"/>
              <w:ind w:firstLine="0" w:firstLineChars="0"/>
              <w:jc w:val="center"/>
              <w:rPr>
                <w:b/>
                <w:sz w:val="21"/>
                <w:szCs w:val="21"/>
              </w:rPr>
            </w:pPr>
            <w:r>
              <w:rPr>
                <w:b/>
                <w:sz w:val="21"/>
                <w:szCs w:val="21"/>
              </w:rPr>
              <w:t>生产位置</w:t>
            </w:r>
          </w:p>
        </w:tc>
        <w:tc>
          <w:tcPr>
            <w:tcW w:w="1992" w:type="dxa"/>
            <w:noWrap w:val="0"/>
            <w:vAlign w:val="center"/>
          </w:tcPr>
          <w:p>
            <w:pPr>
              <w:spacing w:line="320" w:lineRule="exact"/>
              <w:ind w:firstLine="0" w:firstLineChars="0"/>
              <w:jc w:val="center"/>
              <w:rPr>
                <w:b/>
                <w:sz w:val="21"/>
                <w:szCs w:val="21"/>
              </w:rPr>
            </w:pPr>
            <w:r>
              <w:rPr>
                <w:b/>
                <w:sz w:val="21"/>
                <w:szCs w:val="21"/>
              </w:rPr>
              <w:t>估计声源值dB（A）</w:t>
            </w:r>
          </w:p>
        </w:tc>
        <w:tc>
          <w:tcPr>
            <w:tcW w:w="1191" w:type="dxa"/>
            <w:noWrap w:val="0"/>
            <w:vAlign w:val="center"/>
          </w:tcPr>
          <w:p>
            <w:pPr>
              <w:spacing w:line="320" w:lineRule="exact"/>
              <w:ind w:firstLine="0" w:firstLineChars="0"/>
              <w:jc w:val="center"/>
              <w:rPr>
                <w:b/>
                <w:sz w:val="21"/>
                <w:szCs w:val="21"/>
              </w:rPr>
            </w:pPr>
            <w:r>
              <w:rPr>
                <w:b/>
                <w:sz w:val="21"/>
                <w:szCs w:val="21"/>
              </w:rPr>
              <w:t>排放规律</w:t>
            </w:r>
          </w:p>
        </w:tc>
        <w:tc>
          <w:tcPr>
            <w:tcW w:w="2862" w:type="dxa"/>
            <w:noWrap w:val="0"/>
            <w:vAlign w:val="center"/>
          </w:tcPr>
          <w:p>
            <w:pPr>
              <w:spacing w:line="320" w:lineRule="exact"/>
              <w:ind w:firstLine="0" w:firstLineChars="0"/>
              <w:jc w:val="center"/>
              <w:rPr>
                <w:b/>
                <w:sz w:val="21"/>
                <w:szCs w:val="21"/>
              </w:rPr>
            </w:pPr>
            <w:r>
              <w:rPr>
                <w:b/>
                <w:sz w:val="21"/>
                <w:szCs w:val="21"/>
              </w:rPr>
              <w:t>治理措施</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2" w:type="dxa"/>
            <w:noWrap w:val="0"/>
            <w:vAlign w:val="center"/>
          </w:tcPr>
          <w:p>
            <w:pPr>
              <w:snapToGrid w:val="0"/>
              <w:spacing w:line="240" w:lineRule="auto"/>
              <w:ind w:firstLine="0" w:firstLineChars="0"/>
              <w:jc w:val="center"/>
              <w:rPr>
                <w:sz w:val="21"/>
                <w:szCs w:val="21"/>
              </w:rPr>
            </w:pPr>
            <w:r>
              <w:rPr>
                <w:sz w:val="21"/>
                <w:szCs w:val="21"/>
              </w:rPr>
              <w:t>清污机、电动葫芦等</w:t>
            </w:r>
          </w:p>
        </w:tc>
        <w:tc>
          <w:tcPr>
            <w:tcW w:w="1141" w:type="dxa"/>
            <w:noWrap w:val="0"/>
            <w:vAlign w:val="center"/>
          </w:tcPr>
          <w:p>
            <w:pPr>
              <w:snapToGrid w:val="0"/>
              <w:spacing w:line="240" w:lineRule="auto"/>
              <w:ind w:firstLine="0" w:firstLineChars="0"/>
              <w:jc w:val="center"/>
              <w:rPr>
                <w:sz w:val="21"/>
                <w:szCs w:val="21"/>
              </w:rPr>
            </w:pPr>
            <w:r>
              <w:rPr>
                <w:sz w:val="21"/>
                <w:szCs w:val="21"/>
              </w:rPr>
              <w:t>厂区</w:t>
            </w:r>
          </w:p>
        </w:tc>
        <w:tc>
          <w:tcPr>
            <w:tcW w:w="1992" w:type="dxa"/>
            <w:noWrap w:val="0"/>
            <w:vAlign w:val="center"/>
          </w:tcPr>
          <w:p>
            <w:pPr>
              <w:snapToGrid w:val="0"/>
              <w:spacing w:line="240" w:lineRule="auto"/>
              <w:ind w:firstLine="0" w:firstLineChars="0"/>
              <w:jc w:val="center"/>
              <w:rPr>
                <w:sz w:val="21"/>
                <w:szCs w:val="21"/>
              </w:rPr>
            </w:pPr>
            <w:r>
              <w:rPr>
                <w:sz w:val="21"/>
                <w:szCs w:val="21"/>
              </w:rPr>
              <w:t>75～85</w:t>
            </w:r>
          </w:p>
        </w:tc>
        <w:tc>
          <w:tcPr>
            <w:tcW w:w="1191" w:type="dxa"/>
            <w:noWrap w:val="0"/>
            <w:vAlign w:val="center"/>
          </w:tcPr>
          <w:p>
            <w:pPr>
              <w:snapToGrid w:val="0"/>
              <w:spacing w:line="240" w:lineRule="auto"/>
              <w:ind w:firstLine="0" w:firstLineChars="0"/>
              <w:jc w:val="center"/>
              <w:rPr>
                <w:sz w:val="21"/>
                <w:szCs w:val="21"/>
              </w:rPr>
            </w:pPr>
            <w:r>
              <w:rPr>
                <w:sz w:val="21"/>
                <w:szCs w:val="21"/>
              </w:rPr>
              <w:t>连续排放</w:t>
            </w:r>
          </w:p>
        </w:tc>
        <w:tc>
          <w:tcPr>
            <w:tcW w:w="2862" w:type="dxa"/>
            <w:vMerge w:val="restart"/>
            <w:noWrap w:val="0"/>
            <w:vAlign w:val="center"/>
          </w:tcPr>
          <w:p>
            <w:pPr>
              <w:snapToGrid w:val="0"/>
              <w:spacing w:line="240" w:lineRule="auto"/>
              <w:ind w:firstLine="0" w:firstLineChars="0"/>
              <w:jc w:val="center"/>
              <w:rPr>
                <w:sz w:val="21"/>
                <w:szCs w:val="21"/>
              </w:rPr>
            </w:pPr>
            <w:r>
              <w:rPr>
                <w:sz w:val="21"/>
                <w:szCs w:val="21"/>
              </w:rPr>
              <w:t>低噪声设备、合理布局、基础减振、厂房隔声、距离衰减</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2" w:type="dxa"/>
            <w:noWrap w:val="0"/>
            <w:vAlign w:val="center"/>
          </w:tcPr>
          <w:p>
            <w:pPr>
              <w:snapToGrid w:val="0"/>
              <w:spacing w:line="240" w:lineRule="auto"/>
              <w:ind w:firstLine="0" w:firstLineChars="0"/>
              <w:jc w:val="center"/>
              <w:rPr>
                <w:sz w:val="21"/>
                <w:szCs w:val="21"/>
              </w:rPr>
            </w:pPr>
            <w:r>
              <w:rPr>
                <w:sz w:val="21"/>
                <w:szCs w:val="21"/>
              </w:rPr>
              <w:t>污泥泵、潜水泵等</w:t>
            </w:r>
          </w:p>
        </w:tc>
        <w:tc>
          <w:tcPr>
            <w:tcW w:w="1141" w:type="dxa"/>
            <w:noWrap w:val="0"/>
            <w:vAlign w:val="center"/>
          </w:tcPr>
          <w:p>
            <w:pPr>
              <w:snapToGrid w:val="0"/>
              <w:spacing w:line="240" w:lineRule="auto"/>
              <w:ind w:firstLine="0" w:firstLineChars="0"/>
              <w:jc w:val="center"/>
              <w:rPr>
                <w:sz w:val="21"/>
                <w:szCs w:val="21"/>
              </w:rPr>
            </w:pPr>
            <w:r>
              <w:rPr>
                <w:sz w:val="21"/>
                <w:szCs w:val="21"/>
              </w:rPr>
              <w:t>厂区</w:t>
            </w:r>
          </w:p>
        </w:tc>
        <w:tc>
          <w:tcPr>
            <w:tcW w:w="1992" w:type="dxa"/>
            <w:noWrap w:val="0"/>
            <w:vAlign w:val="center"/>
          </w:tcPr>
          <w:p>
            <w:pPr>
              <w:snapToGrid w:val="0"/>
              <w:spacing w:line="240" w:lineRule="auto"/>
              <w:ind w:firstLine="0" w:firstLineChars="0"/>
              <w:jc w:val="center"/>
              <w:rPr>
                <w:sz w:val="21"/>
                <w:szCs w:val="21"/>
              </w:rPr>
            </w:pPr>
            <w:r>
              <w:rPr>
                <w:sz w:val="21"/>
                <w:szCs w:val="21"/>
              </w:rPr>
              <w:t>70～80</w:t>
            </w:r>
          </w:p>
        </w:tc>
        <w:tc>
          <w:tcPr>
            <w:tcW w:w="1191" w:type="dxa"/>
            <w:noWrap w:val="0"/>
            <w:vAlign w:val="center"/>
          </w:tcPr>
          <w:p>
            <w:pPr>
              <w:snapToGrid w:val="0"/>
              <w:spacing w:line="240" w:lineRule="auto"/>
              <w:ind w:firstLine="0" w:firstLineChars="0"/>
              <w:jc w:val="center"/>
              <w:rPr>
                <w:sz w:val="21"/>
                <w:szCs w:val="21"/>
              </w:rPr>
            </w:pPr>
            <w:r>
              <w:rPr>
                <w:sz w:val="21"/>
                <w:szCs w:val="21"/>
              </w:rPr>
              <w:t>连续排放</w:t>
            </w:r>
          </w:p>
        </w:tc>
        <w:tc>
          <w:tcPr>
            <w:tcW w:w="2862" w:type="dxa"/>
            <w:vMerge w:val="continue"/>
            <w:noWrap w:val="0"/>
            <w:vAlign w:val="center"/>
          </w:tcPr>
          <w:p>
            <w:pPr>
              <w:snapToGrid w:val="0"/>
              <w:spacing w:line="240" w:lineRule="auto"/>
              <w:ind w:firstLine="0" w:firstLineChars="0"/>
              <w:jc w:val="center"/>
              <w:rPr>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2" w:type="dxa"/>
            <w:noWrap w:val="0"/>
            <w:vAlign w:val="center"/>
          </w:tcPr>
          <w:p>
            <w:pPr>
              <w:snapToGrid w:val="0"/>
              <w:spacing w:line="240" w:lineRule="auto"/>
              <w:ind w:firstLine="0" w:firstLineChars="0"/>
              <w:jc w:val="center"/>
              <w:rPr>
                <w:sz w:val="21"/>
                <w:szCs w:val="21"/>
              </w:rPr>
            </w:pPr>
            <w:r>
              <w:rPr>
                <w:sz w:val="21"/>
                <w:szCs w:val="21"/>
              </w:rPr>
              <w:t>搅拌机、风机、砂水分离器</w:t>
            </w:r>
          </w:p>
        </w:tc>
        <w:tc>
          <w:tcPr>
            <w:tcW w:w="1141" w:type="dxa"/>
            <w:noWrap w:val="0"/>
            <w:vAlign w:val="center"/>
          </w:tcPr>
          <w:p>
            <w:pPr>
              <w:snapToGrid w:val="0"/>
              <w:spacing w:line="240" w:lineRule="auto"/>
              <w:ind w:firstLine="0" w:firstLineChars="0"/>
              <w:jc w:val="center"/>
              <w:rPr>
                <w:sz w:val="21"/>
                <w:szCs w:val="21"/>
              </w:rPr>
            </w:pPr>
            <w:r>
              <w:rPr>
                <w:sz w:val="21"/>
                <w:szCs w:val="21"/>
              </w:rPr>
              <w:t>厂区</w:t>
            </w:r>
          </w:p>
        </w:tc>
        <w:tc>
          <w:tcPr>
            <w:tcW w:w="1992" w:type="dxa"/>
            <w:noWrap w:val="0"/>
            <w:vAlign w:val="center"/>
          </w:tcPr>
          <w:p>
            <w:pPr>
              <w:snapToGrid w:val="0"/>
              <w:spacing w:line="240" w:lineRule="auto"/>
              <w:ind w:firstLine="0" w:firstLineChars="0"/>
              <w:jc w:val="center"/>
              <w:rPr>
                <w:sz w:val="21"/>
                <w:szCs w:val="21"/>
              </w:rPr>
            </w:pPr>
            <w:r>
              <w:rPr>
                <w:sz w:val="21"/>
                <w:szCs w:val="21"/>
              </w:rPr>
              <w:t>80～90</w:t>
            </w:r>
          </w:p>
        </w:tc>
        <w:tc>
          <w:tcPr>
            <w:tcW w:w="1191" w:type="dxa"/>
            <w:noWrap w:val="0"/>
            <w:vAlign w:val="center"/>
          </w:tcPr>
          <w:p>
            <w:pPr>
              <w:snapToGrid w:val="0"/>
              <w:spacing w:line="240" w:lineRule="auto"/>
              <w:ind w:firstLine="0" w:firstLineChars="0"/>
              <w:jc w:val="center"/>
              <w:rPr>
                <w:sz w:val="21"/>
                <w:szCs w:val="21"/>
              </w:rPr>
            </w:pPr>
            <w:r>
              <w:rPr>
                <w:sz w:val="21"/>
                <w:szCs w:val="21"/>
              </w:rPr>
              <w:t>连续排放</w:t>
            </w:r>
          </w:p>
        </w:tc>
        <w:tc>
          <w:tcPr>
            <w:tcW w:w="2862" w:type="dxa"/>
            <w:vMerge w:val="continue"/>
            <w:noWrap w:val="0"/>
            <w:vAlign w:val="center"/>
          </w:tcPr>
          <w:p>
            <w:pPr>
              <w:snapToGrid w:val="0"/>
              <w:spacing w:line="240" w:lineRule="auto"/>
              <w:ind w:firstLine="0" w:firstLineChars="0"/>
              <w:jc w:val="center"/>
              <w:rPr>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2" w:type="dxa"/>
            <w:noWrap w:val="0"/>
            <w:vAlign w:val="center"/>
          </w:tcPr>
          <w:p>
            <w:pPr>
              <w:snapToGrid w:val="0"/>
              <w:spacing w:line="240" w:lineRule="auto"/>
              <w:ind w:firstLine="0" w:firstLineChars="0"/>
              <w:jc w:val="center"/>
              <w:rPr>
                <w:sz w:val="21"/>
                <w:szCs w:val="21"/>
              </w:rPr>
            </w:pPr>
            <w:r>
              <w:rPr>
                <w:sz w:val="21"/>
                <w:szCs w:val="21"/>
              </w:rPr>
              <w:t>刮泥机</w:t>
            </w:r>
          </w:p>
        </w:tc>
        <w:tc>
          <w:tcPr>
            <w:tcW w:w="1141" w:type="dxa"/>
            <w:noWrap w:val="0"/>
            <w:vAlign w:val="center"/>
          </w:tcPr>
          <w:p>
            <w:pPr>
              <w:snapToGrid w:val="0"/>
              <w:spacing w:line="240" w:lineRule="auto"/>
              <w:ind w:firstLine="0" w:firstLineChars="0"/>
              <w:jc w:val="center"/>
              <w:rPr>
                <w:sz w:val="21"/>
                <w:szCs w:val="21"/>
              </w:rPr>
            </w:pPr>
            <w:r>
              <w:rPr>
                <w:sz w:val="21"/>
                <w:szCs w:val="21"/>
              </w:rPr>
              <w:t>厂区</w:t>
            </w:r>
          </w:p>
        </w:tc>
        <w:tc>
          <w:tcPr>
            <w:tcW w:w="1992" w:type="dxa"/>
            <w:noWrap w:val="0"/>
            <w:vAlign w:val="center"/>
          </w:tcPr>
          <w:p>
            <w:pPr>
              <w:snapToGrid w:val="0"/>
              <w:spacing w:line="240" w:lineRule="auto"/>
              <w:ind w:firstLine="0" w:firstLineChars="0"/>
              <w:jc w:val="center"/>
              <w:rPr>
                <w:sz w:val="21"/>
                <w:szCs w:val="21"/>
              </w:rPr>
            </w:pPr>
            <w:r>
              <w:rPr>
                <w:sz w:val="21"/>
                <w:szCs w:val="21"/>
              </w:rPr>
              <w:t>70～80</w:t>
            </w:r>
          </w:p>
        </w:tc>
        <w:tc>
          <w:tcPr>
            <w:tcW w:w="1191" w:type="dxa"/>
            <w:noWrap w:val="0"/>
            <w:vAlign w:val="center"/>
          </w:tcPr>
          <w:p>
            <w:pPr>
              <w:snapToGrid w:val="0"/>
              <w:spacing w:line="240" w:lineRule="auto"/>
              <w:ind w:firstLine="0" w:firstLineChars="0"/>
              <w:jc w:val="center"/>
              <w:rPr>
                <w:sz w:val="21"/>
                <w:szCs w:val="21"/>
              </w:rPr>
            </w:pPr>
            <w:r>
              <w:rPr>
                <w:sz w:val="21"/>
                <w:szCs w:val="21"/>
              </w:rPr>
              <w:t>连续排放</w:t>
            </w:r>
          </w:p>
        </w:tc>
        <w:tc>
          <w:tcPr>
            <w:tcW w:w="2862" w:type="dxa"/>
            <w:vMerge w:val="continue"/>
            <w:noWrap w:val="0"/>
            <w:vAlign w:val="center"/>
          </w:tcPr>
          <w:p>
            <w:pPr>
              <w:snapToGrid w:val="0"/>
              <w:spacing w:line="240" w:lineRule="auto"/>
              <w:ind w:firstLine="0" w:firstLineChars="0"/>
              <w:jc w:val="center"/>
              <w:rPr>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2" w:type="dxa"/>
            <w:noWrap w:val="0"/>
            <w:vAlign w:val="center"/>
          </w:tcPr>
          <w:p>
            <w:pPr>
              <w:snapToGrid w:val="0"/>
              <w:spacing w:line="240" w:lineRule="auto"/>
              <w:ind w:firstLine="0" w:firstLineChars="0"/>
              <w:jc w:val="center"/>
              <w:rPr>
                <w:sz w:val="21"/>
                <w:szCs w:val="21"/>
              </w:rPr>
            </w:pPr>
            <w:r>
              <w:rPr>
                <w:sz w:val="21"/>
                <w:szCs w:val="21"/>
              </w:rPr>
              <w:t>污泥脱水机房</w:t>
            </w:r>
          </w:p>
        </w:tc>
        <w:tc>
          <w:tcPr>
            <w:tcW w:w="1141" w:type="dxa"/>
            <w:noWrap w:val="0"/>
            <w:vAlign w:val="center"/>
          </w:tcPr>
          <w:p>
            <w:pPr>
              <w:snapToGrid w:val="0"/>
              <w:spacing w:line="240" w:lineRule="auto"/>
              <w:ind w:firstLine="0" w:firstLineChars="0"/>
              <w:jc w:val="center"/>
              <w:rPr>
                <w:sz w:val="21"/>
                <w:szCs w:val="21"/>
              </w:rPr>
            </w:pPr>
            <w:r>
              <w:rPr>
                <w:sz w:val="21"/>
                <w:szCs w:val="21"/>
              </w:rPr>
              <w:t>厂区</w:t>
            </w:r>
          </w:p>
        </w:tc>
        <w:tc>
          <w:tcPr>
            <w:tcW w:w="1992" w:type="dxa"/>
            <w:noWrap w:val="0"/>
            <w:vAlign w:val="center"/>
          </w:tcPr>
          <w:p>
            <w:pPr>
              <w:snapToGrid w:val="0"/>
              <w:spacing w:line="240" w:lineRule="auto"/>
              <w:ind w:firstLine="0" w:firstLineChars="0"/>
              <w:jc w:val="center"/>
              <w:rPr>
                <w:sz w:val="21"/>
                <w:szCs w:val="21"/>
              </w:rPr>
            </w:pPr>
            <w:r>
              <w:rPr>
                <w:sz w:val="21"/>
                <w:szCs w:val="21"/>
              </w:rPr>
              <w:t>70～90</w:t>
            </w:r>
          </w:p>
        </w:tc>
        <w:tc>
          <w:tcPr>
            <w:tcW w:w="1191" w:type="dxa"/>
            <w:noWrap w:val="0"/>
            <w:vAlign w:val="center"/>
          </w:tcPr>
          <w:p>
            <w:pPr>
              <w:snapToGrid w:val="0"/>
              <w:spacing w:line="240" w:lineRule="auto"/>
              <w:ind w:firstLine="0" w:firstLineChars="0"/>
              <w:jc w:val="center"/>
              <w:rPr>
                <w:sz w:val="21"/>
                <w:szCs w:val="21"/>
              </w:rPr>
            </w:pPr>
            <w:r>
              <w:rPr>
                <w:sz w:val="21"/>
                <w:szCs w:val="21"/>
              </w:rPr>
              <w:t>连续排放</w:t>
            </w:r>
          </w:p>
        </w:tc>
        <w:tc>
          <w:tcPr>
            <w:tcW w:w="2862" w:type="dxa"/>
            <w:vMerge w:val="continue"/>
            <w:noWrap w:val="0"/>
            <w:vAlign w:val="center"/>
          </w:tcPr>
          <w:p>
            <w:pPr>
              <w:snapToGrid w:val="0"/>
              <w:spacing w:line="240" w:lineRule="auto"/>
              <w:ind w:firstLine="0" w:firstLineChars="0"/>
              <w:jc w:val="center"/>
              <w:rPr>
                <w:sz w:val="21"/>
                <w:szCs w:val="21"/>
              </w:rPr>
            </w:pPr>
          </w:p>
        </w:tc>
      </w:tr>
    </w:tbl>
    <w:p>
      <w:pPr>
        <w:pStyle w:val="6"/>
        <w:wordWrap w:val="0"/>
        <w:topLinePunct/>
        <w:jc w:val="both"/>
        <w:rPr>
          <w:kern w:val="2"/>
          <w:szCs w:val="28"/>
        </w:rPr>
      </w:pPr>
      <w:r>
        <w:rPr>
          <w:kern w:val="2"/>
          <w:szCs w:val="28"/>
        </w:rPr>
        <w:t>4.1.4固体废物</w:t>
      </w:r>
      <w:bookmarkEnd w:id="60"/>
    </w:p>
    <w:p>
      <w:r>
        <w:t>本项目固体废物主要包括以下四类。</w:t>
      </w:r>
    </w:p>
    <w:p>
      <w:pPr>
        <w:rPr>
          <w:rFonts w:hint="eastAsia"/>
          <w:lang w:val="en-US" w:eastAsia="zh-CN"/>
        </w:rPr>
      </w:pPr>
      <w:r>
        <w:t>第一类是粗、细格栅拦截的栅渣</w:t>
      </w:r>
      <w:r>
        <w:rPr>
          <w:rFonts w:hint="eastAsia"/>
          <w:lang w:val="en-US" w:eastAsia="zh-CN"/>
        </w:rPr>
        <w:t>和沉砂池产生的砂粒；</w:t>
      </w:r>
    </w:p>
    <w:p>
      <w:r>
        <w:t>第二类是生化池产生的剩余污泥；</w:t>
      </w:r>
    </w:p>
    <w:p>
      <w:r>
        <w:t>第三类是厂区工作人员产生的少量生活垃圾；</w:t>
      </w:r>
    </w:p>
    <w:p>
      <w:r>
        <w:t>第四类是化验室产生的废液及药品包装。</w:t>
      </w:r>
    </w:p>
    <w:p>
      <w:r>
        <w:t>本项目产生的</w:t>
      </w:r>
      <w:r>
        <w:rPr>
          <w:rFonts w:hint="eastAsia"/>
          <w:lang w:val="en-US" w:eastAsia="zh-CN"/>
        </w:rPr>
        <w:t>剩余</w:t>
      </w:r>
      <w:r>
        <w:t>污泥</w:t>
      </w:r>
      <w:r>
        <w:rPr>
          <w:rFonts w:hint="eastAsia"/>
          <w:lang w:val="en-US" w:eastAsia="zh-CN"/>
        </w:rPr>
        <w:t>经脱水后暂存于污泥间，目前按照危险废物进行管理与控制，同栅渣、砂粒一并交由</w:t>
      </w:r>
      <w:r>
        <w:t>成都兴蓉环保科技股份有限公司处置</w:t>
      </w:r>
      <w:r>
        <w:rPr>
          <w:rFonts w:hint="eastAsia"/>
          <w:lang w:eastAsia="zh-CN"/>
        </w:rPr>
        <w:t>；</w:t>
      </w:r>
      <w:r>
        <w:t>生活垃圾交由当地环卫部门收集处理；在线监测仪废液、化验室废液和废药品及包装</w:t>
      </w:r>
      <w:r>
        <w:rPr>
          <w:rFonts w:hint="eastAsia"/>
          <w:lang w:eastAsia="zh-CN"/>
        </w:rPr>
        <w:t>、</w:t>
      </w:r>
      <w:r>
        <w:rPr>
          <w:rFonts w:hint="eastAsia"/>
          <w:lang w:val="en-US" w:eastAsia="zh-CN"/>
        </w:rPr>
        <w:t>废矿物油</w:t>
      </w:r>
      <w:r>
        <w:t>暂存于危废间</w:t>
      </w:r>
      <w:r>
        <w:rPr>
          <w:rFonts w:hint="eastAsia"/>
          <w:lang w:val="en-US" w:eastAsia="zh-CN"/>
        </w:rPr>
        <w:t>内</w:t>
      </w:r>
      <w:r>
        <w:t>，由成都兴蓉环保科技股份有限公司处置（附件7）；</w:t>
      </w:r>
      <w:r>
        <w:rPr>
          <w:rFonts w:hint="eastAsia"/>
          <w:lang w:val="en-US" w:eastAsia="zh-CN"/>
        </w:rPr>
        <w:t>生物除臭装置废弃滤料交由厂家回收处置。</w:t>
      </w:r>
      <w:r>
        <w:t>项目固体废物的产生及处置情况见表4-4。</w:t>
      </w:r>
    </w:p>
    <w:p>
      <w:pPr>
        <w:pStyle w:val="28"/>
        <w:ind w:firstLine="482"/>
      </w:pPr>
      <w:r>
        <w:t>表4-4  固体废物的产生及处置情况</w:t>
      </w:r>
    </w:p>
    <w:tbl>
      <w:tblPr>
        <w:tblStyle w:val="19"/>
        <w:tblW w:w="0" w:type="auto"/>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2081"/>
        <w:gridCol w:w="1144"/>
        <w:gridCol w:w="900"/>
        <w:gridCol w:w="336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800" w:type="dxa"/>
            <w:tcBorders>
              <w:tl2br w:val="nil"/>
              <w:tr2bl w:val="nil"/>
            </w:tcBorders>
            <w:noWrap w:val="0"/>
            <w:vAlign w:val="center"/>
          </w:tcPr>
          <w:p>
            <w:pPr>
              <w:spacing w:line="340" w:lineRule="exact"/>
              <w:ind w:firstLine="0" w:firstLineChars="0"/>
              <w:jc w:val="center"/>
              <w:rPr>
                <w:b/>
                <w:bCs/>
                <w:color w:val="000000"/>
                <w:sz w:val="21"/>
                <w:szCs w:val="21"/>
              </w:rPr>
            </w:pPr>
            <w:r>
              <w:rPr>
                <w:b/>
                <w:bCs/>
                <w:color w:val="000000"/>
                <w:sz w:val="21"/>
                <w:szCs w:val="21"/>
              </w:rPr>
              <w:t>污染物名称</w:t>
            </w:r>
          </w:p>
        </w:tc>
        <w:tc>
          <w:tcPr>
            <w:tcW w:w="2081" w:type="dxa"/>
            <w:tcBorders>
              <w:tl2br w:val="nil"/>
              <w:tr2bl w:val="nil"/>
            </w:tcBorders>
            <w:noWrap w:val="0"/>
            <w:vAlign w:val="center"/>
          </w:tcPr>
          <w:p>
            <w:pPr>
              <w:spacing w:line="340" w:lineRule="exact"/>
              <w:ind w:firstLine="0" w:firstLineChars="0"/>
              <w:jc w:val="center"/>
              <w:rPr>
                <w:b/>
                <w:bCs/>
                <w:color w:val="000000"/>
                <w:sz w:val="21"/>
                <w:szCs w:val="21"/>
              </w:rPr>
            </w:pPr>
            <w:r>
              <w:rPr>
                <w:b/>
                <w:bCs/>
                <w:color w:val="000000"/>
                <w:sz w:val="21"/>
                <w:szCs w:val="21"/>
              </w:rPr>
              <w:t>产生环节</w:t>
            </w:r>
          </w:p>
        </w:tc>
        <w:tc>
          <w:tcPr>
            <w:tcW w:w="1144" w:type="dxa"/>
            <w:tcBorders>
              <w:tl2br w:val="nil"/>
              <w:tr2bl w:val="nil"/>
            </w:tcBorders>
            <w:noWrap w:val="0"/>
            <w:vAlign w:val="center"/>
          </w:tcPr>
          <w:p>
            <w:pPr>
              <w:spacing w:line="340" w:lineRule="exact"/>
              <w:ind w:firstLine="0" w:firstLineChars="0"/>
              <w:jc w:val="center"/>
              <w:rPr>
                <w:b/>
                <w:bCs/>
                <w:color w:val="000000"/>
                <w:sz w:val="21"/>
                <w:szCs w:val="21"/>
              </w:rPr>
            </w:pPr>
            <w:r>
              <w:rPr>
                <w:b/>
                <w:bCs/>
                <w:color w:val="000000"/>
                <w:sz w:val="21"/>
                <w:szCs w:val="21"/>
              </w:rPr>
              <w:t>属性</w:t>
            </w:r>
          </w:p>
        </w:tc>
        <w:tc>
          <w:tcPr>
            <w:tcW w:w="900" w:type="dxa"/>
            <w:tcBorders>
              <w:tl2br w:val="nil"/>
              <w:tr2bl w:val="nil"/>
            </w:tcBorders>
            <w:noWrap w:val="0"/>
            <w:vAlign w:val="center"/>
          </w:tcPr>
          <w:p>
            <w:pPr>
              <w:spacing w:line="340" w:lineRule="exact"/>
              <w:ind w:firstLine="0" w:firstLineChars="0"/>
              <w:jc w:val="center"/>
              <w:rPr>
                <w:b/>
                <w:bCs/>
                <w:color w:val="000000"/>
                <w:sz w:val="21"/>
                <w:szCs w:val="21"/>
              </w:rPr>
            </w:pPr>
            <w:r>
              <w:rPr>
                <w:b/>
                <w:bCs/>
                <w:color w:val="000000"/>
                <w:sz w:val="21"/>
                <w:szCs w:val="21"/>
              </w:rPr>
              <w:t>产生量</w:t>
            </w:r>
          </w:p>
        </w:tc>
        <w:tc>
          <w:tcPr>
            <w:tcW w:w="3363" w:type="dxa"/>
            <w:tcBorders>
              <w:tl2br w:val="nil"/>
              <w:tr2bl w:val="nil"/>
            </w:tcBorders>
            <w:noWrap w:val="0"/>
            <w:vAlign w:val="center"/>
          </w:tcPr>
          <w:p>
            <w:pPr>
              <w:spacing w:line="340" w:lineRule="exact"/>
              <w:ind w:firstLine="0" w:firstLineChars="0"/>
              <w:jc w:val="center"/>
              <w:rPr>
                <w:b/>
                <w:bCs/>
                <w:color w:val="000000"/>
                <w:sz w:val="21"/>
                <w:szCs w:val="21"/>
              </w:rPr>
            </w:pPr>
            <w:r>
              <w:rPr>
                <w:b/>
                <w:bCs/>
                <w:color w:val="000000"/>
                <w:sz w:val="21"/>
                <w:szCs w:val="21"/>
              </w:rPr>
              <w:t>处理方式</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0" w:type="dxa"/>
            <w:tcBorders>
              <w:tl2br w:val="nil"/>
              <w:tr2bl w:val="nil"/>
            </w:tcBorders>
            <w:noWrap w:val="0"/>
            <w:vAlign w:val="center"/>
          </w:tcPr>
          <w:p>
            <w:pPr>
              <w:spacing w:line="340" w:lineRule="exact"/>
              <w:ind w:firstLine="0" w:firstLineChars="0"/>
              <w:jc w:val="center"/>
              <w:rPr>
                <w:color w:val="000000"/>
                <w:sz w:val="21"/>
                <w:szCs w:val="21"/>
              </w:rPr>
            </w:pPr>
            <w:r>
              <w:rPr>
                <w:color w:val="000000"/>
                <w:sz w:val="21"/>
                <w:szCs w:val="21"/>
              </w:rPr>
              <w:t>污泥</w:t>
            </w:r>
          </w:p>
        </w:tc>
        <w:tc>
          <w:tcPr>
            <w:tcW w:w="2081" w:type="dxa"/>
            <w:tcBorders>
              <w:tl2br w:val="nil"/>
              <w:tr2bl w:val="nil"/>
            </w:tcBorders>
            <w:noWrap w:val="0"/>
            <w:vAlign w:val="center"/>
          </w:tcPr>
          <w:p>
            <w:pPr>
              <w:spacing w:line="340" w:lineRule="exact"/>
              <w:ind w:firstLine="0" w:firstLineChars="0"/>
              <w:jc w:val="center"/>
              <w:rPr>
                <w:color w:val="000000"/>
                <w:sz w:val="21"/>
                <w:szCs w:val="21"/>
              </w:rPr>
            </w:pPr>
            <w:r>
              <w:rPr>
                <w:color w:val="000000"/>
                <w:sz w:val="21"/>
                <w:szCs w:val="21"/>
              </w:rPr>
              <w:t>生化池、二沉池等</w:t>
            </w:r>
          </w:p>
        </w:tc>
        <w:tc>
          <w:tcPr>
            <w:tcW w:w="1144" w:type="dxa"/>
            <w:tcBorders>
              <w:tl2br w:val="nil"/>
              <w:tr2bl w:val="nil"/>
            </w:tcBorders>
            <w:noWrap w:val="0"/>
            <w:vAlign w:val="center"/>
          </w:tcPr>
          <w:p>
            <w:pPr>
              <w:spacing w:line="340" w:lineRule="exact"/>
              <w:ind w:firstLine="0" w:firstLineChars="0"/>
              <w:jc w:val="center"/>
              <w:rPr>
                <w:rFonts w:hint="eastAsia" w:eastAsia="宋体"/>
                <w:color w:val="000000"/>
                <w:sz w:val="21"/>
                <w:szCs w:val="21"/>
                <w:lang w:eastAsia="zh-CN"/>
              </w:rPr>
            </w:pPr>
            <w:r>
              <w:rPr>
                <w:rFonts w:hint="eastAsia"/>
                <w:color w:val="000000"/>
                <w:sz w:val="21"/>
                <w:szCs w:val="21"/>
                <w:lang w:val="en-US" w:eastAsia="zh-CN"/>
              </w:rPr>
              <w:t>危险废物</w:t>
            </w:r>
          </w:p>
        </w:tc>
        <w:tc>
          <w:tcPr>
            <w:tcW w:w="900" w:type="dxa"/>
            <w:tcBorders>
              <w:tl2br w:val="nil"/>
              <w:tr2bl w:val="nil"/>
            </w:tcBorders>
            <w:noWrap w:val="0"/>
            <w:vAlign w:val="center"/>
          </w:tcPr>
          <w:p>
            <w:pPr>
              <w:spacing w:line="340" w:lineRule="exact"/>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1200t/a</w:t>
            </w:r>
          </w:p>
        </w:tc>
        <w:tc>
          <w:tcPr>
            <w:tcW w:w="3363" w:type="dxa"/>
            <w:tcBorders>
              <w:tl2br w:val="nil"/>
              <w:tr2bl w:val="nil"/>
            </w:tcBorders>
            <w:noWrap w:val="0"/>
            <w:vAlign w:val="center"/>
          </w:tcPr>
          <w:p>
            <w:pPr>
              <w:spacing w:line="340" w:lineRule="exact"/>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按照危险废物进行管控，交由成都兴蓉环保科技股份有限公司处置</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0" w:type="dxa"/>
            <w:tcBorders>
              <w:tl2br w:val="nil"/>
              <w:tr2bl w:val="nil"/>
            </w:tcBorders>
            <w:noWrap w:val="0"/>
            <w:vAlign w:val="center"/>
          </w:tcPr>
          <w:p>
            <w:pPr>
              <w:spacing w:line="340" w:lineRule="exact"/>
              <w:ind w:firstLine="0" w:firstLineChars="0"/>
              <w:jc w:val="center"/>
              <w:rPr>
                <w:rFonts w:hint="eastAsia" w:eastAsia="宋体"/>
                <w:color w:val="000000"/>
                <w:sz w:val="21"/>
                <w:szCs w:val="21"/>
                <w:lang w:eastAsia="zh-CN"/>
              </w:rPr>
            </w:pPr>
            <w:r>
              <w:rPr>
                <w:color w:val="000000"/>
                <w:sz w:val="21"/>
                <w:szCs w:val="21"/>
              </w:rPr>
              <w:t>栅渣</w:t>
            </w:r>
            <w:r>
              <w:rPr>
                <w:rFonts w:hint="eastAsia"/>
                <w:color w:val="000000"/>
                <w:sz w:val="21"/>
                <w:szCs w:val="21"/>
                <w:lang w:eastAsia="zh-CN"/>
              </w:rPr>
              <w:t>、</w:t>
            </w:r>
            <w:r>
              <w:rPr>
                <w:rFonts w:hint="eastAsia"/>
                <w:color w:val="000000"/>
                <w:sz w:val="21"/>
                <w:szCs w:val="21"/>
                <w:lang w:val="en-US" w:eastAsia="zh-CN"/>
              </w:rPr>
              <w:t>砂粒</w:t>
            </w:r>
          </w:p>
        </w:tc>
        <w:tc>
          <w:tcPr>
            <w:tcW w:w="2081" w:type="dxa"/>
            <w:tcBorders>
              <w:tl2br w:val="nil"/>
              <w:tr2bl w:val="nil"/>
            </w:tcBorders>
            <w:noWrap w:val="0"/>
            <w:vAlign w:val="center"/>
          </w:tcPr>
          <w:p>
            <w:pPr>
              <w:spacing w:line="340" w:lineRule="exact"/>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格栅间、沉砂池</w:t>
            </w:r>
          </w:p>
        </w:tc>
        <w:tc>
          <w:tcPr>
            <w:tcW w:w="1144" w:type="dxa"/>
            <w:tcBorders>
              <w:tl2br w:val="nil"/>
              <w:tr2bl w:val="nil"/>
            </w:tcBorders>
            <w:noWrap w:val="0"/>
            <w:vAlign w:val="center"/>
          </w:tcPr>
          <w:p>
            <w:pPr>
              <w:spacing w:line="340" w:lineRule="exact"/>
              <w:ind w:firstLine="0" w:firstLineChars="0"/>
              <w:jc w:val="center"/>
              <w:rPr>
                <w:color w:val="000000"/>
                <w:sz w:val="21"/>
                <w:szCs w:val="21"/>
              </w:rPr>
            </w:pPr>
            <w:r>
              <w:rPr>
                <w:color w:val="000000"/>
                <w:sz w:val="21"/>
                <w:szCs w:val="21"/>
              </w:rPr>
              <w:t>一般固废</w:t>
            </w:r>
          </w:p>
        </w:tc>
        <w:tc>
          <w:tcPr>
            <w:tcW w:w="900" w:type="dxa"/>
            <w:tcBorders>
              <w:tl2br w:val="nil"/>
              <w:tr2bl w:val="nil"/>
            </w:tcBorders>
            <w:noWrap w:val="0"/>
            <w:vAlign w:val="center"/>
          </w:tcPr>
          <w:p>
            <w:pPr>
              <w:spacing w:line="340" w:lineRule="exact"/>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5t/a</w:t>
            </w:r>
          </w:p>
        </w:tc>
        <w:tc>
          <w:tcPr>
            <w:tcW w:w="3363" w:type="dxa"/>
            <w:tcBorders>
              <w:tl2br w:val="nil"/>
              <w:tr2bl w:val="nil"/>
            </w:tcBorders>
            <w:noWrap w:val="0"/>
            <w:vAlign w:val="center"/>
          </w:tcPr>
          <w:p>
            <w:pPr>
              <w:spacing w:line="340" w:lineRule="exact"/>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同污泥一并交由成都兴蓉环保科技股份有限公司处置</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0" w:type="dxa"/>
            <w:tcBorders>
              <w:tl2br w:val="nil"/>
              <w:tr2bl w:val="nil"/>
            </w:tcBorders>
            <w:noWrap w:val="0"/>
            <w:vAlign w:val="center"/>
          </w:tcPr>
          <w:p>
            <w:pPr>
              <w:spacing w:line="340" w:lineRule="exact"/>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生活垃圾</w:t>
            </w:r>
          </w:p>
        </w:tc>
        <w:tc>
          <w:tcPr>
            <w:tcW w:w="2081" w:type="dxa"/>
            <w:tcBorders>
              <w:tl2br w:val="nil"/>
              <w:tr2bl w:val="nil"/>
            </w:tcBorders>
            <w:noWrap w:val="0"/>
            <w:vAlign w:val="center"/>
          </w:tcPr>
          <w:p>
            <w:pPr>
              <w:spacing w:line="340" w:lineRule="exact"/>
              <w:ind w:firstLine="0" w:firstLineChars="0"/>
              <w:jc w:val="center"/>
              <w:rPr>
                <w:color w:val="000000"/>
                <w:sz w:val="21"/>
                <w:szCs w:val="21"/>
              </w:rPr>
            </w:pPr>
            <w:r>
              <w:rPr>
                <w:color w:val="000000"/>
                <w:sz w:val="21"/>
                <w:szCs w:val="21"/>
              </w:rPr>
              <w:t>员工生活</w:t>
            </w:r>
          </w:p>
        </w:tc>
        <w:tc>
          <w:tcPr>
            <w:tcW w:w="1144" w:type="dxa"/>
            <w:tcBorders>
              <w:tl2br w:val="nil"/>
              <w:tr2bl w:val="nil"/>
            </w:tcBorders>
            <w:noWrap w:val="0"/>
            <w:vAlign w:val="center"/>
          </w:tcPr>
          <w:p>
            <w:pPr>
              <w:spacing w:line="340" w:lineRule="exact"/>
              <w:ind w:firstLine="0" w:firstLineChars="0"/>
              <w:jc w:val="center"/>
              <w:rPr>
                <w:rFonts w:ascii="Times New Roman" w:hAnsi="Times New Roman" w:eastAsia="宋体" w:cs="Times New Roman"/>
                <w:color w:val="000000"/>
                <w:kern w:val="2"/>
                <w:sz w:val="21"/>
                <w:szCs w:val="21"/>
                <w:lang w:val="en-US" w:eastAsia="zh-CN" w:bidi="ar-SA"/>
              </w:rPr>
            </w:pPr>
            <w:r>
              <w:rPr>
                <w:color w:val="000000"/>
                <w:sz w:val="21"/>
                <w:szCs w:val="21"/>
              </w:rPr>
              <w:t>一般固废</w:t>
            </w:r>
          </w:p>
        </w:tc>
        <w:tc>
          <w:tcPr>
            <w:tcW w:w="900" w:type="dxa"/>
            <w:tcBorders>
              <w:tl2br w:val="nil"/>
              <w:tr2bl w:val="nil"/>
            </w:tcBorders>
            <w:noWrap w:val="0"/>
            <w:vAlign w:val="center"/>
          </w:tcPr>
          <w:p>
            <w:pPr>
              <w:spacing w:line="340" w:lineRule="exact"/>
              <w:ind w:firstLine="0" w:firstLineChars="0"/>
              <w:jc w:val="center"/>
              <w:rPr>
                <w:rFonts w:hint="eastAsia"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7t/a</w:t>
            </w:r>
          </w:p>
        </w:tc>
        <w:tc>
          <w:tcPr>
            <w:tcW w:w="3363" w:type="dxa"/>
            <w:tcBorders>
              <w:tl2br w:val="nil"/>
              <w:tr2bl w:val="nil"/>
            </w:tcBorders>
            <w:noWrap w:val="0"/>
            <w:vAlign w:val="center"/>
          </w:tcPr>
          <w:p>
            <w:pPr>
              <w:spacing w:line="340" w:lineRule="exact"/>
              <w:ind w:firstLine="0" w:firstLineChars="0"/>
              <w:jc w:val="center"/>
              <w:rPr>
                <w:rFonts w:hint="default"/>
                <w:color w:val="000000"/>
                <w:sz w:val="21"/>
                <w:szCs w:val="21"/>
                <w:lang w:val="en-US" w:eastAsia="zh-CN"/>
              </w:rPr>
            </w:pPr>
            <w:r>
              <w:rPr>
                <w:rFonts w:hint="eastAsia"/>
                <w:color w:val="000000"/>
                <w:sz w:val="21"/>
                <w:szCs w:val="21"/>
                <w:lang w:val="en-US" w:eastAsia="zh-CN"/>
              </w:rPr>
              <w:t>交由环卫部门处置</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0" w:type="dxa"/>
            <w:tcBorders>
              <w:tl2br w:val="nil"/>
              <w:tr2bl w:val="nil"/>
            </w:tcBorders>
            <w:noWrap w:val="0"/>
            <w:vAlign w:val="center"/>
          </w:tcPr>
          <w:p>
            <w:pPr>
              <w:spacing w:line="340" w:lineRule="exact"/>
              <w:ind w:firstLine="0" w:firstLineChars="0"/>
              <w:jc w:val="center"/>
              <w:rPr>
                <w:rFonts w:hint="eastAsia" w:eastAsia="宋体"/>
                <w:color w:val="000000"/>
                <w:sz w:val="21"/>
                <w:szCs w:val="21"/>
                <w:lang w:eastAsia="zh-CN"/>
              </w:rPr>
            </w:pPr>
            <w:r>
              <w:rPr>
                <w:rFonts w:hint="eastAsia"/>
                <w:color w:val="000000"/>
                <w:sz w:val="21"/>
                <w:szCs w:val="21"/>
                <w:lang w:val="en-US" w:eastAsia="zh-CN"/>
              </w:rPr>
              <w:t>废矿物油</w:t>
            </w:r>
          </w:p>
        </w:tc>
        <w:tc>
          <w:tcPr>
            <w:tcW w:w="2081" w:type="dxa"/>
            <w:tcBorders>
              <w:tl2br w:val="nil"/>
              <w:tr2bl w:val="nil"/>
            </w:tcBorders>
            <w:noWrap w:val="0"/>
            <w:vAlign w:val="center"/>
          </w:tcPr>
          <w:p>
            <w:pPr>
              <w:spacing w:line="340" w:lineRule="exact"/>
              <w:ind w:firstLine="0" w:firstLineChars="0"/>
              <w:jc w:val="center"/>
              <w:rPr>
                <w:color w:val="000000"/>
                <w:sz w:val="21"/>
                <w:szCs w:val="21"/>
              </w:rPr>
            </w:pPr>
            <w:r>
              <w:rPr>
                <w:color w:val="000000"/>
                <w:sz w:val="21"/>
                <w:szCs w:val="21"/>
              </w:rPr>
              <w:t>机修</w:t>
            </w:r>
          </w:p>
        </w:tc>
        <w:tc>
          <w:tcPr>
            <w:tcW w:w="1144" w:type="dxa"/>
            <w:tcBorders>
              <w:tl2br w:val="nil"/>
              <w:tr2bl w:val="nil"/>
            </w:tcBorders>
            <w:noWrap w:val="0"/>
            <w:vAlign w:val="center"/>
          </w:tcPr>
          <w:p>
            <w:pPr>
              <w:spacing w:line="340" w:lineRule="exact"/>
              <w:ind w:firstLine="0" w:firstLineChars="0"/>
              <w:jc w:val="center"/>
              <w:rPr>
                <w:color w:val="000000"/>
                <w:sz w:val="21"/>
                <w:szCs w:val="21"/>
              </w:rPr>
            </w:pPr>
            <w:r>
              <w:rPr>
                <w:color w:val="000000"/>
                <w:sz w:val="21"/>
                <w:szCs w:val="21"/>
              </w:rPr>
              <w:t>危险废物</w:t>
            </w:r>
          </w:p>
        </w:tc>
        <w:tc>
          <w:tcPr>
            <w:tcW w:w="900" w:type="dxa"/>
            <w:tcBorders>
              <w:tl2br w:val="nil"/>
              <w:tr2bl w:val="nil"/>
            </w:tcBorders>
            <w:noWrap w:val="0"/>
            <w:vAlign w:val="center"/>
          </w:tcPr>
          <w:p>
            <w:pPr>
              <w:spacing w:line="340" w:lineRule="exact"/>
              <w:ind w:firstLine="0" w:firstLineChars="0"/>
              <w:jc w:val="center"/>
              <w:rPr>
                <w:color w:val="000000"/>
                <w:sz w:val="21"/>
                <w:szCs w:val="21"/>
              </w:rPr>
            </w:pPr>
            <w:r>
              <w:rPr>
                <w:color w:val="000000"/>
                <w:sz w:val="21"/>
                <w:szCs w:val="21"/>
              </w:rPr>
              <w:t>0.</w:t>
            </w:r>
            <w:r>
              <w:rPr>
                <w:rFonts w:hint="eastAsia"/>
                <w:color w:val="000000"/>
                <w:sz w:val="21"/>
                <w:szCs w:val="21"/>
                <w:lang w:val="en-US" w:eastAsia="zh-CN"/>
              </w:rPr>
              <w:t>1</w:t>
            </w:r>
            <w:r>
              <w:rPr>
                <w:color w:val="000000"/>
                <w:sz w:val="21"/>
                <w:szCs w:val="21"/>
              </w:rPr>
              <w:t>t/a</w:t>
            </w:r>
          </w:p>
        </w:tc>
        <w:tc>
          <w:tcPr>
            <w:tcW w:w="3363" w:type="dxa"/>
            <w:vMerge w:val="restart"/>
            <w:tcBorders>
              <w:tl2br w:val="nil"/>
              <w:tr2bl w:val="nil"/>
            </w:tcBorders>
            <w:noWrap w:val="0"/>
            <w:vAlign w:val="center"/>
          </w:tcPr>
          <w:p>
            <w:pPr>
              <w:spacing w:line="340" w:lineRule="exact"/>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交由</w:t>
            </w:r>
            <w:r>
              <w:rPr>
                <w:color w:val="000000"/>
                <w:sz w:val="21"/>
                <w:szCs w:val="21"/>
              </w:rPr>
              <w:t>成都兴蓉环保科技股份有限公司</w:t>
            </w:r>
            <w:r>
              <w:rPr>
                <w:rFonts w:hint="eastAsia"/>
                <w:color w:val="000000"/>
                <w:sz w:val="21"/>
                <w:szCs w:val="21"/>
                <w:lang w:val="en-US" w:eastAsia="zh-CN"/>
              </w:rPr>
              <w:t>处置</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trHeight w:val="454" w:hRule="atLeast"/>
        </w:trPr>
        <w:tc>
          <w:tcPr>
            <w:tcW w:w="1800" w:type="dxa"/>
            <w:tcBorders>
              <w:tl2br w:val="nil"/>
              <w:tr2bl w:val="nil"/>
            </w:tcBorders>
            <w:noWrap w:val="0"/>
            <w:vAlign w:val="center"/>
          </w:tcPr>
          <w:p>
            <w:pPr>
              <w:spacing w:line="340" w:lineRule="exact"/>
              <w:ind w:firstLine="0" w:firstLineChars="0"/>
              <w:jc w:val="center"/>
              <w:rPr>
                <w:color w:val="000000"/>
                <w:sz w:val="21"/>
                <w:szCs w:val="21"/>
              </w:rPr>
            </w:pPr>
            <w:r>
              <w:rPr>
                <w:color w:val="000000"/>
                <w:sz w:val="21"/>
                <w:szCs w:val="21"/>
              </w:rPr>
              <w:t>在线监测仪废液</w:t>
            </w:r>
          </w:p>
        </w:tc>
        <w:tc>
          <w:tcPr>
            <w:tcW w:w="2081" w:type="dxa"/>
            <w:tcBorders>
              <w:tl2br w:val="nil"/>
              <w:tr2bl w:val="nil"/>
            </w:tcBorders>
            <w:noWrap w:val="0"/>
            <w:vAlign w:val="center"/>
          </w:tcPr>
          <w:p>
            <w:pPr>
              <w:spacing w:line="340" w:lineRule="exact"/>
              <w:ind w:firstLine="0" w:firstLineChars="0"/>
              <w:jc w:val="center"/>
              <w:rPr>
                <w:color w:val="000000"/>
                <w:sz w:val="21"/>
                <w:szCs w:val="21"/>
              </w:rPr>
            </w:pPr>
            <w:r>
              <w:rPr>
                <w:color w:val="000000"/>
                <w:sz w:val="21"/>
                <w:szCs w:val="21"/>
              </w:rPr>
              <w:t>在线监测室、化验室</w:t>
            </w:r>
          </w:p>
        </w:tc>
        <w:tc>
          <w:tcPr>
            <w:tcW w:w="1144" w:type="dxa"/>
            <w:tcBorders>
              <w:tl2br w:val="nil"/>
              <w:tr2bl w:val="nil"/>
            </w:tcBorders>
            <w:noWrap w:val="0"/>
            <w:vAlign w:val="center"/>
          </w:tcPr>
          <w:p>
            <w:pPr>
              <w:spacing w:line="340" w:lineRule="exact"/>
              <w:ind w:firstLine="0" w:firstLineChars="0"/>
              <w:jc w:val="center"/>
              <w:rPr>
                <w:color w:val="000000"/>
                <w:sz w:val="21"/>
                <w:szCs w:val="21"/>
              </w:rPr>
            </w:pPr>
            <w:r>
              <w:rPr>
                <w:color w:val="000000"/>
                <w:sz w:val="21"/>
                <w:szCs w:val="21"/>
              </w:rPr>
              <w:t>危险废物</w:t>
            </w:r>
          </w:p>
        </w:tc>
        <w:tc>
          <w:tcPr>
            <w:tcW w:w="900" w:type="dxa"/>
            <w:tcBorders>
              <w:tl2br w:val="nil"/>
              <w:tr2bl w:val="nil"/>
            </w:tcBorders>
            <w:noWrap w:val="0"/>
            <w:vAlign w:val="center"/>
          </w:tcPr>
          <w:p>
            <w:pPr>
              <w:spacing w:line="340" w:lineRule="exact"/>
              <w:ind w:firstLine="0" w:firstLineChars="0"/>
              <w:jc w:val="center"/>
              <w:rPr>
                <w:color w:val="000000"/>
                <w:sz w:val="21"/>
                <w:szCs w:val="21"/>
              </w:rPr>
            </w:pPr>
            <w:r>
              <w:rPr>
                <w:rFonts w:hint="eastAsia"/>
                <w:color w:val="000000"/>
                <w:sz w:val="21"/>
                <w:szCs w:val="21"/>
              </w:rPr>
              <w:t>1.5t</w:t>
            </w:r>
            <w:r>
              <w:rPr>
                <w:color w:val="000000"/>
                <w:sz w:val="21"/>
                <w:szCs w:val="21"/>
              </w:rPr>
              <w:t>/a</w:t>
            </w:r>
          </w:p>
        </w:tc>
        <w:tc>
          <w:tcPr>
            <w:tcW w:w="3363" w:type="dxa"/>
            <w:vMerge w:val="continue"/>
            <w:tcBorders>
              <w:tl2br w:val="nil"/>
              <w:tr2bl w:val="nil"/>
            </w:tcBorders>
            <w:noWrap w:val="0"/>
            <w:vAlign w:val="center"/>
          </w:tcPr>
          <w:p>
            <w:pPr>
              <w:spacing w:line="340" w:lineRule="exact"/>
              <w:ind w:firstLine="0" w:firstLineChars="0"/>
              <w:jc w:val="center"/>
              <w:rPr>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0" w:type="dxa"/>
            <w:tcBorders>
              <w:tl2br w:val="nil"/>
              <w:tr2bl w:val="nil"/>
            </w:tcBorders>
            <w:noWrap w:val="0"/>
            <w:vAlign w:val="center"/>
          </w:tcPr>
          <w:p>
            <w:pPr>
              <w:spacing w:line="340" w:lineRule="exact"/>
              <w:ind w:firstLine="0" w:firstLineChars="0"/>
              <w:jc w:val="center"/>
              <w:rPr>
                <w:color w:val="000000"/>
                <w:sz w:val="21"/>
                <w:szCs w:val="21"/>
              </w:rPr>
            </w:pPr>
            <w:r>
              <w:rPr>
                <w:color w:val="000000"/>
                <w:sz w:val="21"/>
                <w:szCs w:val="21"/>
              </w:rPr>
              <w:t>废药品及包装</w:t>
            </w:r>
          </w:p>
        </w:tc>
        <w:tc>
          <w:tcPr>
            <w:tcW w:w="2081" w:type="dxa"/>
            <w:tcBorders>
              <w:tl2br w:val="nil"/>
              <w:tr2bl w:val="nil"/>
            </w:tcBorders>
            <w:noWrap w:val="0"/>
            <w:vAlign w:val="center"/>
          </w:tcPr>
          <w:p>
            <w:pPr>
              <w:spacing w:line="340" w:lineRule="exact"/>
              <w:ind w:firstLine="0" w:firstLineChars="0"/>
              <w:jc w:val="center"/>
              <w:rPr>
                <w:color w:val="000000"/>
                <w:sz w:val="21"/>
                <w:szCs w:val="21"/>
              </w:rPr>
            </w:pPr>
            <w:r>
              <w:rPr>
                <w:color w:val="000000"/>
                <w:sz w:val="21"/>
                <w:szCs w:val="21"/>
              </w:rPr>
              <w:t>化验室</w:t>
            </w:r>
          </w:p>
        </w:tc>
        <w:tc>
          <w:tcPr>
            <w:tcW w:w="1144" w:type="dxa"/>
            <w:tcBorders>
              <w:tl2br w:val="nil"/>
              <w:tr2bl w:val="nil"/>
            </w:tcBorders>
            <w:noWrap w:val="0"/>
            <w:vAlign w:val="center"/>
          </w:tcPr>
          <w:p>
            <w:pPr>
              <w:spacing w:line="340" w:lineRule="exact"/>
              <w:ind w:firstLine="0" w:firstLineChars="0"/>
              <w:jc w:val="center"/>
              <w:rPr>
                <w:color w:val="000000"/>
                <w:sz w:val="21"/>
                <w:szCs w:val="21"/>
              </w:rPr>
            </w:pPr>
            <w:r>
              <w:rPr>
                <w:color w:val="000000"/>
                <w:sz w:val="21"/>
                <w:szCs w:val="21"/>
              </w:rPr>
              <w:t>危险废物</w:t>
            </w:r>
          </w:p>
        </w:tc>
        <w:tc>
          <w:tcPr>
            <w:tcW w:w="900" w:type="dxa"/>
            <w:tcBorders>
              <w:tl2br w:val="nil"/>
              <w:tr2bl w:val="nil"/>
            </w:tcBorders>
            <w:noWrap w:val="0"/>
            <w:vAlign w:val="center"/>
          </w:tcPr>
          <w:p>
            <w:pPr>
              <w:spacing w:line="340" w:lineRule="exact"/>
              <w:ind w:firstLine="0" w:firstLineChars="0"/>
              <w:jc w:val="center"/>
              <w:rPr>
                <w:color w:val="000000"/>
                <w:sz w:val="21"/>
                <w:szCs w:val="21"/>
              </w:rPr>
            </w:pPr>
            <w:r>
              <w:rPr>
                <w:rFonts w:hint="eastAsia"/>
                <w:color w:val="000000"/>
                <w:sz w:val="21"/>
                <w:szCs w:val="21"/>
              </w:rPr>
              <w:t>1</w:t>
            </w:r>
            <w:r>
              <w:rPr>
                <w:color w:val="000000"/>
                <w:sz w:val="21"/>
                <w:szCs w:val="21"/>
              </w:rPr>
              <w:t>t/a</w:t>
            </w:r>
          </w:p>
        </w:tc>
        <w:tc>
          <w:tcPr>
            <w:tcW w:w="3363" w:type="dxa"/>
            <w:vMerge w:val="continue"/>
            <w:tcBorders>
              <w:tl2br w:val="nil"/>
              <w:tr2bl w:val="nil"/>
            </w:tcBorders>
            <w:noWrap w:val="0"/>
            <w:vAlign w:val="center"/>
          </w:tcPr>
          <w:p>
            <w:pPr>
              <w:spacing w:line="340" w:lineRule="exact"/>
              <w:ind w:firstLine="0" w:firstLineChars="0"/>
              <w:jc w:val="center"/>
              <w:rPr>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0" w:type="dxa"/>
            <w:tcBorders>
              <w:tl2br w:val="nil"/>
              <w:tr2bl w:val="nil"/>
            </w:tcBorders>
            <w:noWrap w:val="0"/>
            <w:vAlign w:val="center"/>
          </w:tcPr>
          <w:p>
            <w:pPr>
              <w:spacing w:line="340" w:lineRule="exact"/>
              <w:ind w:firstLine="0" w:firstLineChars="0"/>
              <w:jc w:val="center"/>
              <w:rPr>
                <w:rFonts w:hint="default" w:eastAsia="宋体"/>
                <w:color w:val="000000"/>
                <w:sz w:val="21"/>
                <w:szCs w:val="21"/>
                <w:lang w:val="en-US" w:eastAsia="zh-CN"/>
              </w:rPr>
            </w:pPr>
            <w:bookmarkStart w:id="61" w:name="_Toc23373"/>
            <w:bookmarkStart w:id="62" w:name="_Toc5758"/>
            <w:bookmarkStart w:id="63" w:name="_Toc8233"/>
            <w:bookmarkStart w:id="64" w:name="_Toc519171333"/>
            <w:r>
              <w:rPr>
                <w:rFonts w:hint="eastAsia"/>
                <w:color w:val="000000"/>
                <w:sz w:val="21"/>
                <w:szCs w:val="21"/>
                <w:lang w:val="en-US" w:eastAsia="zh-CN"/>
              </w:rPr>
              <w:t>填料塔滤料</w:t>
            </w:r>
          </w:p>
        </w:tc>
        <w:tc>
          <w:tcPr>
            <w:tcW w:w="2081" w:type="dxa"/>
            <w:tcBorders>
              <w:tl2br w:val="nil"/>
              <w:tr2bl w:val="nil"/>
            </w:tcBorders>
            <w:noWrap w:val="0"/>
            <w:vAlign w:val="center"/>
          </w:tcPr>
          <w:p>
            <w:pPr>
              <w:spacing w:line="340" w:lineRule="exact"/>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生物除臭</w:t>
            </w:r>
          </w:p>
        </w:tc>
        <w:tc>
          <w:tcPr>
            <w:tcW w:w="1144" w:type="dxa"/>
            <w:tcBorders>
              <w:tl2br w:val="nil"/>
              <w:tr2bl w:val="nil"/>
            </w:tcBorders>
            <w:noWrap w:val="0"/>
            <w:vAlign w:val="center"/>
          </w:tcPr>
          <w:p>
            <w:pPr>
              <w:spacing w:line="340" w:lineRule="exact"/>
              <w:ind w:firstLine="0" w:firstLineChars="0"/>
              <w:jc w:val="center"/>
              <w:rPr>
                <w:rFonts w:hint="default"/>
                <w:color w:val="000000"/>
                <w:sz w:val="21"/>
                <w:szCs w:val="21"/>
                <w:lang w:val="en-US" w:eastAsia="zh-CN"/>
              </w:rPr>
            </w:pPr>
            <w:r>
              <w:rPr>
                <w:rFonts w:hint="eastAsia"/>
                <w:color w:val="000000"/>
                <w:sz w:val="21"/>
                <w:szCs w:val="21"/>
                <w:lang w:val="en-US" w:eastAsia="zh-CN"/>
              </w:rPr>
              <w:t>/</w:t>
            </w:r>
          </w:p>
        </w:tc>
        <w:tc>
          <w:tcPr>
            <w:tcW w:w="900" w:type="dxa"/>
            <w:tcBorders>
              <w:tl2br w:val="nil"/>
              <w:tr2bl w:val="nil"/>
            </w:tcBorders>
            <w:noWrap w:val="0"/>
            <w:vAlign w:val="center"/>
          </w:tcPr>
          <w:p>
            <w:pPr>
              <w:spacing w:line="340" w:lineRule="exact"/>
              <w:ind w:firstLine="0" w:firstLineChars="0"/>
              <w:jc w:val="center"/>
              <w:rPr>
                <w:rFonts w:hint="default"/>
                <w:color w:val="000000"/>
                <w:sz w:val="21"/>
                <w:szCs w:val="21"/>
                <w:lang w:val="en-US" w:eastAsia="zh-CN"/>
              </w:rPr>
            </w:pPr>
            <w:r>
              <w:rPr>
                <w:rFonts w:hint="eastAsia"/>
                <w:color w:val="000000"/>
                <w:sz w:val="21"/>
                <w:szCs w:val="21"/>
                <w:lang w:val="en-US" w:eastAsia="zh-CN"/>
              </w:rPr>
              <w:t>1t/a</w:t>
            </w:r>
          </w:p>
        </w:tc>
        <w:tc>
          <w:tcPr>
            <w:tcW w:w="3363" w:type="dxa"/>
            <w:tcBorders>
              <w:tl2br w:val="nil"/>
              <w:tr2bl w:val="nil"/>
            </w:tcBorders>
            <w:noWrap w:val="0"/>
            <w:vAlign w:val="center"/>
          </w:tcPr>
          <w:p>
            <w:pPr>
              <w:spacing w:line="340" w:lineRule="exact"/>
              <w:ind w:firstLine="0" w:firstLineChars="0"/>
              <w:jc w:val="center"/>
              <w:rPr>
                <w:rFonts w:hint="default"/>
                <w:color w:val="000000"/>
                <w:sz w:val="21"/>
                <w:szCs w:val="21"/>
                <w:lang w:val="en-US" w:eastAsia="zh-CN"/>
              </w:rPr>
            </w:pPr>
            <w:r>
              <w:rPr>
                <w:rFonts w:hint="eastAsia"/>
                <w:color w:val="000000"/>
                <w:sz w:val="21"/>
                <w:szCs w:val="21"/>
                <w:lang w:val="en-US" w:eastAsia="zh-CN"/>
              </w:rPr>
              <w:t>交由厂家回收处置</w:t>
            </w:r>
          </w:p>
        </w:tc>
      </w:tr>
    </w:tbl>
    <w:p>
      <w:pPr>
        <w:pStyle w:val="5"/>
        <w:keepLines w:val="0"/>
        <w:numPr>
          <w:ilvl w:val="1"/>
          <w:numId w:val="0"/>
        </w:numPr>
        <w:tabs>
          <w:tab w:val="left" w:pos="1134"/>
        </w:tabs>
        <w:adjustRightInd/>
        <w:textAlignment w:val="auto"/>
        <w:rPr>
          <w:bCs/>
          <w:szCs w:val="30"/>
        </w:rPr>
      </w:pPr>
      <w:bookmarkStart w:id="65" w:name="_Toc11202"/>
      <w:r>
        <w:rPr>
          <w:bCs/>
          <w:szCs w:val="30"/>
        </w:rPr>
        <w:t>4.2其他环境保护设施及措施</w:t>
      </w:r>
      <w:bookmarkEnd w:id="61"/>
      <w:bookmarkEnd w:id="62"/>
      <w:bookmarkEnd w:id="63"/>
      <w:bookmarkEnd w:id="65"/>
    </w:p>
    <w:p>
      <w:pPr>
        <w:pStyle w:val="6"/>
        <w:wordWrap w:val="0"/>
        <w:topLinePunct/>
        <w:jc w:val="both"/>
        <w:rPr>
          <w:rFonts w:hint="eastAsia"/>
          <w:kern w:val="2"/>
          <w:szCs w:val="28"/>
        </w:rPr>
      </w:pPr>
      <w:r>
        <w:rPr>
          <w:rFonts w:hint="eastAsia"/>
          <w:kern w:val="2"/>
          <w:szCs w:val="28"/>
        </w:rPr>
        <w:t>4.2.</w:t>
      </w:r>
      <w:r>
        <w:rPr>
          <w:rFonts w:hint="eastAsia"/>
          <w:kern w:val="2"/>
          <w:szCs w:val="28"/>
          <w:lang w:val="en-US" w:eastAsia="zh-CN"/>
        </w:rPr>
        <w:t>1</w:t>
      </w:r>
      <w:r>
        <w:rPr>
          <w:rFonts w:hint="eastAsia"/>
          <w:kern w:val="2"/>
          <w:szCs w:val="28"/>
        </w:rPr>
        <w:t>管网建设情况</w:t>
      </w:r>
    </w:p>
    <w:p>
      <w:pPr>
        <w:bidi w:val="0"/>
        <w:rPr>
          <w:rFonts w:hint="default" w:eastAsia="宋体"/>
          <w:lang w:val="en-US" w:eastAsia="zh-CN"/>
        </w:rPr>
      </w:pPr>
      <w:r>
        <w:rPr>
          <w:rFonts w:hint="eastAsia"/>
        </w:rPr>
        <w:t>本项目新建</w:t>
      </w:r>
      <w:r>
        <w:rPr>
          <w:rFonts w:hint="eastAsia"/>
          <w:lang w:eastAsia="zh-CN"/>
        </w:rPr>
        <w:t>排水</w:t>
      </w:r>
      <w:r>
        <w:rPr>
          <w:rFonts w:hint="eastAsia"/>
        </w:rPr>
        <w:t>管道</w:t>
      </w:r>
      <w:r>
        <w:rPr>
          <w:rFonts w:hint="eastAsia"/>
          <w:lang w:val="en-US" w:eastAsia="zh-CN"/>
        </w:rPr>
        <w:t>约2890</w:t>
      </w:r>
      <w:r>
        <w:rPr>
          <w:rFonts w:hint="eastAsia"/>
        </w:rPr>
        <w:t>m，</w:t>
      </w:r>
      <w:r>
        <w:rPr>
          <w:rFonts w:hint="eastAsia"/>
          <w:lang w:val="en-US" w:eastAsia="zh-CN"/>
        </w:rPr>
        <w:t>主要为尾水排放管道。本项目污水收纳官网已建成，收水范围主要是：绵竹装备制造产业园（原新市物流园）企业生产废水及生活污水、孝德镇清道社区及年俗村新村的生活污水。</w:t>
      </w:r>
    </w:p>
    <w:p>
      <w:pPr>
        <w:bidi w:val="0"/>
        <w:rPr>
          <w:rFonts w:hint="eastAsia" w:eastAsia="宋体"/>
          <w:lang w:eastAsia="zh-CN"/>
        </w:rPr>
      </w:pPr>
      <w:r>
        <w:rPr>
          <w:rFonts w:hint="eastAsia"/>
        </w:rPr>
        <w:t>项目管道工程施工期流程为沟槽开挖、埋管架管、管道连接、覆土砌实、植被恢复</w:t>
      </w:r>
      <w:r>
        <w:rPr>
          <w:rFonts w:hint="eastAsia"/>
          <w:lang w:eastAsia="zh-CN"/>
        </w:rPr>
        <w:t>。</w:t>
      </w:r>
      <w:r>
        <w:rPr>
          <w:rFonts w:hint="eastAsia"/>
          <w:lang w:val="en-US" w:eastAsia="zh-CN"/>
        </w:rPr>
        <w:t>本项目</w:t>
      </w:r>
      <w:r>
        <w:rPr>
          <w:rFonts w:hint="eastAsia"/>
        </w:rPr>
        <w:t>管道施工采用大开挖施工方式施工</w:t>
      </w:r>
      <w:r>
        <w:rPr>
          <w:rFonts w:hint="eastAsia"/>
          <w:lang w:eastAsia="zh-CN"/>
        </w:rPr>
        <w:t>，</w:t>
      </w:r>
      <w:r>
        <w:rPr>
          <w:rFonts w:hint="eastAsia"/>
        </w:rPr>
        <w:t>管道区面积为开挖断面和作业带（临时施工、堆放管材、堆放土石方）面积之和</w:t>
      </w:r>
      <w:r>
        <w:rPr>
          <w:rFonts w:hint="eastAsia"/>
          <w:lang w:eastAsia="zh-CN"/>
        </w:rPr>
        <w:t>。</w:t>
      </w:r>
      <w:r>
        <w:rPr>
          <w:rFonts w:hint="eastAsia"/>
        </w:rPr>
        <w:t>项目采用“随挖随安随填”，回填后剩下的弃渣全部运往厂区回填</w:t>
      </w:r>
      <w:r>
        <w:rPr>
          <w:rFonts w:hint="eastAsia"/>
          <w:lang w:eastAsia="zh-CN"/>
        </w:rPr>
        <w:t>。</w:t>
      </w:r>
    </w:p>
    <w:p>
      <w:pPr>
        <w:bidi w:val="0"/>
        <w:rPr>
          <w:rFonts w:hint="eastAsia"/>
        </w:rPr>
      </w:pPr>
      <w:r>
        <w:rPr>
          <w:rFonts w:hint="eastAsia"/>
        </w:rPr>
        <w:t>本项目</w:t>
      </w:r>
      <w:r>
        <w:rPr>
          <w:rFonts w:hint="eastAsia"/>
          <w:lang w:val="en-US" w:eastAsia="zh-CN"/>
        </w:rPr>
        <w:t>管道建设采取的</w:t>
      </w:r>
      <w:r>
        <w:rPr>
          <w:rFonts w:hint="eastAsia"/>
        </w:rPr>
        <w:t>生态保护措施如下：</w:t>
      </w:r>
    </w:p>
    <w:p>
      <w:pPr>
        <w:bidi w:val="0"/>
        <w:rPr>
          <w:rFonts w:hint="eastAsia"/>
        </w:rPr>
      </w:pPr>
      <w:r>
        <w:rPr>
          <w:rFonts w:hint="eastAsia"/>
        </w:rPr>
        <w:t>①施工过程中破坏的植被在工程竣工后应尽快恢复，并严格控制临时占地；</w:t>
      </w:r>
    </w:p>
    <w:p>
      <w:pPr>
        <w:bidi w:val="0"/>
        <w:rPr>
          <w:rFonts w:hint="eastAsia"/>
        </w:rPr>
      </w:pPr>
      <w:r>
        <w:rPr>
          <w:rFonts w:hint="eastAsia"/>
        </w:rPr>
        <w:t>②管网施工做好了水土流失防护工作；</w:t>
      </w:r>
    </w:p>
    <w:p>
      <w:pPr>
        <w:bidi w:val="0"/>
        <w:rPr>
          <w:rFonts w:hint="eastAsia"/>
        </w:rPr>
      </w:pPr>
      <w:r>
        <w:rPr>
          <w:rFonts w:hint="eastAsia"/>
        </w:rPr>
        <w:t>③在开挖地表土壤时，施工单位将表土堆在一旁，施工完毕后，尽快整理施工现场，将表土覆盖原地表，</w:t>
      </w:r>
      <w:r>
        <w:rPr>
          <w:rFonts w:hint="eastAsia"/>
          <w:lang w:val="en-US" w:eastAsia="zh-CN"/>
        </w:rPr>
        <w:t>并通过播撒草籽、移栽灌木等措施</w:t>
      </w:r>
      <w:r>
        <w:rPr>
          <w:rFonts w:hint="eastAsia"/>
        </w:rPr>
        <w:t>恢复植被；</w:t>
      </w:r>
    </w:p>
    <w:p>
      <w:pPr>
        <w:bidi w:val="0"/>
        <w:rPr>
          <w:rFonts w:hint="eastAsia"/>
        </w:rPr>
      </w:pPr>
      <w:r>
        <w:rPr>
          <w:rFonts w:hint="eastAsia"/>
        </w:rPr>
        <w:t>④因管线工程挖方均堆于管线两侧，弃土堆放点采取了防护措施，尽量避免了在降雨期间挖填土方，以防雨水冲刷造成水土流失。</w:t>
      </w:r>
    </w:p>
    <w:p>
      <w:pPr>
        <w:bidi w:val="0"/>
        <w:rPr>
          <w:rFonts w:hint="eastAsia" w:eastAsia="宋体"/>
          <w:lang w:eastAsia="zh-CN"/>
        </w:rPr>
      </w:pPr>
      <w:r>
        <w:rPr>
          <w:rFonts w:hint="eastAsia"/>
        </w:rPr>
        <w:t>⑤施工中合理规划施工工序，使施工开挖土石方中可用于回填的部分能及时填筑，场地内土石方平衡；同时施工中加强了管理，</w:t>
      </w:r>
      <w:r>
        <w:rPr>
          <w:rFonts w:hint="eastAsia"/>
          <w:lang w:val="en-US" w:eastAsia="zh-CN"/>
        </w:rPr>
        <w:t>禁止</w:t>
      </w:r>
      <w:r>
        <w:rPr>
          <w:rFonts w:hint="eastAsia"/>
        </w:rPr>
        <w:t>随意堆放、倾倒，施工过程中未将渣土入河造成二次污染。在施工场地周边设置了临时排水沟，以拦截地表径流冲刷，减少水土流失，起到了临时防护作用</w:t>
      </w:r>
      <w:r>
        <w:rPr>
          <w:rFonts w:hint="eastAsia"/>
          <w:lang w:eastAsia="zh-CN"/>
        </w:rPr>
        <w:t>。</w:t>
      </w:r>
    </w:p>
    <w:p>
      <w:pPr>
        <w:bidi w:val="0"/>
        <w:rPr>
          <w:rFonts w:hint="eastAsia"/>
        </w:rPr>
      </w:pPr>
      <w:r>
        <w:rPr>
          <w:rFonts w:hint="eastAsia"/>
        </w:rPr>
        <w:t>经现场勘查，本项目配套</w:t>
      </w:r>
      <w:r>
        <w:rPr>
          <w:rFonts w:hint="eastAsia"/>
          <w:lang w:val="en-US" w:eastAsia="zh-CN"/>
        </w:rPr>
        <w:t>排水</w:t>
      </w:r>
      <w:r>
        <w:rPr>
          <w:rFonts w:hint="eastAsia"/>
        </w:rPr>
        <w:t>管网建设</w:t>
      </w:r>
      <w:r>
        <w:rPr>
          <w:rFonts w:hint="eastAsia"/>
          <w:lang w:val="en-US" w:eastAsia="zh-CN"/>
        </w:rPr>
        <w:t>已</w:t>
      </w:r>
      <w:r>
        <w:rPr>
          <w:rFonts w:hint="eastAsia"/>
        </w:rPr>
        <w:t>完成，施工期开挖路面均已恢复原状；沿线管网不经过自然保护区等环境敏感区域，经调查，本项目管网施工阶段未收到沿线民众投诉。</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4"/>
        <w:gridCol w:w="4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noWrap w:val="0"/>
            <w:vAlign w:val="top"/>
          </w:tcPr>
          <w:p>
            <w:pPr>
              <w:pStyle w:val="29"/>
              <w:bidi w:val="0"/>
              <w:spacing w:line="240" w:lineRule="auto"/>
              <w:ind w:firstLine="0" w:firstLineChars="0"/>
              <w:rPr>
                <w:rFonts w:hint="eastAsia" w:ascii="Times New Roman" w:hAnsi="Times New Roman" w:eastAsia="宋体"/>
                <w:kern w:val="2"/>
                <w:sz w:val="21"/>
                <w:szCs w:val="22"/>
                <w:lang w:val="en-US" w:eastAsia="zh-CN" w:bidi="ar-SA"/>
              </w:rPr>
            </w:pPr>
            <w:r>
              <w:rPr>
                <w:rFonts w:hint="eastAsia" w:eastAsia="宋体"/>
                <w:lang w:eastAsia="zh-CN"/>
              </w:rPr>
              <w:drawing>
                <wp:inline distT="0" distB="0" distL="114300" distR="114300">
                  <wp:extent cx="2811780" cy="2108835"/>
                  <wp:effectExtent l="0" t="0" r="7620" b="5715"/>
                  <wp:docPr id="9" name="图片 35" descr="厂区施工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5" descr="厂区施工前"/>
                          <pic:cNvPicPr>
                            <a:picLocks noChangeAspect="1"/>
                          </pic:cNvPicPr>
                        </pic:nvPicPr>
                        <pic:blipFill>
                          <a:blip r:embed="rId32"/>
                          <a:stretch>
                            <a:fillRect/>
                          </a:stretch>
                        </pic:blipFill>
                        <pic:spPr>
                          <a:xfrm>
                            <a:off x="0" y="0"/>
                            <a:ext cx="2811780" cy="2108835"/>
                          </a:xfrm>
                          <a:prstGeom prst="rect">
                            <a:avLst/>
                          </a:prstGeom>
                          <a:noFill/>
                          <a:ln>
                            <a:noFill/>
                          </a:ln>
                        </pic:spPr>
                      </pic:pic>
                    </a:graphicData>
                  </a:graphic>
                </wp:inline>
              </w:drawing>
            </w:r>
          </w:p>
        </w:tc>
        <w:tc>
          <w:tcPr>
            <w:tcW w:w="4644" w:type="dxa"/>
            <w:noWrap w:val="0"/>
            <w:vAlign w:val="top"/>
          </w:tcPr>
          <w:p>
            <w:pPr>
              <w:pStyle w:val="29"/>
              <w:bidi w:val="0"/>
              <w:spacing w:line="240" w:lineRule="auto"/>
              <w:ind w:firstLine="0" w:firstLineChars="0"/>
              <w:rPr>
                <w:rFonts w:hint="eastAsia" w:ascii="Times New Roman" w:hAnsi="Times New Roman" w:eastAsia="宋体"/>
                <w:kern w:val="2"/>
                <w:sz w:val="21"/>
                <w:szCs w:val="22"/>
                <w:lang w:val="en-US" w:eastAsia="zh-CN" w:bidi="ar-SA"/>
              </w:rPr>
            </w:pPr>
            <w:r>
              <w:rPr>
                <w:rFonts w:hint="eastAsia" w:eastAsia="宋体"/>
                <w:lang w:eastAsia="zh-CN"/>
              </w:rPr>
              <w:drawing>
                <wp:inline distT="0" distB="0" distL="114300" distR="114300">
                  <wp:extent cx="2804795" cy="2102485"/>
                  <wp:effectExtent l="0" t="0" r="14605" b="12065"/>
                  <wp:docPr id="10" name="图片 36" descr="管网施工中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6" descr="管网施工中3"/>
                          <pic:cNvPicPr>
                            <a:picLocks noChangeAspect="1"/>
                          </pic:cNvPicPr>
                        </pic:nvPicPr>
                        <pic:blipFill>
                          <a:blip r:embed="rId33"/>
                          <a:stretch>
                            <a:fillRect/>
                          </a:stretch>
                        </pic:blipFill>
                        <pic:spPr>
                          <a:xfrm>
                            <a:off x="0" y="0"/>
                            <a:ext cx="2804795" cy="21024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noWrap w:val="0"/>
            <w:vAlign w:val="top"/>
          </w:tcPr>
          <w:p>
            <w:pPr>
              <w:pStyle w:val="29"/>
              <w:bidi w:val="0"/>
              <w:spacing w:line="240" w:lineRule="auto"/>
              <w:ind w:firstLine="0" w:firstLineChars="0"/>
              <w:rPr>
                <w:rFonts w:hint="default" w:ascii="Times New Roman" w:hAnsi="Times New Roman" w:eastAsia="宋体"/>
                <w:kern w:val="2"/>
                <w:sz w:val="21"/>
                <w:szCs w:val="22"/>
                <w:lang w:val="en-US" w:eastAsia="zh-CN" w:bidi="ar-SA"/>
              </w:rPr>
            </w:pPr>
            <w:r>
              <w:rPr>
                <w:rFonts w:hint="eastAsia"/>
                <w:kern w:val="2"/>
                <w:sz w:val="21"/>
                <w:szCs w:val="22"/>
                <w:lang w:val="en-US" w:eastAsia="zh-CN" w:bidi="ar-SA"/>
              </w:rPr>
              <w:t>施工前</w:t>
            </w:r>
          </w:p>
        </w:tc>
        <w:tc>
          <w:tcPr>
            <w:tcW w:w="4644" w:type="dxa"/>
            <w:noWrap w:val="0"/>
            <w:vAlign w:val="top"/>
          </w:tcPr>
          <w:p>
            <w:pPr>
              <w:pStyle w:val="29"/>
              <w:bidi w:val="0"/>
              <w:spacing w:line="240" w:lineRule="auto"/>
              <w:ind w:firstLine="0" w:firstLineChars="0"/>
              <w:rPr>
                <w:rFonts w:hint="default" w:ascii="Times New Roman" w:hAnsi="Times New Roman" w:eastAsia="宋体"/>
                <w:kern w:val="2"/>
                <w:sz w:val="21"/>
                <w:szCs w:val="22"/>
                <w:lang w:val="en-US" w:eastAsia="zh-CN" w:bidi="ar-SA"/>
              </w:rPr>
            </w:pPr>
            <w:r>
              <w:rPr>
                <w:rFonts w:hint="eastAsia" w:eastAsia="宋体"/>
                <w:kern w:val="2"/>
                <w:sz w:val="21"/>
                <w:szCs w:val="22"/>
                <w:lang w:val="en-US" w:eastAsia="zh-CN" w:bidi="ar-SA"/>
              </w:rPr>
              <w:t>管网施工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noWrap w:val="0"/>
            <w:vAlign w:val="top"/>
          </w:tcPr>
          <w:p>
            <w:pPr>
              <w:pStyle w:val="29"/>
              <w:bidi w:val="0"/>
              <w:spacing w:line="240" w:lineRule="auto"/>
              <w:rPr>
                <w:rFonts w:hint="eastAsia" w:eastAsia="宋体"/>
                <w:lang w:eastAsia="zh-CN"/>
              </w:rPr>
            </w:pPr>
            <w:r>
              <w:rPr>
                <w:rFonts w:hint="eastAsia" w:eastAsia="宋体"/>
                <w:lang w:eastAsia="zh-CN"/>
              </w:rPr>
              <w:drawing>
                <wp:inline distT="0" distB="0" distL="114300" distR="114300">
                  <wp:extent cx="2808605" cy="3744595"/>
                  <wp:effectExtent l="0" t="0" r="10795" b="8255"/>
                  <wp:docPr id="11" name="图片 24" descr="管网施工中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 descr="管网施工中1"/>
                          <pic:cNvPicPr>
                            <a:picLocks noChangeAspect="1"/>
                          </pic:cNvPicPr>
                        </pic:nvPicPr>
                        <pic:blipFill>
                          <a:blip r:embed="rId34"/>
                          <a:stretch>
                            <a:fillRect/>
                          </a:stretch>
                        </pic:blipFill>
                        <pic:spPr>
                          <a:xfrm>
                            <a:off x="0" y="0"/>
                            <a:ext cx="2808605" cy="3744595"/>
                          </a:xfrm>
                          <a:prstGeom prst="rect">
                            <a:avLst/>
                          </a:prstGeom>
                          <a:noFill/>
                          <a:ln>
                            <a:noFill/>
                          </a:ln>
                        </pic:spPr>
                      </pic:pic>
                    </a:graphicData>
                  </a:graphic>
                </wp:inline>
              </w:drawing>
            </w:r>
          </w:p>
        </w:tc>
        <w:tc>
          <w:tcPr>
            <w:tcW w:w="4644" w:type="dxa"/>
            <w:noWrap w:val="0"/>
            <w:vAlign w:val="top"/>
          </w:tcPr>
          <w:p>
            <w:pPr>
              <w:pStyle w:val="29"/>
              <w:bidi w:val="0"/>
              <w:spacing w:line="240" w:lineRule="auto"/>
            </w:pPr>
            <w:r>
              <w:drawing>
                <wp:inline distT="0" distB="0" distL="114300" distR="114300">
                  <wp:extent cx="2796540" cy="3729355"/>
                  <wp:effectExtent l="0" t="0" r="3810" b="4445"/>
                  <wp:docPr id="12" name="图片 32" descr="管网施工中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descr="管网施工中2"/>
                          <pic:cNvPicPr>
                            <a:picLocks noChangeAspect="1"/>
                          </pic:cNvPicPr>
                        </pic:nvPicPr>
                        <pic:blipFill>
                          <a:blip r:embed="rId35"/>
                          <a:stretch>
                            <a:fillRect/>
                          </a:stretch>
                        </pic:blipFill>
                        <pic:spPr>
                          <a:xfrm>
                            <a:off x="0" y="0"/>
                            <a:ext cx="2796540" cy="37293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noWrap w:val="0"/>
            <w:vAlign w:val="top"/>
          </w:tcPr>
          <w:p>
            <w:pPr>
              <w:pStyle w:val="29"/>
              <w:bidi w:val="0"/>
              <w:spacing w:line="240" w:lineRule="auto"/>
            </w:pPr>
            <w:r>
              <w:rPr>
                <w:rFonts w:hint="eastAsia" w:eastAsia="宋体"/>
                <w:kern w:val="2"/>
                <w:sz w:val="21"/>
                <w:szCs w:val="22"/>
                <w:lang w:val="en-US" w:eastAsia="zh-CN" w:bidi="ar-SA"/>
              </w:rPr>
              <w:t>管网施工</w:t>
            </w:r>
          </w:p>
        </w:tc>
        <w:tc>
          <w:tcPr>
            <w:tcW w:w="4644" w:type="dxa"/>
            <w:noWrap w:val="0"/>
            <w:vAlign w:val="top"/>
          </w:tcPr>
          <w:p>
            <w:pPr>
              <w:pStyle w:val="29"/>
              <w:bidi w:val="0"/>
              <w:spacing w:line="240" w:lineRule="auto"/>
            </w:pPr>
            <w:r>
              <w:rPr>
                <w:rFonts w:hint="eastAsia" w:eastAsia="宋体"/>
                <w:kern w:val="2"/>
                <w:sz w:val="21"/>
                <w:szCs w:val="22"/>
                <w:lang w:val="en-US" w:eastAsia="zh-CN" w:bidi="ar-SA"/>
              </w:rPr>
              <w:t>管网施工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noWrap w:val="0"/>
            <w:vAlign w:val="top"/>
          </w:tcPr>
          <w:p>
            <w:pPr>
              <w:pStyle w:val="29"/>
              <w:bidi w:val="0"/>
              <w:spacing w:line="240" w:lineRule="auto"/>
              <w:rPr>
                <w:rFonts w:hint="eastAsia" w:eastAsia="宋体"/>
                <w:kern w:val="2"/>
                <w:sz w:val="21"/>
                <w:szCs w:val="22"/>
                <w:lang w:val="en-US" w:eastAsia="zh-CN" w:bidi="ar-SA"/>
              </w:rPr>
            </w:pPr>
            <w:r>
              <w:rPr>
                <w:rFonts w:hint="eastAsia" w:eastAsia="宋体"/>
                <w:kern w:val="2"/>
                <w:sz w:val="21"/>
                <w:szCs w:val="22"/>
                <w:lang w:val="en-US" w:eastAsia="zh-CN" w:bidi="ar-SA"/>
              </w:rPr>
              <w:drawing>
                <wp:inline distT="0" distB="0" distL="114300" distR="114300">
                  <wp:extent cx="2811145" cy="2109470"/>
                  <wp:effectExtent l="0" t="0" r="8255" b="5080"/>
                  <wp:docPr id="20" name="图片 20" descr="生态恢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生态恢复"/>
                          <pic:cNvPicPr>
                            <a:picLocks noChangeAspect="1"/>
                          </pic:cNvPicPr>
                        </pic:nvPicPr>
                        <pic:blipFill>
                          <a:blip r:embed="rId36"/>
                          <a:stretch>
                            <a:fillRect/>
                          </a:stretch>
                        </pic:blipFill>
                        <pic:spPr>
                          <a:xfrm>
                            <a:off x="0" y="0"/>
                            <a:ext cx="2811145" cy="2109470"/>
                          </a:xfrm>
                          <a:prstGeom prst="rect">
                            <a:avLst/>
                          </a:prstGeom>
                        </pic:spPr>
                      </pic:pic>
                    </a:graphicData>
                  </a:graphic>
                </wp:inline>
              </w:drawing>
            </w:r>
          </w:p>
        </w:tc>
        <w:tc>
          <w:tcPr>
            <w:tcW w:w="4644" w:type="dxa"/>
            <w:noWrap w:val="0"/>
            <w:vAlign w:val="top"/>
          </w:tcPr>
          <w:p>
            <w:pPr>
              <w:pStyle w:val="29"/>
              <w:bidi w:val="0"/>
              <w:spacing w:line="240" w:lineRule="auto"/>
              <w:rPr>
                <w:rFonts w:hint="eastAsia" w:eastAsia="宋体"/>
                <w:kern w:val="2"/>
                <w:sz w:val="21"/>
                <w:szCs w:val="22"/>
                <w:lang w:val="en-US" w:eastAsia="zh-CN" w:bidi="ar-SA"/>
              </w:rPr>
            </w:pPr>
            <w:r>
              <w:rPr>
                <w:rFonts w:hint="eastAsia" w:eastAsia="宋体"/>
                <w:kern w:val="2"/>
                <w:sz w:val="21"/>
                <w:szCs w:val="22"/>
                <w:lang w:val="en-US" w:eastAsia="zh-CN" w:bidi="ar-SA"/>
              </w:rPr>
              <w:drawing>
                <wp:inline distT="0" distB="0" distL="114300" distR="114300">
                  <wp:extent cx="2811145" cy="2109470"/>
                  <wp:effectExtent l="0" t="0" r="8255" b="5080"/>
                  <wp:docPr id="22" name="图片 22" descr="高速路跨越节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高速路跨越节点"/>
                          <pic:cNvPicPr>
                            <a:picLocks noChangeAspect="1"/>
                          </pic:cNvPicPr>
                        </pic:nvPicPr>
                        <pic:blipFill>
                          <a:blip r:embed="rId37"/>
                          <a:stretch>
                            <a:fillRect/>
                          </a:stretch>
                        </pic:blipFill>
                        <pic:spPr>
                          <a:xfrm>
                            <a:off x="0" y="0"/>
                            <a:ext cx="2811145" cy="21094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noWrap w:val="0"/>
            <w:vAlign w:val="top"/>
          </w:tcPr>
          <w:p>
            <w:pPr>
              <w:pStyle w:val="29"/>
              <w:bidi w:val="0"/>
              <w:spacing w:line="240" w:lineRule="auto"/>
              <w:rPr>
                <w:rFonts w:hint="default" w:eastAsia="宋体"/>
                <w:kern w:val="2"/>
                <w:sz w:val="21"/>
                <w:szCs w:val="22"/>
                <w:lang w:val="en-US" w:eastAsia="zh-CN" w:bidi="ar-SA"/>
              </w:rPr>
            </w:pPr>
            <w:r>
              <w:rPr>
                <w:rFonts w:hint="eastAsia"/>
                <w:kern w:val="2"/>
                <w:sz w:val="21"/>
                <w:szCs w:val="22"/>
                <w:lang w:val="en-US" w:eastAsia="zh-CN" w:bidi="ar-SA"/>
              </w:rPr>
              <w:t>施工后植被恢复</w:t>
            </w:r>
          </w:p>
        </w:tc>
        <w:tc>
          <w:tcPr>
            <w:tcW w:w="4644" w:type="dxa"/>
            <w:noWrap w:val="0"/>
            <w:vAlign w:val="top"/>
          </w:tcPr>
          <w:p>
            <w:pPr>
              <w:pStyle w:val="29"/>
              <w:bidi w:val="0"/>
              <w:spacing w:line="240" w:lineRule="auto"/>
              <w:rPr>
                <w:rFonts w:hint="default" w:eastAsia="宋体"/>
                <w:kern w:val="2"/>
                <w:sz w:val="21"/>
                <w:szCs w:val="22"/>
                <w:lang w:val="en-US" w:eastAsia="zh-CN" w:bidi="ar-SA"/>
              </w:rPr>
            </w:pPr>
            <w:r>
              <w:rPr>
                <w:rFonts w:hint="eastAsia"/>
                <w:kern w:val="2"/>
                <w:sz w:val="21"/>
                <w:szCs w:val="22"/>
                <w:lang w:val="en-US" w:eastAsia="zh-CN" w:bidi="ar-SA"/>
              </w:rPr>
              <w:t>高速公路穿越节点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noWrap w:val="0"/>
            <w:vAlign w:val="top"/>
          </w:tcPr>
          <w:p>
            <w:pPr>
              <w:pStyle w:val="29"/>
              <w:bidi w:val="0"/>
              <w:spacing w:line="240" w:lineRule="auto"/>
              <w:rPr>
                <w:rFonts w:hint="eastAsia" w:eastAsia="宋体"/>
                <w:kern w:val="2"/>
                <w:sz w:val="21"/>
                <w:szCs w:val="22"/>
                <w:lang w:val="en-US" w:eastAsia="zh-CN" w:bidi="ar-SA"/>
              </w:rPr>
            </w:pPr>
            <w:r>
              <w:rPr>
                <w:rFonts w:hint="eastAsia" w:eastAsia="宋体"/>
                <w:kern w:val="2"/>
                <w:sz w:val="21"/>
                <w:szCs w:val="22"/>
                <w:lang w:val="en-US" w:eastAsia="zh-CN" w:bidi="ar-SA"/>
              </w:rPr>
              <w:drawing>
                <wp:inline distT="0" distB="0" distL="114300" distR="114300">
                  <wp:extent cx="2811780" cy="1300480"/>
                  <wp:effectExtent l="0" t="0" r="13970" b="7620"/>
                  <wp:docPr id="19" name="图片 19" descr="铁路桥跨越节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铁路桥跨越节点"/>
                          <pic:cNvPicPr>
                            <a:picLocks noChangeAspect="1"/>
                          </pic:cNvPicPr>
                        </pic:nvPicPr>
                        <pic:blipFill>
                          <a:blip r:embed="rId38"/>
                          <a:stretch>
                            <a:fillRect/>
                          </a:stretch>
                        </pic:blipFill>
                        <pic:spPr>
                          <a:xfrm rot="16200000">
                            <a:off x="0" y="0"/>
                            <a:ext cx="2811780" cy="1300480"/>
                          </a:xfrm>
                          <a:prstGeom prst="rect">
                            <a:avLst/>
                          </a:prstGeom>
                        </pic:spPr>
                      </pic:pic>
                    </a:graphicData>
                  </a:graphic>
                </wp:inline>
              </w:drawing>
            </w:r>
          </w:p>
        </w:tc>
        <w:tc>
          <w:tcPr>
            <w:tcW w:w="4644" w:type="dxa"/>
            <w:noWrap w:val="0"/>
            <w:vAlign w:val="top"/>
          </w:tcPr>
          <w:p>
            <w:pPr>
              <w:pStyle w:val="29"/>
              <w:bidi w:val="0"/>
              <w:spacing w:line="240" w:lineRule="auto"/>
              <w:rPr>
                <w:rFonts w:hint="eastAsia" w:eastAsia="宋体"/>
                <w:kern w:val="2"/>
                <w:sz w:val="21"/>
                <w:szCs w:val="22"/>
                <w:lang w:val="en-US" w:eastAsia="zh-CN" w:bidi="ar-SA"/>
              </w:rPr>
            </w:pPr>
            <w:r>
              <w:rPr>
                <w:rFonts w:hint="eastAsia" w:eastAsia="宋体"/>
                <w:kern w:val="2"/>
                <w:sz w:val="21"/>
                <w:szCs w:val="22"/>
                <w:lang w:val="en-US" w:eastAsia="zh-CN" w:bidi="ar-SA"/>
              </w:rPr>
              <w:drawing>
                <wp:inline distT="0" distB="0" distL="114300" distR="114300">
                  <wp:extent cx="2811145" cy="2109470"/>
                  <wp:effectExtent l="0" t="0" r="8255" b="5080"/>
                  <wp:docPr id="21" name="图片 21" descr="入河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入河排放口"/>
                          <pic:cNvPicPr>
                            <a:picLocks noChangeAspect="1"/>
                          </pic:cNvPicPr>
                        </pic:nvPicPr>
                        <pic:blipFill>
                          <a:blip r:embed="rId39"/>
                          <a:stretch>
                            <a:fillRect/>
                          </a:stretch>
                        </pic:blipFill>
                        <pic:spPr>
                          <a:xfrm>
                            <a:off x="0" y="0"/>
                            <a:ext cx="2811145" cy="21094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noWrap w:val="0"/>
            <w:vAlign w:val="top"/>
          </w:tcPr>
          <w:p>
            <w:pPr>
              <w:pStyle w:val="29"/>
              <w:bidi w:val="0"/>
              <w:spacing w:line="240" w:lineRule="auto"/>
              <w:rPr>
                <w:rFonts w:hint="default" w:eastAsia="宋体"/>
                <w:kern w:val="2"/>
                <w:sz w:val="21"/>
                <w:szCs w:val="22"/>
                <w:lang w:val="en-US" w:eastAsia="zh-CN" w:bidi="ar-SA"/>
              </w:rPr>
            </w:pPr>
            <w:r>
              <w:rPr>
                <w:rFonts w:hint="eastAsia"/>
                <w:kern w:val="2"/>
                <w:sz w:val="21"/>
                <w:szCs w:val="22"/>
                <w:lang w:val="en-US" w:eastAsia="zh-CN" w:bidi="ar-SA"/>
              </w:rPr>
              <w:t>铁路穿越节点</w:t>
            </w:r>
          </w:p>
        </w:tc>
        <w:tc>
          <w:tcPr>
            <w:tcW w:w="4644" w:type="dxa"/>
            <w:noWrap w:val="0"/>
            <w:vAlign w:val="top"/>
          </w:tcPr>
          <w:p>
            <w:pPr>
              <w:pStyle w:val="29"/>
              <w:bidi w:val="0"/>
              <w:spacing w:line="240" w:lineRule="auto"/>
              <w:rPr>
                <w:rFonts w:hint="default" w:eastAsia="宋体"/>
                <w:kern w:val="2"/>
                <w:sz w:val="21"/>
                <w:szCs w:val="22"/>
                <w:lang w:val="en-US" w:eastAsia="zh-CN" w:bidi="ar-SA"/>
              </w:rPr>
            </w:pPr>
            <w:r>
              <w:rPr>
                <w:rFonts w:hint="eastAsia"/>
                <w:kern w:val="2"/>
                <w:sz w:val="21"/>
                <w:szCs w:val="22"/>
                <w:lang w:val="en-US" w:eastAsia="zh-CN" w:bidi="ar-SA"/>
              </w:rPr>
              <w:t>尾水排放口</w:t>
            </w:r>
          </w:p>
        </w:tc>
      </w:tr>
    </w:tbl>
    <w:p>
      <w:pPr>
        <w:pStyle w:val="6"/>
        <w:wordWrap w:val="0"/>
        <w:topLinePunct/>
        <w:jc w:val="both"/>
        <w:rPr>
          <w:kern w:val="2"/>
          <w:szCs w:val="28"/>
        </w:rPr>
      </w:pPr>
      <w:r>
        <w:rPr>
          <w:kern w:val="2"/>
          <w:szCs w:val="28"/>
        </w:rPr>
        <w:t>4.2.</w:t>
      </w:r>
      <w:r>
        <w:rPr>
          <w:rFonts w:hint="eastAsia"/>
          <w:kern w:val="2"/>
          <w:szCs w:val="28"/>
          <w:lang w:val="en-US" w:eastAsia="zh-CN"/>
        </w:rPr>
        <w:t>2</w:t>
      </w:r>
      <w:r>
        <w:rPr>
          <w:kern w:val="2"/>
          <w:szCs w:val="28"/>
        </w:rPr>
        <w:t>环境风险防范设施及措施</w:t>
      </w:r>
    </w:p>
    <w:p>
      <w:r>
        <w:t>本项目主要存在的环境风险有：</w:t>
      </w:r>
    </w:p>
    <w:p>
      <w:pPr>
        <w:ind w:firstLine="562"/>
      </w:pPr>
      <w:r>
        <w:rPr>
          <w:b/>
          <w:bCs/>
        </w:rPr>
        <w:t>来水超标：</w:t>
      </w:r>
      <w:r>
        <w:t>本项目接纳的废水预处理时，因设备故障等原因导致废水不能满足进水水质要求而排入污水处理系统，可能造成项目后续各构筑物处理负荷增加、不能正常运作、最终出水不能满足排水标准要求，从而导致出水超标排放。</w:t>
      </w:r>
    </w:p>
    <w:p>
      <w:pPr>
        <w:ind w:firstLine="562"/>
      </w:pPr>
      <w:r>
        <w:rPr>
          <w:b/>
          <w:bCs/>
        </w:rPr>
        <w:t>尾水事故排放：</w:t>
      </w:r>
      <w:r>
        <w:t>本项目可能由于停电、曝气及泵类设备损坏或污泥膨胀等原因导致尾水没有达标，而直接排放进入岷江；</w:t>
      </w:r>
    </w:p>
    <w:p>
      <w:r>
        <w:t>风险事故防范及减缓处理措施：</w:t>
      </w:r>
    </w:p>
    <w:p>
      <w:r>
        <w:t>（1）加强管理，企业采取双电源</w:t>
      </w:r>
      <w:r>
        <w:rPr>
          <w:rFonts w:hint="eastAsia"/>
        </w:rPr>
        <w:t>和应急发电机</w:t>
      </w:r>
      <w:r>
        <w:t>；污水提升泵、风机等建议设置备件；加强管理，避免产生污泥膨胀。通过优化设计设置备用设备、加强管理等措施，尽最大限度降低污水处理事故风险；</w:t>
      </w:r>
    </w:p>
    <w:p>
      <w:r>
        <w:t>（2）污水厂出现事故时污水提升泵站暂停运行。低温气候条件下，污水处理厂减负荷运行，增大供气量，停止排泥工序，增加污泥浓度，降低污泥负荷；</w:t>
      </w:r>
    </w:p>
    <w:p>
      <w:r>
        <w:t>（3）项目由专人负责厂区污水管网巡查和检修，注重进厂污水流量监控，及时发现污水管线溢流和渗漏问题；</w:t>
      </w:r>
    </w:p>
    <w:p>
      <w:r>
        <w:t>（4）项目加强安全生产管理、制订严格的操作规程，对操作人员实施定期安全操作的强化教育；完善安全检查制度，做好班前、班中和班后的检查。对从业人员管理，严格考核，各岗位工人，在上岗前必须经过安全培训，并取得安全作业证方可上岗。</w:t>
      </w:r>
    </w:p>
    <w:p>
      <w:pPr>
        <w:pStyle w:val="6"/>
        <w:wordWrap w:val="0"/>
        <w:topLinePunct/>
        <w:rPr>
          <w:kern w:val="2"/>
          <w:szCs w:val="28"/>
        </w:rPr>
      </w:pPr>
      <w:r>
        <w:rPr>
          <w:kern w:val="2"/>
          <w:szCs w:val="28"/>
        </w:rPr>
        <w:t>4.2.</w:t>
      </w:r>
      <w:r>
        <w:rPr>
          <w:rFonts w:hint="eastAsia"/>
          <w:kern w:val="2"/>
          <w:szCs w:val="28"/>
          <w:lang w:val="en-US" w:eastAsia="zh-CN"/>
        </w:rPr>
        <w:t>3</w:t>
      </w:r>
      <w:r>
        <w:rPr>
          <w:kern w:val="2"/>
          <w:szCs w:val="28"/>
        </w:rPr>
        <w:t>规范化排污口、监测设施及在线监测装置</w:t>
      </w:r>
    </w:p>
    <w:p>
      <w:pPr>
        <w:rPr>
          <w:bCs/>
          <w:szCs w:val="28"/>
        </w:rPr>
      </w:pPr>
      <w:r>
        <w:t>项目污水排放口按照标准要求建设，设有排污标识，装有在线流量计。污水处理厂出水口安装了COD</w:t>
      </w:r>
      <w:r>
        <w:rPr>
          <w:rFonts w:hint="eastAsia"/>
          <w:vertAlign w:val="subscript"/>
        </w:rPr>
        <w:t>C</w:t>
      </w:r>
      <w:r>
        <w:rPr>
          <w:vertAlign w:val="subscript"/>
        </w:rPr>
        <w:t>r</w:t>
      </w:r>
      <w:r>
        <w:t>、</w:t>
      </w:r>
      <w:r>
        <w:rPr>
          <w:rFonts w:hint="eastAsia"/>
          <w:lang w:val="en-US" w:eastAsia="zh-CN"/>
        </w:rPr>
        <w:t>BOD、</w:t>
      </w:r>
      <w:r>
        <w:t>氨氮、总磷</w:t>
      </w:r>
      <w:r>
        <w:rPr>
          <w:rFonts w:hint="eastAsia"/>
        </w:rPr>
        <w:t>、总氮</w:t>
      </w:r>
      <w:r>
        <w:t>在线监测装置</w:t>
      </w:r>
      <w:r>
        <w:rPr>
          <w:rFonts w:hint="eastAsia"/>
        </w:rPr>
        <w:t>，并与生态环境局联网，</w:t>
      </w:r>
      <w:r>
        <w:t>确保环境条件满足设备运行要求。</w:t>
      </w:r>
    </w:p>
    <w:p>
      <w:pPr>
        <w:pStyle w:val="6"/>
        <w:wordWrap w:val="0"/>
        <w:topLinePunct/>
        <w:jc w:val="both"/>
        <w:rPr>
          <w:kern w:val="2"/>
          <w:szCs w:val="28"/>
          <w:lang w:val="zh-CN"/>
        </w:rPr>
      </w:pPr>
      <w:r>
        <w:rPr>
          <w:kern w:val="2"/>
          <w:szCs w:val="28"/>
        </w:rPr>
        <w:t>4.2.</w:t>
      </w:r>
      <w:r>
        <w:rPr>
          <w:rFonts w:hint="eastAsia"/>
          <w:kern w:val="2"/>
          <w:szCs w:val="28"/>
          <w:lang w:val="en-US" w:eastAsia="zh-CN"/>
        </w:rPr>
        <w:t>4</w:t>
      </w:r>
      <w:r>
        <w:rPr>
          <w:kern w:val="2"/>
          <w:szCs w:val="28"/>
        </w:rPr>
        <w:t>环境管理制度</w:t>
      </w:r>
    </w:p>
    <w:p>
      <w:r>
        <w:rPr>
          <w:lang w:val="zh-CN"/>
        </w:rPr>
        <w:t>根据《中华人民共和国</w:t>
      </w:r>
      <w:r>
        <w:rPr>
          <w:lang w:val="zh-CN"/>
        </w:rPr>
        <w:fldChar w:fldCharType="begin"/>
      </w:r>
      <w:r>
        <w:rPr>
          <w:lang w:val="zh-CN"/>
        </w:rPr>
        <w:instrText xml:space="preserve"> HYPERLINK "https://www.baidu.com/s?wd=%E7%8E%AF%E5%A2%83%E4%BF%9D%E6%8A%A4%E6%B3%95&amp;tn=SE_PcZhidaonwhc_ngpagmjz&amp;rsv_dl=gh_pc_zhidao" \t "https://zhidao.baidu.com/question/_blank" </w:instrText>
      </w:r>
      <w:r>
        <w:rPr>
          <w:lang w:val="zh-CN"/>
        </w:rPr>
        <w:fldChar w:fldCharType="separate"/>
      </w:r>
      <w:r>
        <w:rPr>
          <w:lang w:val="zh-CN"/>
        </w:rPr>
        <w:t>环境保护法</w:t>
      </w:r>
      <w:r>
        <w:rPr>
          <w:lang w:val="zh-CN"/>
        </w:rPr>
        <w:fldChar w:fldCharType="end"/>
      </w:r>
      <w:r>
        <w:rPr>
          <w:lang w:val="zh-CN"/>
        </w:rPr>
        <w:t>》为认真执行全面规划，合理布局，综合利用，化害为利，依靠群众，大家动手，保护环境，造福人民的环境方针，以及为加强企业环境保护管理，强化环境监管，落实企业节约资源，保护环境的责任。本项目编制了《环境保护管理制度》，从而保证环保工作正常有序地开展，也为环保设施的正常稳定运行提供了保证。</w:t>
      </w:r>
    </w:p>
    <w:p>
      <w:pPr>
        <w:pStyle w:val="6"/>
        <w:wordWrap w:val="0"/>
        <w:topLinePunct/>
        <w:jc w:val="both"/>
        <w:rPr>
          <w:rFonts w:hint="eastAsia" w:eastAsia="宋体"/>
          <w:kern w:val="2"/>
          <w:szCs w:val="28"/>
          <w:lang w:eastAsia="zh-CN"/>
        </w:rPr>
      </w:pPr>
      <w:r>
        <w:rPr>
          <w:kern w:val="2"/>
          <w:szCs w:val="28"/>
        </w:rPr>
        <w:t>4.2.</w:t>
      </w:r>
      <w:r>
        <w:rPr>
          <w:rFonts w:hint="eastAsia"/>
          <w:kern w:val="2"/>
          <w:szCs w:val="28"/>
          <w:lang w:val="en-US" w:eastAsia="zh-CN"/>
        </w:rPr>
        <w:t>5</w:t>
      </w:r>
      <w:r>
        <w:rPr>
          <w:kern w:val="2"/>
          <w:szCs w:val="28"/>
        </w:rPr>
        <w:t>风险事故应急预案</w:t>
      </w:r>
    </w:p>
    <w:p>
      <w:r>
        <w:t>为规范和加强厂区的环境污染事风险防范，本项目编制了相应的《突发环境事件应急预案》</w:t>
      </w:r>
      <w:r>
        <w:rPr>
          <w:rFonts w:hint="eastAsia"/>
        </w:rPr>
        <w:t>并进行了备案，</w:t>
      </w:r>
      <w:r>
        <w:rPr>
          <w:rFonts w:hint="eastAsia"/>
          <w:lang w:eastAsia="zh-CN"/>
        </w:rPr>
        <w:t>备</w:t>
      </w:r>
      <w:r>
        <w:rPr>
          <w:rFonts w:hint="eastAsia"/>
          <w:highlight w:val="none"/>
        </w:rPr>
        <w:t>案表</w:t>
      </w:r>
      <w:r>
        <w:rPr>
          <w:rFonts w:hint="eastAsia"/>
        </w:rPr>
        <w:t>见</w:t>
      </w:r>
      <w:r>
        <w:t>附件9。建立了健全的突发性环境污染事故应急组织体系，对可能的环境风险进行了识别和分析，成立应急明确各应急组织机构职责，提高应对涉及公共危机的突发环境污染事故的能力。</w:t>
      </w:r>
    </w:p>
    <w:p>
      <w:pPr>
        <w:pStyle w:val="6"/>
        <w:wordWrap w:val="0"/>
        <w:topLinePunct/>
        <w:jc w:val="both"/>
        <w:rPr>
          <w:kern w:val="2"/>
          <w:szCs w:val="28"/>
        </w:rPr>
      </w:pPr>
      <w:r>
        <w:rPr>
          <w:kern w:val="2"/>
          <w:szCs w:val="28"/>
        </w:rPr>
        <w:t>4.2.</w:t>
      </w:r>
      <w:r>
        <w:rPr>
          <w:rFonts w:hint="eastAsia"/>
          <w:kern w:val="2"/>
          <w:szCs w:val="28"/>
          <w:lang w:val="en-US" w:eastAsia="zh-CN"/>
        </w:rPr>
        <w:t>6</w:t>
      </w:r>
      <w:r>
        <w:rPr>
          <w:kern w:val="2"/>
          <w:szCs w:val="28"/>
        </w:rPr>
        <w:t>地下水保护措施</w:t>
      </w:r>
    </w:p>
    <w:p>
      <w:r>
        <w:t>为了防止地下水被污染，本项目采取了以下措施对地下水进行防护；</w:t>
      </w:r>
    </w:p>
    <w:p>
      <w:r>
        <w:t>1、本项目为了降低“跑、冒、滴、漏”现象，有专人负责设备的维修和检查，确保设备的正常运行；同时对污水收集管道及尾水排放管道定期巡检。</w:t>
      </w:r>
    </w:p>
    <w:p>
      <w:pPr>
        <w:rPr>
          <w:rFonts w:hint="eastAsia"/>
          <w:lang w:eastAsia="zh-CN"/>
        </w:rPr>
      </w:pPr>
      <w:r>
        <w:t>2、本项目对生化池、沉淀池、污泥浓缩池、脱水机房、加药间、消毒渠等涉及污水及污</w:t>
      </w:r>
      <w:r>
        <w:commentReference w:id="0"/>
      </w:r>
      <w:r>
        <w:t>泥处理和化学药品的区域做重点防渗处理，采取粘土铺底，再在上层铺设10~15cm的水泥进行硬化，并铺环氧树脂防渗</w:t>
      </w:r>
      <w:r>
        <w:rPr>
          <w:rFonts w:hint="eastAsia"/>
          <w:lang w:eastAsia="zh-CN"/>
        </w:rPr>
        <w:t>。</w:t>
      </w:r>
    </w:p>
    <w:p>
      <w:pPr>
        <w:rPr>
          <w:rFonts w:hint="eastAsia"/>
        </w:rPr>
      </w:pPr>
      <w:r>
        <w:t>3、本项目对厂区道路、综合楼、门卫室等做了一般防渗，采用水泥硬化</w:t>
      </w:r>
      <w:r>
        <w:rPr>
          <w:rFonts w:hint="eastAsia"/>
        </w:rPr>
        <w:t>。</w:t>
      </w:r>
    </w:p>
    <w:p>
      <w:pPr>
        <w:rPr>
          <w:rFonts w:hint="default" w:eastAsia="宋体"/>
          <w:lang w:val="en-US" w:eastAsia="zh-CN"/>
        </w:rPr>
      </w:pPr>
      <w:r>
        <w:rPr>
          <w:rFonts w:hint="eastAsia"/>
          <w:lang w:val="en-US" w:eastAsia="zh-CN"/>
        </w:rPr>
        <w:t>本项目按照环评要求，在厂区设置了四口地下水监测井，并与有资质的检测机构签订了检测合同，长期对本项目地下水进行跟踪监测。本项目布设地下水井点位分别位于格栅间外侧、污泥放外侧、水解酸化池旁、流量渠旁。</w:t>
      </w:r>
      <w:bookmarkStart w:id="141" w:name="_GoBack"/>
      <w:bookmarkEnd w:id="141"/>
    </w:p>
    <w:p>
      <w:pPr>
        <w:pStyle w:val="5"/>
        <w:keepLines w:val="0"/>
        <w:numPr>
          <w:ilvl w:val="1"/>
          <w:numId w:val="0"/>
        </w:numPr>
        <w:tabs>
          <w:tab w:val="left" w:pos="1134"/>
        </w:tabs>
        <w:adjustRightInd/>
        <w:textAlignment w:val="auto"/>
        <w:rPr>
          <w:bCs/>
          <w:szCs w:val="30"/>
        </w:rPr>
      </w:pPr>
      <w:bookmarkStart w:id="66" w:name="_Toc20076"/>
      <w:bookmarkStart w:id="67" w:name="_Toc8956"/>
      <w:bookmarkStart w:id="68" w:name="_Toc125"/>
      <w:r>
        <w:rPr>
          <w:bCs/>
          <w:szCs w:val="30"/>
        </w:rPr>
        <w:t>4.3环保设施投资及“三同时”落实情况</w:t>
      </w:r>
      <w:bookmarkEnd w:id="66"/>
      <w:bookmarkEnd w:id="67"/>
      <w:bookmarkEnd w:id="68"/>
    </w:p>
    <w:bookmarkEnd w:id="59"/>
    <w:bookmarkEnd w:id="64"/>
    <w:p>
      <w:pPr>
        <w:pStyle w:val="6"/>
        <w:wordWrap w:val="0"/>
        <w:topLinePunct/>
        <w:jc w:val="both"/>
        <w:rPr>
          <w:kern w:val="2"/>
          <w:szCs w:val="28"/>
        </w:rPr>
      </w:pPr>
      <w:r>
        <w:rPr>
          <w:kern w:val="2"/>
          <w:szCs w:val="28"/>
        </w:rPr>
        <w:t>4.3.1环保设施投资</w:t>
      </w:r>
    </w:p>
    <w:p>
      <w:pPr>
        <w:rPr>
          <w:lang w:val="zh-CN"/>
        </w:rPr>
      </w:pPr>
      <w:r>
        <w:rPr>
          <w:lang w:val="zh-CN"/>
        </w:rPr>
        <w:t>本项目实际总投资约为</w:t>
      </w:r>
      <w:r>
        <w:rPr>
          <w:rFonts w:hint="eastAsia"/>
          <w:lang w:eastAsia="zh-CN"/>
        </w:rPr>
        <w:t>4312.86</w:t>
      </w:r>
      <w:r>
        <w:rPr>
          <w:lang w:val="zh-CN"/>
        </w:rPr>
        <w:t>万元，其中运营期间环保投资为</w:t>
      </w:r>
      <w:r>
        <w:rPr>
          <w:rFonts w:hint="eastAsia"/>
          <w:lang w:val="en-US" w:eastAsia="zh-CN"/>
        </w:rPr>
        <w:t>257</w:t>
      </w:r>
      <w:r>
        <w:rPr>
          <w:lang w:val="zh-CN"/>
        </w:rPr>
        <w:t>万元，占项目总投资的</w:t>
      </w:r>
      <w:r>
        <w:rPr>
          <w:rFonts w:hint="eastAsia"/>
          <w:lang w:val="en-US" w:eastAsia="zh-CN"/>
        </w:rPr>
        <w:t>5.96</w:t>
      </w:r>
      <w:r>
        <w:rPr>
          <w:lang w:val="zh-CN"/>
        </w:rPr>
        <w:t>%，环保投资见表4-5。</w:t>
      </w:r>
    </w:p>
    <w:p>
      <w:pPr>
        <w:pStyle w:val="28"/>
        <w:ind w:firstLine="482"/>
        <w:sectPr>
          <w:pgSz w:w="11906" w:h="16838"/>
          <w:pgMar w:top="1134" w:right="1417" w:bottom="1134" w:left="1417" w:header="850" w:footer="850" w:gutter="0"/>
          <w:pgBorders>
            <w:top w:val="none" w:sz="0" w:space="0"/>
            <w:left w:val="none" w:sz="0" w:space="0"/>
            <w:bottom w:val="none" w:sz="0" w:space="0"/>
            <w:right w:val="none" w:sz="0" w:space="0"/>
          </w:pgBorders>
          <w:pgNumType w:fmt="decimal"/>
          <w:cols w:space="720" w:num="1"/>
          <w:docGrid w:type="lines" w:linePitch="416" w:charSpace="0"/>
        </w:sectPr>
      </w:pPr>
    </w:p>
    <w:p>
      <w:pPr>
        <w:pStyle w:val="28"/>
        <w:ind w:firstLine="482"/>
      </w:pPr>
      <w:r>
        <w:t>表4-5  环保措施及投资一览表</w:t>
      </w:r>
    </w:p>
    <w:tbl>
      <w:tblPr>
        <w:tblStyle w:val="19"/>
        <w:tblW w:w="4997"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69"/>
        <w:gridCol w:w="5623"/>
        <w:gridCol w:w="1154"/>
        <w:gridCol w:w="5408"/>
        <w:gridCol w:w="104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tblHeader/>
          <w:jc w:val="center"/>
        </w:trPr>
        <w:tc>
          <w:tcPr>
            <w:tcW w:w="275" w:type="pct"/>
            <w:noWrap w:val="0"/>
            <w:vAlign w:val="center"/>
          </w:tcPr>
          <w:p>
            <w:pPr>
              <w:adjustRightInd w:val="0"/>
              <w:snapToGrid w:val="0"/>
              <w:spacing w:line="320" w:lineRule="exact"/>
              <w:ind w:firstLine="0" w:firstLineChars="0"/>
              <w:jc w:val="center"/>
              <w:rPr>
                <w:b/>
                <w:bCs/>
                <w:sz w:val="21"/>
                <w:szCs w:val="21"/>
              </w:rPr>
            </w:pPr>
            <w:r>
              <w:rPr>
                <w:b/>
                <w:bCs/>
                <w:sz w:val="21"/>
                <w:szCs w:val="21"/>
              </w:rPr>
              <w:t>类别</w:t>
            </w:r>
          </w:p>
        </w:tc>
        <w:tc>
          <w:tcPr>
            <w:tcW w:w="2008" w:type="pct"/>
            <w:noWrap w:val="0"/>
            <w:vAlign w:val="center"/>
          </w:tcPr>
          <w:p>
            <w:pPr>
              <w:adjustRightInd w:val="0"/>
              <w:snapToGrid w:val="0"/>
              <w:spacing w:line="320" w:lineRule="exact"/>
              <w:ind w:firstLine="0" w:firstLineChars="0"/>
              <w:jc w:val="center"/>
              <w:rPr>
                <w:b/>
                <w:bCs/>
                <w:sz w:val="21"/>
                <w:szCs w:val="21"/>
              </w:rPr>
            </w:pPr>
            <w:r>
              <w:rPr>
                <w:b/>
                <w:bCs/>
                <w:sz w:val="21"/>
                <w:szCs w:val="21"/>
              </w:rPr>
              <w:t>环评要求环保设（措）施</w:t>
            </w:r>
          </w:p>
        </w:tc>
        <w:tc>
          <w:tcPr>
            <w:tcW w:w="412" w:type="pct"/>
            <w:noWrap w:val="0"/>
            <w:vAlign w:val="center"/>
          </w:tcPr>
          <w:p>
            <w:pPr>
              <w:adjustRightInd w:val="0"/>
              <w:snapToGrid w:val="0"/>
              <w:spacing w:line="320" w:lineRule="exact"/>
              <w:ind w:firstLine="0" w:firstLineChars="0"/>
              <w:jc w:val="center"/>
              <w:rPr>
                <w:b/>
                <w:bCs/>
                <w:sz w:val="21"/>
                <w:szCs w:val="21"/>
              </w:rPr>
            </w:pPr>
            <w:r>
              <w:rPr>
                <w:b/>
                <w:bCs/>
                <w:sz w:val="21"/>
                <w:szCs w:val="21"/>
              </w:rPr>
              <w:t>环评投资（万元）</w:t>
            </w:r>
          </w:p>
        </w:tc>
        <w:tc>
          <w:tcPr>
            <w:tcW w:w="1931" w:type="pct"/>
            <w:noWrap w:val="0"/>
            <w:vAlign w:val="center"/>
          </w:tcPr>
          <w:p>
            <w:pPr>
              <w:adjustRightInd w:val="0"/>
              <w:snapToGrid w:val="0"/>
              <w:spacing w:line="320" w:lineRule="exact"/>
              <w:ind w:firstLine="0" w:firstLineChars="0"/>
              <w:jc w:val="center"/>
              <w:rPr>
                <w:b/>
                <w:bCs/>
                <w:sz w:val="21"/>
                <w:szCs w:val="21"/>
              </w:rPr>
            </w:pPr>
            <w:r>
              <w:rPr>
                <w:b/>
                <w:bCs/>
                <w:sz w:val="21"/>
                <w:szCs w:val="21"/>
              </w:rPr>
              <w:t>工程建设实际情况</w:t>
            </w:r>
          </w:p>
        </w:tc>
        <w:tc>
          <w:tcPr>
            <w:tcW w:w="372" w:type="pct"/>
            <w:noWrap w:val="0"/>
            <w:vAlign w:val="center"/>
          </w:tcPr>
          <w:p>
            <w:pPr>
              <w:adjustRightInd w:val="0"/>
              <w:snapToGrid w:val="0"/>
              <w:spacing w:line="320" w:lineRule="exact"/>
              <w:ind w:firstLine="0" w:firstLineChars="0"/>
              <w:jc w:val="center"/>
              <w:rPr>
                <w:b/>
                <w:bCs/>
                <w:sz w:val="21"/>
                <w:szCs w:val="21"/>
              </w:rPr>
            </w:pPr>
            <w:r>
              <w:rPr>
                <w:b/>
                <w:bCs/>
                <w:sz w:val="21"/>
                <w:szCs w:val="21"/>
              </w:rPr>
              <w:t>实际投资（万元）</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75" w:type="pct"/>
            <w:noWrap w:val="0"/>
            <w:vAlign w:val="center"/>
          </w:tcPr>
          <w:p>
            <w:pPr>
              <w:spacing w:line="340" w:lineRule="exact"/>
              <w:ind w:firstLine="0" w:firstLineChars="0"/>
              <w:jc w:val="center"/>
              <w:rPr>
                <w:color w:val="000000"/>
                <w:sz w:val="21"/>
                <w:szCs w:val="21"/>
              </w:rPr>
            </w:pPr>
            <w:r>
              <w:rPr>
                <w:color w:val="000000"/>
                <w:sz w:val="21"/>
                <w:szCs w:val="21"/>
              </w:rPr>
              <w:t>废气</w:t>
            </w:r>
          </w:p>
        </w:tc>
        <w:tc>
          <w:tcPr>
            <w:tcW w:w="2008" w:type="pct"/>
            <w:noWrap w:val="0"/>
            <w:vAlign w:val="center"/>
          </w:tcPr>
          <w:p>
            <w:pPr>
              <w:spacing w:line="340" w:lineRule="exact"/>
              <w:ind w:firstLine="0" w:firstLineChars="0"/>
              <w:rPr>
                <w:rFonts w:hint="eastAsia"/>
                <w:color w:val="000000"/>
                <w:sz w:val="21"/>
                <w:szCs w:val="21"/>
              </w:rPr>
            </w:pPr>
            <w:r>
              <w:rPr>
                <w:rFonts w:hint="eastAsia"/>
                <w:color w:val="000000"/>
                <w:sz w:val="21"/>
                <w:szCs w:val="21"/>
              </w:rPr>
              <w:t>污水预处理区（粗格栅、提升泵房、细格栅及曝气沉砂池、缓冲调节池、水解酸化池）、污泥处理区（污泥脱水间、污泥储池）、生化区（A2/O池）均封闭，恶臭收集后采用生物除臭</w:t>
            </w:r>
          </w:p>
          <w:p>
            <w:pPr>
              <w:spacing w:line="340" w:lineRule="exact"/>
              <w:ind w:firstLine="0" w:firstLineChars="0"/>
              <w:rPr>
                <w:rFonts w:hint="eastAsia"/>
                <w:color w:val="000000"/>
                <w:sz w:val="21"/>
                <w:szCs w:val="21"/>
              </w:rPr>
            </w:pPr>
            <w:r>
              <w:rPr>
                <w:rFonts w:hint="eastAsia"/>
                <w:color w:val="000000"/>
                <w:sz w:val="21"/>
                <w:szCs w:val="21"/>
              </w:rPr>
              <w:t>系统处理，处理后经15m排气筒排放。</w:t>
            </w:r>
          </w:p>
        </w:tc>
        <w:tc>
          <w:tcPr>
            <w:tcW w:w="412" w:type="pct"/>
            <w:noWrap w:val="0"/>
            <w:vAlign w:val="center"/>
          </w:tcPr>
          <w:p>
            <w:pPr>
              <w:spacing w:line="340" w:lineRule="exact"/>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100</w:t>
            </w:r>
          </w:p>
        </w:tc>
        <w:tc>
          <w:tcPr>
            <w:tcW w:w="1931" w:type="pct"/>
            <w:noWrap w:val="0"/>
            <w:vAlign w:val="center"/>
          </w:tcPr>
          <w:p>
            <w:pPr>
              <w:spacing w:line="340" w:lineRule="exact"/>
              <w:ind w:firstLine="0" w:firstLineChars="0"/>
              <w:rPr>
                <w:rFonts w:hint="eastAsia" w:ascii="Times New Roman" w:hAnsi="Times New Roman"/>
                <w:color w:val="000000"/>
                <w:kern w:val="2"/>
                <w:sz w:val="21"/>
                <w:szCs w:val="21"/>
                <w:lang w:val="en-US" w:eastAsia="zh-CN" w:bidi="ar-SA"/>
              </w:rPr>
            </w:pPr>
            <w:r>
              <w:rPr>
                <w:rFonts w:hint="eastAsia"/>
                <w:color w:val="000000"/>
                <w:sz w:val="21"/>
                <w:szCs w:val="21"/>
              </w:rPr>
              <w:t>污水预处理区（粗格栅、提升泵房、细格栅及曝气沉砂池、缓冲调节池、水解酸化池）、污泥处理区（污泥脱水间、污泥储池）、生化区（A2/O池）均封闭，恶臭收集后采用生物除臭系统处理，处理后经15m排气筒排放。</w:t>
            </w:r>
          </w:p>
        </w:tc>
        <w:tc>
          <w:tcPr>
            <w:tcW w:w="372" w:type="pct"/>
            <w:noWrap w:val="0"/>
            <w:vAlign w:val="center"/>
          </w:tcPr>
          <w:p>
            <w:pPr>
              <w:spacing w:line="340" w:lineRule="exact"/>
              <w:ind w:firstLine="0" w:firstLineChars="0"/>
              <w:jc w:val="center"/>
              <w:rPr>
                <w:rFonts w:hint="default" w:ascii="Times New Roman" w:hAnsi="Times New Roman" w:eastAsia="宋体"/>
                <w:color w:val="000000"/>
                <w:kern w:val="2"/>
                <w:sz w:val="21"/>
                <w:szCs w:val="21"/>
                <w:lang w:val="en-US" w:eastAsia="zh-CN" w:bidi="ar-SA"/>
              </w:rPr>
            </w:pPr>
            <w:r>
              <w:rPr>
                <w:rFonts w:hint="eastAsia"/>
                <w:color w:val="000000"/>
                <w:sz w:val="21"/>
                <w:szCs w:val="21"/>
                <w:lang w:val="en-US" w:eastAsia="zh-CN"/>
              </w:rPr>
              <w:t>100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75" w:type="pct"/>
            <w:vMerge w:val="restart"/>
            <w:noWrap w:val="0"/>
            <w:vAlign w:val="center"/>
          </w:tcPr>
          <w:p>
            <w:pPr>
              <w:spacing w:line="340" w:lineRule="exact"/>
              <w:ind w:firstLine="0" w:firstLineChars="0"/>
              <w:jc w:val="center"/>
              <w:rPr>
                <w:color w:val="000000"/>
                <w:sz w:val="21"/>
                <w:szCs w:val="21"/>
              </w:rPr>
            </w:pPr>
            <w:r>
              <w:rPr>
                <w:color w:val="000000"/>
                <w:sz w:val="21"/>
                <w:szCs w:val="21"/>
              </w:rPr>
              <w:t>废水</w:t>
            </w:r>
          </w:p>
        </w:tc>
        <w:tc>
          <w:tcPr>
            <w:tcW w:w="2008" w:type="pct"/>
            <w:noWrap w:val="0"/>
            <w:vAlign w:val="center"/>
          </w:tcPr>
          <w:p>
            <w:pPr>
              <w:spacing w:line="340" w:lineRule="exact"/>
              <w:ind w:firstLine="0" w:firstLineChars="0"/>
              <w:rPr>
                <w:color w:val="000000"/>
                <w:sz w:val="21"/>
                <w:szCs w:val="21"/>
              </w:rPr>
            </w:pPr>
            <w:r>
              <w:rPr>
                <w:rFonts w:hint="eastAsia"/>
                <w:color w:val="000000"/>
                <w:sz w:val="21"/>
                <w:szCs w:val="21"/>
              </w:rPr>
              <w:t>生活污水：经化粪池处理后进入厂区污水处理厂</w:t>
            </w:r>
          </w:p>
        </w:tc>
        <w:tc>
          <w:tcPr>
            <w:tcW w:w="412" w:type="pct"/>
            <w:vMerge w:val="restart"/>
            <w:noWrap w:val="0"/>
            <w:vAlign w:val="center"/>
          </w:tcPr>
          <w:p>
            <w:pPr>
              <w:spacing w:line="340" w:lineRule="exact"/>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1</w:t>
            </w:r>
          </w:p>
        </w:tc>
        <w:tc>
          <w:tcPr>
            <w:tcW w:w="1931" w:type="pct"/>
            <w:noWrap w:val="0"/>
            <w:vAlign w:val="center"/>
          </w:tcPr>
          <w:p>
            <w:pPr>
              <w:spacing w:line="340" w:lineRule="exact"/>
              <w:ind w:firstLine="0" w:firstLineChars="0"/>
              <w:rPr>
                <w:rFonts w:ascii="Times New Roman" w:hAnsi="Times New Roman"/>
                <w:color w:val="000000"/>
                <w:kern w:val="2"/>
                <w:sz w:val="21"/>
                <w:szCs w:val="21"/>
                <w:lang w:val="en-US" w:eastAsia="zh-CN" w:bidi="ar-SA"/>
              </w:rPr>
            </w:pPr>
            <w:r>
              <w:rPr>
                <w:rFonts w:hint="eastAsia"/>
                <w:color w:val="000000"/>
                <w:sz w:val="21"/>
                <w:szCs w:val="21"/>
              </w:rPr>
              <w:t>生活污水：经化粪池处理后进入厂区污水处理厂</w:t>
            </w:r>
          </w:p>
        </w:tc>
        <w:tc>
          <w:tcPr>
            <w:tcW w:w="372" w:type="pct"/>
            <w:vMerge w:val="restart"/>
            <w:noWrap w:val="0"/>
            <w:vAlign w:val="center"/>
          </w:tcPr>
          <w:p>
            <w:pPr>
              <w:spacing w:line="340" w:lineRule="exact"/>
              <w:ind w:firstLine="0" w:firstLineChars="0"/>
              <w:jc w:val="center"/>
              <w:rPr>
                <w:rFonts w:hint="eastAsia" w:ascii="Times New Roman" w:hAnsi="Times New Roman" w:eastAsia="宋体"/>
                <w:color w:val="000000"/>
                <w:kern w:val="2"/>
                <w:sz w:val="21"/>
                <w:szCs w:val="21"/>
                <w:lang w:val="en-US" w:eastAsia="zh-CN" w:bidi="ar-SA"/>
              </w:rPr>
            </w:pPr>
            <w:r>
              <w:rPr>
                <w:rFonts w:hint="eastAsia"/>
                <w:color w:val="000000"/>
                <w:sz w:val="21"/>
                <w:szCs w:val="21"/>
                <w:lang w:val="en-US" w:eastAsia="zh-CN"/>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75" w:type="pct"/>
            <w:vMerge w:val="continue"/>
            <w:noWrap w:val="0"/>
            <w:vAlign w:val="center"/>
          </w:tcPr>
          <w:p>
            <w:pPr>
              <w:spacing w:line="340" w:lineRule="exact"/>
              <w:ind w:firstLine="0" w:firstLineChars="0"/>
              <w:jc w:val="center"/>
              <w:rPr>
                <w:color w:val="000000"/>
                <w:sz w:val="21"/>
                <w:szCs w:val="21"/>
              </w:rPr>
            </w:pPr>
          </w:p>
        </w:tc>
        <w:tc>
          <w:tcPr>
            <w:tcW w:w="2008" w:type="pct"/>
            <w:noWrap w:val="0"/>
            <w:vAlign w:val="center"/>
          </w:tcPr>
          <w:p>
            <w:pPr>
              <w:spacing w:line="340" w:lineRule="exact"/>
              <w:ind w:firstLine="0" w:firstLineChars="0"/>
              <w:rPr>
                <w:rFonts w:hint="eastAsia"/>
                <w:color w:val="000000"/>
                <w:sz w:val="21"/>
                <w:szCs w:val="21"/>
              </w:rPr>
            </w:pPr>
            <w:r>
              <w:rPr>
                <w:rFonts w:hint="eastAsia"/>
                <w:color w:val="000000"/>
                <w:sz w:val="21"/>
                <w:szCs w:val="21"/>
              </w:rPr>
              <w:t>生产废水：收集后导入粗格栅，进入厂区污水处理厂</w:t>
            </w:r>
          </w:p>
        </w:tc>
        <w:tc>
          <w:tcPr>
            <w:tcW w:w="412" w:type="pct"/>
            <w:vMerge w:val="continue"/>
            <w:noWrap w:val="0"/>
            <w:vAlign w:val="center"/>
          </w:tcPr>
          <w:p>
            <w:pPr>
              <w:spacing w:line="340" w:lineRule="exact"/>
              <w:ind w:firstLine="0" w:firstLineChars="0"/>
              <w:jc w:val="center"/>
              <w:rPr>
                <w:rFonts w:hint="eastAsia"/>
                <w:color w:val="000000"/>
                <w:sz w:val="21"/>
                <w:szCs w:val="21"/>
              </w:rPr>
            </w:pPr>
          </w:p>
        </w:tc>
        <w:tc>
          <w:tcPr>
            <w:tcW w:w="1931" w:type="pct"/>
            <w:noWrap w:val="0"/>
            <w:vAlign w:val="center"/>
          </w:tcPr>
          <w:p>
            <w:pPr>
              <w:spacing w:line="340" w:lineRule="exact"/>
              <w:ind w:firstLine="0" w:firstLineChars="0"/>
              <w:rPr>
                <w:rFonts w:hint="eastAsia" w:ascii="Times New Roman" w:hAnsi="Times New Roman"/>
                <w:color w:val="000000"/>
                <w:kern w:val="2"/>
                <w:sz w:val="21"/>
                <w:szCs w:val="21"/>
                <w:lang w:val="en-US" w:eastAsia="zh-CN" w:bidi="ar-SA"/>
              </w:rPr>
            </w:pPr>
            <w:r>
              <w:rPr>
                <w:rFonts w:hint="eastAsia"/>
                <w:color w:val="000000"/>
                <w:sz w:val="21"/>
                <w:szCs w:val="21"/>
              </w:rPr>
              <w:t>生产废水：收集后导入粗格栅，进入厂区污水处理厂</w:t>
            </w:r>
          </w:p>
        </w:tc>
        <w:tc>
          <w:tcPr>
            <w:tcW w:w="372" w:type="pct"/>
            <w:vMerge w:val="continue"/>
            <w:noWrap w:val="0"/>
            <w:vAlign w:val="center"/>
          </w:tcPr>
          <w:p>
            <w:pPr>
              <w:spacing w:line="340" w:lineRule="exact"/>
              <w:ind w:firstLine="0" w:firstLineChars="0"/>
              <w:jc w:val="center"/>
              <w:rPr>
                <w:rFonts w:hint="eastAsia"/>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75" w:type="pct"/>
            <w:noWrap w:val="0"/>
            <w:vAlign w:val="center"/>
          </w:tcPr>
          <w:p>
            <w:pPr>
              <w:spacing w:line="340" w:lineRule="exact"/>
              <w:ind w:firstLine="0" w:firstLineChars="0"/>
              <w:jc w:val="center"/>
              <w:rPr>
                <w:color w:val="000000"/>
                <w:sz w:val="21"/>
                <w:szCs w:val="21"/>
              </w:rPr>
            </w:pPr>
            <w:r>
              <w:rPr>
                <w:color w:val="000000"/>
                <w:sz w:val="21"/>
                <w:szCs w:val="21"/>
              </w:rPr>
              <w:t>噪声</w:t>
            </w:r>
          </w:p>
        </w:tc>
        <w:tc>
          <w:tcPr>
            <w:tcW w:w="2008" w:type="pct"/>
            <w:noWrap w:val="0"/>
            <w:vAlign w:val="center"/>
          </w:tcPr>
          <w:p>
            <w:pPr>
              <w:spacing w:line="340" w:lineRule="exact"/>
              <w:ind w:firstLine="0" w:firstLineChars="0"/>
              <w:rPr>
                <w:color w:val="000000"/>
                <w:sz w:val="21"/>
                <w:szCs w:val="21"/>
              </w:rPr>
            </w:pPr>
            <w:r>
              <w:rPr>
                <w:rFonts w:hint="eastAsia"/>
                <w:color w:val="000000"/>
                <w:sz w:val="21"/>
                <w:szCs w:val="21"/>
              </w:rPr>
              <w:t>对各构筑物内的设备进行墙体隔声、消声、吸声处理</w:t>
            </w:r>
          </w:p>
        </w:tc>
        <w:tc>
          <w:tcPr>
            <w:tcW w:w="412" w:type="pct"/>
            <w:noWrap w:val="0"/>
            <w:vAlign w:val="center"/>
          </w:tcPr>
          <w:p>
            <w:pPr>
              <w:spacing w:line="340" w:lineRule="exact"/>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40</w:t>
            </w:r>
          </w:p>
        </w:tc>
        <w:tc>
          <w:tcPr>
            <w:tcW w:w="1931" w:type="pct"/>
            <w:noWrap w:val="0"/>
            <w:vAlign w:val="center"/>
          </w:tcPr>
          <w:p>
            <w:pPr>
              <w:spacing w:line="340" w:lineRule="exact"/>
              <w:ind w:firstLine="0" w:firstLineChars="0"/>
              <w:rPr>
                <w:rFonts w:ascii="Times New Roman" w:hAnsi="Times New Roman"/>
                <w:color w:val="000000"/>
                <w:kern w:val="2"/>
                <w:sz w:val="21"/>
                <w:szCs w:val="21"/>
                <w:lang w:val="en-US" w:eastAsia="zh-CN" w:bidi="ar-SA"/>
              </w:rPr>
            </w:pPr>
            <w:r>
              <w:rPr>
                <w:rFonts w:hint="eastAsia"/>
                <w:color w:val="000000"/>
                <w:sz w:val="21"/>
                <w:szCs w:val="21"/>
              </w:rPr>
              <w:t>对各构筑物内的设备进行墙体隔声、消声、吸声处理</w:t>
            </w:r>
          </w:p>
        </w:tc>
        <w:tc>
          <w:tcPr>
            <w:tcW w:w="372" w:type="pct"/>
            <w:noWrap w:val="0"/>
            <w:vAlign w:val="center"/>
          </w:tcPr>
          <w:p>
            <w:pPr>
              <w:spacing w:line="340" w:lineRule="exact"/>
              <w:ind w:firstLine="0" w:firstLineChars="0"/>
              <w:jc w:val="center"/>
              <w:rPr>
                <w:rFonts w:hint="default" w:ascii="Times New Roman" w:hAnsi="Times New Roman" w:eastAsia="宋体"/>
                <w:color w:val="000000"/>
                <w:kern w:val="2"/>
                <w:sz w:val="21"/>
                <w:szCs w:val="21"/>
                <w:lang w:val="en-US" w:eastAsia="zh-CN" w:bidi="ar-SA"/>
              </w:rPr>
            </w:pPr>
            <w:r>
              <w:rPr>
                <w:rFonts w:hint="eastAsia"/>
                <w:color w:val="000000"/>
                <w:sz w:val="21"/>
                <w:szCs w:val="21"/>
                <w:lang w:val="en-US" w:eastAsia="zh-CN"/>
              </w:rPr>
              <w:t>40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75" w:type="pct"/>
            <w:vMerge w:val="restart"/>
            <w:noWrap w:val="0"/>
            <w:vAlign w:val="center"/>
          </w:tcPr>
          <w:p>
            <w:pPr>
              <w:spacing w:line="340" w:lineRule="exact"/>
              <w:ind w:firstLine="0" w:firstLineChars="0"/>
              <w:jc w:val="center"/>
              <w:rPr>
                <w:color w:val="000000"/>
                <w:sz w:val="21"/>
                <w:szCs w:val="21"/>
              </w:rPr>
            </w:pPr>
            <w:r>
              <w:rPr>
                <w:color w:val="000000"/>
                <w:sz w:val="21"/>
                <w:szCs w:val="21"/>
              </w:rPr>
              <w:t>固废</w:t>
            </w:r>
          </w:p>
        </w:tc>
        <w:tc>
          <w:tcPr>
            <w:tcW w:w="2008" w:type="pct"/>
            <w:noWrap w:val="0"/>
            <w:vAlign w:val="center"/>
          </w:tcPr>
          <w:p>
            <w:pPr>
              <w:spacing w:line="340" w:lineRule="exact"/>
              <w:ind w:firstLine="0" w:firstLineChars="0"/>
              <w:rPr>
                <w:color w:val="000000"/>
                <w:sz w:val="21"/>
                <w:szCs w:val="21"/>
              </w:rPr>
            </w:pPr>
            <w:r>
              <w:rPr>
                <w:rFonts w:hint="eastAsia"/>
                <w:color w:val="000000"/>
                <w:sz w:val="21"/>
                <w:szCs w:val="21"/>
              </w:rPr>
              <w:t>污泥处置：外委鉴定，属于危废交危废资质单位处置，不属于危废的三方有资质单位进行综合利用或焚烧</w:t>
            </w:r>
          </w:p>
        </w:tc>
        <w:tc>
          <w:tcPr>
            <w:tcW w:w="412" w:type="pct"/>
            <w:noWrap w:val="0"/>
            <w:vAlign w:val="center"/>
          </w:tcPr>
          <w:p>
            <w:pPr>
              <w:spacing w:line="340" w:lineRule="exact"/>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8</w:t>
            </w:r>
          </w:p>
        </w:tc>
        <w:tc>
          <w:tcPr>
            <w:tcW w:w="1931" w:type="pct"/>
            <w:noWrap w:val="0"/>
            <w:vAlign w:val="center"/>
          </w:tcPr>
          <w:p>
            <w:pPr>
              <w:spacing w:line="340" w:lineRule="exact"/>
              <w:ind w:firstLine="0" w:firstLineChars="0"/>
              <w:rPr>
                <w:rFonts w:hint="default" w:ascii="Times New Roman" w:hAnsi="Times New Roman" w:eastAsia="宋体"/>
                <w:color w:val="000000"/>
                <w:kern w:val="2"/>
                <w:sz w:val="21"/>
                <w:szCs w:val="21"/>
                <w:lang w:val="en-US" w:eastAsia="zh-CN" w:bidi="ar-SA"/>
              </w:rPr>
            </w:pPr>
            <w:r>
              <w:rPr>
                <w:rFonts w:hint="eastAsia"/>
                <w:color w:val="000000"/>
                <w:sz w:val="21"/>
                <w:szCs w:val="21"/>
                <w:lang w:val="en-US" w:eastAsia="zh-CN"/>
              </w:rPr>
              <w:t>本项目目前产生的污泥未进行鉴定，全部交由</w:t>
            </w:r>
            <w:r>
              <w:rPr>
                <w:color w:val="000000"/>
                <w:sz w:val="21"/>
                <w:szCs w:val="21"/>
              </w:rPr>
              <w:t>成都兴蓉环保科技股份有限公司</w:t>
            </w:r>
            <w:r>
              <w:rPr>
                <w:rFonts w:hint="eastAsia"/>
                <w:color w:val="000000"/>
                <w:sz w:val="21"/>
                <w:szCs w:val="21"/>
                <w:lang w:val="en-US" w:eastAsia="zh-CN"/>
              </w:rPr>
              <w:t>进行处置</w:t>
            </w:r>
          </w:p>
        </w:tc>
        <w:tc>
          <w:tcPr>
            <w:tcW w:w="372" w:type="pct"/>
            <w:noWrap w:val="0"/>
            <w:vAlign w:val="center"/>
          </w:tcPr>
          <w:p>
            <w:pPr>
              <w:spacing w:line="340" w:lineRule="exact"/>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75" w:type="pct"/>
            <w:vMerge w:val="continue"/>
            <w:noWrap w:val="0"/>
            <w:vAlign w:val="center"/>
          </w:tcPr>
          <w:p>
            <w:pPr>
              <w:spacing w:line="340" w:lineRule="exact"/>
              <w:ind w:firstLine="0" w:firstLineChars="0"/>
              <w:jc w:val="center"/>
              <w:rPr>
                <w:color w:val="000000"/>
                <w:sz w:val="21"/>
                <w:szCs w:val="21"/>
              </w:rPr>
            </w:pPr>
          </w:p>
        </w:tc>
        <w:tc>
          <w:tcPr>
            <w:tcW w:w="2008" w:type="pct"/>
            <w:noWrap w:val="0"/>
            <w:vAlign w:val="center"/>
          </w:tcPr>
          <w:p>
            <w:pPr>
              <w:spacing w:line="340" w:lineRule="exact"/>
              <w:ind w:firstLine="0" w:firstLineChars="0"/>
              <w:jc w:val="left"/>
              <w:rPr>
                <w:color w:val="000000"/>
                <w:sz w:val="21"/>
                <w:szCs w:val="21"/>
              </w:rPr>
            </w:pPr>
            <w:r>
              <w:rPr>
                <w:rFonts w:hint="eastAsia"/>
                <w:color w:val="000000"/>
                <w:sz w:val="21"/>
                <w:szCs w:val="21"/>
              </w:rPr>
              <w:t>生活垃圾：厂区设垃圾收集桶，交由当地环卫部门清运处理</w:t>
            </w:r>
          </w:p>
        </w:tc>
        <w:tc>
          <w:tcPr>
            <w:tcW w:w="412" w:type="pct"/>
            <w:noWrap w:val="0"/>
            <w:vAlign w:val="center"/>
          </w:tcPr>
          <w:p>
            <w:pPr>
              <w:spacing w:line="340" w:lineRule="exact"/>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1</w:t>
            </w:r>
          </w:p>
        </w:tc>
        <w:tc>
          <w:tcPr>
            <w:tcW w:w="1931" w:type="pct"/>
            <w:noWrap w:val="0"/>
            <w:vAlign w:val="center"/>
          </w:tcPr>
          <w:p>
            <w:pPr>
              <w:spacing w:line="340" w:lineRule="exact"/>
              <w:ind w:firstLine="0" w:firstLineChars="0"/>
              <w:jc w:val="left"/>
              <w:rPr>
                <w:rFonts w:ascii="Times New Roman" w:hAnsi="Times New Roman"/>
                <w:color w:val="000000"/>
                <w:kern w:val="2"/>
                <w:sz w:val="21"/>
                <w:szCs w:val="21"/>
                <w:lang w:val="en-US" w:eastAsia="zh-CN" w:bidi="ar-SA"/>
              </w:rPr>
            </w:pPr>
            <w:r>
              <w:rPr>
                <w:rFonts w:hint="eastAsia"/>
                <w:color w:val="000000"/>
                <w:sz w:val="21"/>
                <w:szCs w:val="21"/>
              </w:rPr>
              <w:t>生活垃圾：厂区设垃圾收集桶，交由当地环卫部门清运处理</w:t>
            </w:r>
          </w:p>
        </w:tc>
        <w:tc>
          <w:tcPr>
            <w:tcW w:w="372" w:type="pct"/>
            <w:noWrap w:val="0"/>
            <w:vAlign w:val="center"/>
          </w:tcPr>
          <w:p>
            <w:pPr>
              <w:spacing w:line="340" w:lineRule="exact"/>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75" w:type="pct"/>
            <w:vMerge w:val="continue"/>
            <w:noWrap w:val="0"/>
            <w:vAlign w:val="center"/>
          </w:tcPr>
          <w:p>
            <w:pPr>
              <w:spacing w:line="340" w:lineRule="exact"/>
              <w:ind w:firstLine="0" w:firstLineChars="0"/>
              <w:jc w:val="center"/>
              <w:rPr>
                <w:color w:val="000000"/>
                <w:sz w:val="21"/>
                <w:szCs w:val="21"/>
              </w:rPr>
            </w:pPr>
          </w:p>
        </w:tc>
        <w:tc>
          <w:tcPr>
            <w:tcW w:w="2008" w:type="pct"/>
            <w:noWrap w:val="0"/>
            <w:vAlign w:val="center"/>
          </w:tcPr>
          <w:p>
            <w:pPr>
              <w:spacing w:line="340" w:lineRule="exact"/>
              <w:ind w:firstLine="0" w:firstLineChars="0"/>
              <w:rPr>
                <w:color w:val="000000"/>
                <w:sz w:val="21"/>
                <w:szCs w:val="21"/>
              </w:rPr>
            </w:pPr>
            <w:r>
              <w:rPr>
                <w:rFonts w:hint="eastAsia"/>
                <w:color w:val="000000"/>
                <w:sz w:val="21"/>
                <w:szCs w:val="21"/>
              </w:rPr>
              <w:t>实验室危废：交有相关资质的单位处置</w:t>
            </w:r>
          </w:p>
        </w:tc>
        <w:tc>
          <w:tcPr>
            <w:tcW w:w="412" w:type="pct"/>
            <w:noWrap w:val="0"/>
            <w:vAlign w:val="center"/>
          </w:tcPr>
          <w:p>
            <w:pPr>
              <w:spacing w:line="340" w:lineRule="exact"/>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2</w:t>
            </w:r>
          </w:p>
        </w:tc>
        <w:tc>
          <w:tcPr>
            <w:tcW w:w="1931" w:type="pct"/>
            <w:noWrap w:val="0"/>
            <w:vAlign w:val="center"/>
          </w:tcPr>
          <w:p>
            <w:pPr>
              <w:spacing w:line="340" w:lineRule="exact"/>
              <w:ind w:firstLine="0" w:firstLineChars="0"/>
              <w:rPr>
                <w:rFonts w:ascii="Times New Roman" w:hAnsi="Times New Roman"/>
                <w:color w:val="000000"/>
                <w:kern w:val="2"/>
                <w:sz w:val="21"/>
                <w:szCs w:val="21"/>
                <w:lang w:val="en-US" w:eastAsia="zh-CN" w:bidi="ar-SA"/>
              </w:rPr>
            </w:pPr>
            <w:r>
              <w:rPr>
                <w:rFonts w:hint="eastAsia"/>
                <w:color w:val="000000"/>
                <w:sz w:val="21"/>
                <w:szCs w:val="21"/>
              </w:rPr>
              <w:t>实验室危废：交</w:t>
            </w:r>
            <w:r>
              <w:rPr>
                <w:color w:val="000000"/>
                <w:sz w:val="21"/>
                <w:szCs w:val="21"/>
              </w:rPr>
              <w:t>成都兴蓉环保科技股份有限公司</w:t>
            </w:r>
            <w:r>
              <w:rPr>
                <w:rFonts w:hint="eastAsia"/>
                <w:color w:val="000000"/>
                <w:sz w:val="21"/>
                <w:szCs w:val="21"/>
              </w:rPr>
              <w:t>处置</w:t>
            </w:r>
          </w:p>
        </w:tc>
        <w:tc>
          <w:tcPr>
            <w:tcW w:w="372" w:type="pct"/>
            <w:noWrap w:val="0"/>
            <w:vAlign w:val="center"/>
          </w:tcPr>
          <w:p>
            <w:pPr>
              <w:spacing w:line="340" w:lineRule="exact"/>
              <w:ind w:firstLine="0" w:firstLineChars="0"/>
              <w:jc w:val="center"/>
              <w:rPr>
                <w:rFonts w:hint="default" w:ascii="Times New Roman" w:hAnsi="Times New Roman" w:eastAsia="宋体"/>
                <w:color w:val="000000"/>
                <w:kern w:val="2"/>
                <w:sz w:val="21"/>
                <w:szCs w:val="21"/>
                <w:lang w:val="en-US" w:eastAsia="zh-CN" w:bidi="ar-SA"/>
              </w:rPr>
            </w:pPr>
            <w:r>
              <w:rPr>
                <w:rFonts w:hint="eastAsia" w:eastAsia="宋体"/>
                <w:color w:val="000000"/>
                <w:kern w:val="2"/>
                <w:sz w:val="21"/>
                <w:szCs w:val="21"/>
                <w:lang w:val="en-US" w:eastAsia="zh-CN" w:bidi="ar-SA"/>
              </w:rPr>
              <w:t>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75" w:type="pct"/>
            <w:vMerge w:val="restart"/>
            <w:noWrap w:val="0"/>
            <w:vAlign w:val="center"/>
          </w:tcPr>
          <w:p>
            <w:pPr>
              <w:spacing w:line="340" w:lineRule="exact"/>
              <w:ind w:firstLine="0" w:firstLineChars="0"/>
              <w:jc w:val="center"/>
              <w:rPr>
                <w:color w:val="000000"/>
                <w:sz w:val="21"/>
                <w:szCs w:val="21"/>
              </w:rPr>
            </w:pPr>
            <w:r>
              <w:rPr>
                <w:color w:val="000000"/>
                <w:sz w:val="21"/>
                <w:szCs w:val="21"/>
              </w:rPr>
              <w:t>地下水防治措施</w:t>
            </w:r>
          </w:p>
        </w:tc>
        <w:tc>
          <w:tcPr>
            <w:tcW w:w="2008" w:type="pct"/>
            <w:noWrap w:val="0"/>
            <w:vAlign w:val="center"/>
          </w:tcPr>
          <w:p>
            <w:pPr>
              <w:spacing w:line="340" w:lineRule="exact"/>
              <w:ind w:firstLine="0" w:firstLineChars="0"/>
              <w:rPr>
                <w:color w:val="000000"/>
                <w:sz w:val="21"/>
                <w:szCs w:val="21"/>
                <w:highlight w:val="none"/>
              </w:rPr>
            </w:pPr>
            <w:r>
              <w:rPr>
                <w:rFonts w:hint="eastAsia"/>
                <w:color w:val="000000"/>
                <w:sz w:val="21"/>
                <w:szCs w:val="21"/>
                <w:highlight w:val="none"/>
              </w:rPr>
              <w:t>重点防渗区：厚度Mb≥6.0m、渗透系数K≤1×10</w:t>
            </w:r>
            <w:r>
              <w:rPr>
                <w:rFonts w:hint="eastAsia"/>
                <w:color w:val="000000"/>
                <w:sz w:val="21"/>
                <w:szCs w:val="21"/>
                <w:highlight w:val="none"/>
                <w:vertAlign w:val="superscript"/>
              </w:rPr>
              <w:t>-7</w:t>
            </w:r>
            <w:r>
              <w:rPr>
                <w:rFonts w:hint="eastAsia"/>
                <w:color w:val="000000"/>
                <w:sz w:val="21"/>
                <w:szCs w:val="21"/>
                <w:highlight w:val="none"/>
              </w:rPr>
              <w:t>cm/s粘土防渗层等效的，不低于厚度为30cm、强度C30、抗渗等级为P8（渗透系数0.26×10</w:t>
            </w:r>
            <w:r>
              <w:rPr>
                <w:rFonts w:hint="eastAsia"/>
                <w:color w:val="000000"/>
                <w:sz w:val="21"/>
                <w:szCs w:val="21"/>
                <w:highlight w:val="none"/>
                <w:vertAlign w:val="superscript"/>
              </w:rPr>
              <w:t>-8</w:t>
            </w:r>
            <w:r>
              <w:rPr>
                <w:rFonts w:hint="eastAsia"/>
                <w:color w:val="000000"/>
                <w:sz w:val="21"/>
                <w:szCs w:val="21"/>
                <w:highlight w:val="none"/>
              </w:rPr>
              <w:t>cm/s）的混凝土防渗结构</w:t>
            </w:r>
          </w:p>
        </w:tc>
        <w:tc>
          <w:tcPr>
            <w:tcW w:w="412" w:type="pct"/>
            <w:vMerge w:val="restart"/>
            <w:noWrap w:val="0"/>
            <w:vAlign w:val="center"/>
          </w:tcPr>
          <w:p>
            <w:pPr>
              <w:spacing w:line="340" w:lineRule="exact"/>
              <w:ind w:firstLine="0" w:firstLineChars="0"/>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纳入主体工程</w:t>
            </w:r>
          </w:p>
        </w:tc>
        <w:tc>
          <w:tcPr>
            <w:tcW w:w="1931" w:type="pct"/>
            <w:noWrap w:val="0"/>
            <w:vAlign w:val="center"/>
          </w:tcPr>
          <w:p>
            <w:pPr>
              <w:spacing w:line="340" w:lineRule="exact"/>
              <w:ind w:firstLine="0" w:firstLineChars="0"/>
              <w:jc w:val="center"/>
              <w:rPr>
                <w:rFonts w:hint="default" w:ascii="Times New Roman" w:hAnsi="Times New Roman" w:eastAsia="宋体"/>
                <w:color w:val="000000"/>
                <w:kern w:val="2"/>
                <w:sz w:val="21"/>
                <w:szCs w:val="21"/>
                <w:highlight w:val="none"/>
                <w:lang w:val="en-US" w:eastAsia="zh-CN" w:bidi="ar-SA"/>
              </w:rPr>
            </w:pPr>
            <w:r>
              <w:rPr>
                <w:rFonts w:hint="eastAsia"/>
                <w:color w:val="000000"/>
                <w:sz w:val="21"/>
                <w:szCs w:val="21"/>
                <w:highlight w:val="none"/>
                <w:lang w:val="en-US" w:eastAsia="zh-CN"/>
              </w:rPr>
              <w:t>本项目水处理区域、污泥处理区域、实验室等重点区域采取重点防渗</w:t>
            </w:r>
          </w:p>
        </w:tc>
        <w:tc>
          <w:tcPr>
            <w:tcW w:w="372" w:type="pct"/>
            <w:vMerge w:val="restart"/>
            <w:noWrap w:val="0"/>
            <w:vAlign w:val="center"/>
          </w:tcPr>
          <w:p>
            <w:pPr>
              <w:spacing w:line="340" w:lineRule="exact"/>
              <w:ind w:firstLine="0" w:firstLineChars="0"/>
              <w:jc w:val="center"/>
              <w:rPr>
                <w:rFonts w:hint="default" w:ascii="Times New Roman" w:hAnsi="Times New Roman" w:eastAsia="宋体"/>
                <w:color w:val="000000"/>
                <w:kern w:val="2"/>
                <w:sz w:val="21"/>
                <w:szCs w:val="21"/>
                <w:highlight w:val="none"/>
                <w:lang w:val="en-US" w:eastAsia="zh-CN" w:bidi="ar-SA"/>
              </w:rPr>
            </w:pPr>
            <w:r>
              <w:rPr>
                <w:rFonts w:hint="eastAsia"/>
                <w:color w:val="000000"/>
                <w:sz w:val="21"/>
                <w:szCs w:val="21"/>
                <w:highlight w:val="none"/>
                <w:lang w:val="en-US" w:eastAsia="zh-CN"/>
              </w:rPr>
              <w:t>纳入主体工程</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75" w:type="pct"/>
            <w:vMerge w:val="continue"/>
            <w:noWrap w:val="0"/>
            <w:vAlign w:val="center"/>
          </w:tcPr>
          <w:p>
            <w:pPr>
              <w:spacing w:line="340" w:lineRule="exact"/>
              <w:ind w:firstLine="0" w:firstLineChars="0"/>
              <w:jc w:val="center"/>
              <w:rPr>
                <w:color w:val="000000"/>
                <w:sz w:val="21"/>
                <w:szCs w:val="21"/>
              </w:rPr>
            </w:pPr>
          </w:p>
        </w:tc>
        <w:tc>
          <w:tcPr>
            <w:tcW w:w="2008" w:type="pct"/>
            <w:noWrap w:val="0"/>
            <w:vAlign w:val="center"/>
          </w:tcPr>
          <w:p>
            <w:pPr>
              <w:spacing w:line="340" w:lineRule="exact"/>
              <w:ind w:firstLine="0" w:firstLineChars="0"/>
              <w:rPr>
                <w:rFonts w:hint="eastAsia"/>
                <w:color w:val="000000"/>
                <w:sz w:val="21"/>
                <w:szCs w:val="21"/>
                <w:highlight w:val="none"/>
              </w:rPr>
            </w:pPr>
            <w:r>
              <w:rPr>
                <w:rFonts w:hint="eastAsia"/>
                <w:color w:val="000000"/>
                <w:sz w:val="21"/>
                <w:szCs w:val="21"/>
                <w:highlight w:val="none"/>
              </w:rPr>
              <w:t>一般防渗区：采用防渗性能与厚度Mb≥1.5m、渗透系数K≤1×10</w:t>
            </w:r>
            <w:r>
              <w:rPr>
                <w:rFonts w:hint="eastAsia"/>
                <w:color w:val="000000"/>
                <w:sz w:val="21"/>
                <w:szCs w:val="21"/>
                <w:highlight w:val="none"/>
                <w:vertAlign w:val="superscript"/>
              </w:rPr>
              <w:t>-7</w:t>
            </w:r>
            <w:r>
              <w:rPr>
                <w:rFonts w:hint="eastAsia"/>
                <w:color w:val="000000"/>
                <w:sz w:val="21"/>
                <w:szCs w:val="21"/>
                <w:highlight w:val="none"/>
              </w:rPr>
              <w:t>cm/s粘土防渗层等效的，不低于厚度为30cm、强度C25、抗渗等级为P6（渗透系数≤0.49×10</w:t>
            </w:r>
            <w:r>
              <w:rPr>
                <w:rFonts w:hint="eastAsia"/>
                <w:color w:val="000000"/>
                <w:sz w:val="21"/>
                <w:szCs w:val="21"/>
                <w:highlight w:val="none"/>
                <w:vertAlign w:val="superscript"/>
              </w:rPr>
              <w:t>-8</w:t>
            </w:r>
            <w:r>
              <w:rPr>
                <w:rFonts w:hint="eastAsia"/>
                <w:color w:val="000000"/>
                <w:sz w:val="21"/>
                <w:szCs w:val="21"/>
                <w:highlight w:val="none"/>
              </w:rPr>
              <w:t>cm/s）的混凝土防渗结构。</w:t>
            </w:r>
          </w:p>
        </w:tc>
        <w:tc>
          <w:tcPr>
            <w:tcW w:w="412" w:type="pct"/>
            <w:vMerge w:val="continue"/>
            <w:noWrap w:val="0"/>
            <w:vAlign w:val="center"/>
          </w:tcPr>
          <w:p>
            <w:pPr>
              <w:spacing w:line="340" w:lineRule="exact"/>
              <w:ind w:firstLine="0" w:firstLineChars="0"/>
              <w:jc w:val="center"/>
              <w:rPr>
                <w:color w:val="000000"/>
                <w:sz w:val="21"/>
                <w:szCs w:val="21"/>
                <w:highlight w:val="none"/>
              </w:rPr>
            </w:pPr>
          </w:p>
        </w:tc>
        <w:tc>
          <w:tcPr>
            <w:tcW w:w="1931" w:type="pct"/>
            <w:noWrap w:val="0"/>
            <w:vAlign w:val="center"/>
          </w:tcPr>
          <w:p>
            <w:pPr>
              <w:spacing w:line="340" w:lineRule="exact"/>
              <w:ind w:firstLine="0" w:firstLineChars="0"/>
              <w:jc w:val="center"/>
              <w:rPr>
                <w:rFonts w:hint="default" w:ascii="Times New Roman" w:hAnsi="Times New Roman"/>
                <w:color w:val="000000"/>
                <w:kern w:val="2"/>
                <w:sz w:val="21"/>
                <w:szCs w:val="21"/>
                <w:highlight w:val="none"/>
                <w:lang w:val="en-US" w:eastAsia="zh-CN" w:bidi="ar-SA"/>
              </w:rPr>
            </w:pPr>
            <w:r>
              <w:rPr>
                <w:rFonts w:hint="eastAsia"/>
                <w:color w:val="000000"/>
                <w:kern w:val="2"/>
                <w:sz w:val="21"/>
                <w:szCs w:val="21"/>
                <w:highlight w:val="none"/>
                <w:lang w:val="en-US" w:eastAsia="zh-CN" w:bidi="ar-SA"/>
              </w:rPr>
              <w:t>厂区内道路、绿化、办公生活区采用一般防渗</w:t>
            </w:r>
          </w:p>
        </w:tc>
        <w:tc>
          <w:tcPr>
            <w:tcW w:w="372" w:type="pct"/>
            <w:vMerge w:val="continue"/>
            <w:noWrap w:val="0"/>
            <w:vAlign w:val="center"/>
          </w:tcPr>
          <w:p>
            <w:pPr>
              <w:spacing w:line="340" w:lineRule="exact"/>
              <w:ind w:firstLine="0" w:firstLineChars="0"/>
              <w:jc w:val="center"/>
              <w:rPr>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75" w:type="pct"/>
            <w:vMerge w:val="continue"/>
            <w:noWrap w:val="0"/>
            <w:vAlign w:val="center"/>
          </w:tcPr>
          <w:p>
            <w:pPr>
              <w:spacing w:line="340" w:lineRule="exact"/>
              <w:ind w:firstLine="0" w:firstLineChars="0"/>
              <w:jc w:val="center"/>
              <w:rPr>
                <w:color w:val="000000"/>
                <w:sz w:val="21"/>
                <w:szCs w:val="21"/>
              </w:rPr>
            </w:pPr>
          </w:p>
        </w:tc>
        <w:tc>
          <w:tcPr>
            <w:tcW w:w="2008" w:type="pct"/>
            <w:noWrap w:val="0"/>
            <w:vAlign w:val="center"/>
          </w:tcPr>
          <w:p>
            <w:pPr>
              <w:spacing w:line="340" w:lineRule="exact"/>
              <w:ind w:firstLine="0" w:firstLineChars="0"/>
              <w:rPr>
                <w:rFonts w:hint="eastAsia"/>
                <w:color w:val="000000"/>
                <w:sz w:val="21"/>
                <w:szCs w:val="21"/>
                <w:highlight w:val="none"/>
              </w:rPr>
            </w:pPr>
            <w:r>
              <w:rPr>
                <w:rFonts w:hint="eastAsia"/>
                <w:color w:val="000000"/>
                <w:sz w:val="21"/>
                <w:szCs w:val="21"/>
                <w:highlight w:val="none"/>
              </w:rPr>
              <w:t>简单防渗区：采用一般地面硬化防渗。</w:t>
            </w:r>
          </w:p>
        </w:tc>
        <w:tc>
          <w:tcPr>
            <w:tcW w:w="412" w:type="pct"/>
            <w:vMerge w:val="continue"/>
            <w:noWrap w:val="0"/>
            <w:vAlign w:val="center"/>
          </w:tcPr>
          <w:p>
            <w:pPr>
              <w:spacing w:line="340" w:lineRule="exact"/>
              <w:ind w:firstLine="0" w:firstLineChars="0"/>
              <w:jc w:val="center"/>
              <w:rPr>
                <w:color w:val="000000"/>
                <w:sz w:val="21"/>
                <w:szCs w:val="21"/>
                <w:highlight w:val="none"/>
              </w:rPr>
            </w:pPr>
          </w:p>
        </w:tc>
        <w:tc>
          <w:tcPr>
            <w:tcW w:w="1931" w:type="pct"/>
            <w:noWrap w:val="0"/>
            <w:vAlign w:val="center"/>
          </w:tcPr>
          <w:p>
            <w:pPr>
              <w:spacing w:line="340" w:lineRule="exact"/>
              <w:ind w:firstLine="0" w:firstLineChars="0"/>
              <w:jc w:val="center"/>
              <w:rPr>
                <w:rFonts w:hint="eastAsia" w:ascii="Times New Roman" w:hAnsi="Times New Roman"/>
                <w:color w:val="000000"/>
                <w:kern w:val="2"/>
                <w:sz w:val="21"/>
                <w:szCs w:val="21"/>
                <w:highlight w:val="none"/>
                <w:lang w:val="en-US" w:eastAsia="zh-CN" w:bidi="ar-SA"/>
              </w:rPr>
            </w:pPr>
            <w:r>
              <w:rPr>
                <w:rFonts w:hint="eastAsia"/>
                <w:color w:val="000000"/>
                <w:sz w:val="21"/>
                <w:szCs w:val="21"/>
                <w:highlight w:val="none"/>
              </w:rPr>
              <w:t>简单防渗区：采用一般地面硬化防渗。</w:t>
            </w:r>
          </w:p>
        </w:tc>
        <w:tc>
          <w:tcPr>
            <w:tcW w:w="372" w:type="pct"/>
            <w:vMerge w:val="continue"/>
            <w:noWrap w:val="0"/>
            <w:vAlign w:val="center"/>
          </w:tcPr>
          <w:p>
            <w:pPr>
              <w:spacing w:line="340" w:lineRule="exact"/>
              <w:ind w:firstLine="0" w:firstLineChars="0"/>
              <w:jc w:val="center"/>
              <w:rPr>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275" w:type="pct"/>
            <w:noWrap w:val="0"/>
            <w:vAlign w:val="center"/>
          </w:tcPr>
          <w:p>
            <w:pPr>
              <w:spacing w:line="340" w:lineRule="exact"/>
              <w:ind w:firstLine="0" w:firstLineChars="0"/>
              <w:jc w:val="center"/>
              <w:rPr>
                <w:color w:val="000000"/>
                <w:sz w:val="21"/>
                <w:szCs w:val="21"/>
              </w:rPr>
            </w:pPr>
            <w:r>
              <w:rPr>
                <w:rFonts w:hint="eastAsia"/>
                <w:color w:val="000000"/>
                <w:sz w:val="21"/>
                <w:szCs w:val="21"/>
                <w:lang w:val="en-US" w:eastAsia="zh-CN"/>
              </w:rPr>
              <w:t>环境</w:t>
            </w:r>
            <w:r>
              <w:rPr>
                <w:color w:val="000000"/>
                <w:sz w:val="21"/>
                <w:szCs w:val="21"/>
              </w:rPr>
              <w:t>风险</w:t>
            </w:r>
          </w:p>
        </w:tc>
        <w:tc>
          <w:tcPr>
            <w:tcW w:w="2008" w:type="pct"/>
            <w:noWrap w:val="0"/>
            <w:vAlign w:val="center"/>
          </w:tcPr>
          <w:p>
            <w:pPr>
              <w:spacing w:line="340" w:lineRule="exact"/>
              <w:ind w:firstLine="0" w:firstLineChars="0"/>
              <w:rPr>
                <w:rFonts w:hint="eastAsia"/>
                <w:color w:val="000000"/>
                <w:sz w:val="21"/>
                <w:szCs w:val="21"/>
              </w:rPr>
            </w:pPr>
            <w:r>
              <w:rPr>
                <w:rFonts w:hint="eastAsia"/>
                <w:color w:val="000000"/>
                <w:sz w:val="21"/>
                <w:szCs w:val="21"/>
              </w:rPr>
              <w:t>①项目设计采用双电源，可避免停电造成污水处理系统停运。②一般固废和危险固废暂存区等采取“防雨、防渗、防流失”措施。③厂区调节池兼做事故池以收集事故废水。④厂区应急</w:t>
            </w:r>
          </w:p>
          <w:p>
            <w:pPr>
              <w:spacing w:line="340" w:lineRule="exact"/>
              <w:ind w:firstLine="0" w:firstLineChars="0"/>
              <w:rPr>
                <w:color w:val="000000"/>
                <w:sz w:val="21"/>
                <w:szCs w:val="21"/>
              </w:rPr>
            </w:pPr>
            <w:r>
              <w:rPr>
                <w:rFonts w:hint="eastAsia"/>
                <w:color w:val="000000"/>
                <w:sz w:val="21"/>
                <w:szCs w:val="21"/>
              </w:rPr>
              <w:t>预案、与园区各企业、园区管委会、当地政府、管理单位和相关部门建立的联动应急预案及管理措施建设</w:t>
            </w:r>
          </w:p>
        </w:tc>
        <w:tc>
          <w:tcPr>
            <w:tcW w:w="412" w:type="pct"/>
            <w:noWrap w:val="0"/>
            <w:vAlign w:val="center"/>
          </w:tcPr>
          <w:p>
            <w:pPr>
              <w:spacing w:line="340" w:lineRule="exact"/>
              <w:ind w:firstLine="0" w:firstLineChars="0"/>
              <w:jc w:val="center"/>
              <w:rPr>
                <w:rFonts w:hint="eastAsia" w:eastAsia="宋体"/>
                <w:color w:val="000000"/>
                <w:sz w:val="21"/>
                <w:szCs w:val="21"/>
                <w:lang w:eastAsia="zh-CN"/>
              </w:rPr>
            </w:pPr>
            <w:r>
              <w:rPr>
                <w:rFonts w:hint="eastAsia"/>
                <w:color w:val="000000"/>
                <w:sz w:val="21"/>
                <w:szCs w:val="21"/>
                <w:lang w:val="en-US" w:eastAsia="zh-CN"/>
              </w:rPr>
              <w:t>/</w:t>
            </w:r>
          </w:p>
        </w:tc>
        <w:tc>
          <w:tcPr>
            <w:tcW w:w="1931" w:type="pct"/>
            <w:noWrap w:val="0"/>
            <w:vAlign w:val="center"/>
          </w:tcPr>
          <w:p>
            <w:pPr>
              <w:spacing w:line="340" w:lineRule="exact"/>
              <w:ind w:firstLine="0" w:firstLineChars="0"/>
              <w:rPr>
                <w:rFonts w:ascii="Times New Roman" w:hAnsi="Times New Roman"/>
                <w:color w:val="000000"/>
                <w:kern w:val="2"/>
                <w:sz w:val="21"/>
                <w:szCs w:val="21"/>
                <w:lang w:val="en-US" w:eastAsia="zh-CN" w:bidi="ar-SA"/>
              </w:rPr>
            </w:pPr>
            <w:r>
              <w:rPr>
                <w:rFonts w:hint="eastAsia"/>
                <w:color w:val="000000"/>
                <w:sz w:val="21"/>
                <w:szCs w:val="21"/>
              </w:rPr>
              <w:t>①项目设计采用双电源，可避免停电造成污水处理系统停运。②一般固废和危险固废暂存区等采取“防雨、防渗、防流失”措施。③厂区调节池兼做事故池以收集事故废水。④厂区应急预案、与园区各企业、园区管委会、当地政府、管理单位和相关部门建立的联动应急预案及管理措施建设</w:t>
            </w:r>
          </w:p>
        </w:tc>
        <w:tc>
          <w:tcPr>
            <w:tcW w:w="372" w:type="pct"/>
            <w:noWrap w:val="0"/>
            <w:vAlign w:val="center"/>
          </w:tcPr>
          <w:p>
            <w:pPr>
              <w:spacing w:line="340" w:lineRule="exact"/>
              <w:ind w:firstLine="0" w:firstLineChars="0"/>
              <w:jc w:val="center"/>
              <w:rPr>
                <w:rFonts w:hint="eastAsia" w:ascii="Times New Roman" w:hAnsi="Times New Roman" w:eastAsia="宋体"/>
                <w:color w:val="000000"/>
                <w:kern w:val="2"/>
                <w:sz w:val="21"/>
                <w:szCs w:val="21"/>
                <w:lang w:val="en-US" w:eastAsia="zh-CN" w:bidi="ar-SA"/>
              </w:rPr>
            </w:pPr>
            <w:r>
              <w:rPr>
                <w:rFonts w:hint="eastAsia"/>
                <w:color w:val="000000"/>
                <w:sz w:val="21"/>
                <w:szCs w:val="21"/>
                <w:lang w:val="en-US"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cantSplit/>
          <w:trHeight w:val="454" w:hRule="atLeast"/>
          <w:jc w:val="center"/>
        </w:trPr>
        <w:tc>
          <w:tcPr>
            <w:tcW w:w="275" w:type="pct"/>
            <w:noWrap w:val="0"/>
            <w:vAlign w:val="center"/>
          </w:tcPr>
          <w:p>
            <w:pPr>
              <w:spacing w:line="340" w:lineRule="exact"/>
              <w:ind w:firstLine="0" w:firstLineChars="0"/>
              <w:jc w:val="center"/>
              <w:rPr>
                <w:color w:val="000000"/>
                <w:sz w:val="21"/>
                <w:szCs w:val="21"/>
              </w:rPr>
            </w:pPr>
            <w:r>
              <w:rPr>
                <w:color w:val="000000"/>
                <w:sz w:val="21"/>
                <w:szCs w:val="21"/>
              </w:rPr>
              <w:t>环境监测</w:t>
            </w:r>
          </w:p>
        </w:tc>
        <w:tc>
          <w:tcPr>
            <w:tcW w:w="2008" w:type="pct"/>
            <w:noWrap w:val="0"/>
            <w:vAlign w:val="center"/>
          </w:tcPr>
          <w:p>
            <w:pPr>
              <w:spacing w:line="340" w:lineRule="exact"/>
              <w:ind w:firstLine="0" w:firstLineChars="0"/>
              <w:jc w:val="left"/>
              <w:rPr>
                <w:color w:val="000000"/>
                <w:sz w:val="21"/>
                <w:szCs w:val="21"/>
              </w:rPr>
            </w:pPr>
            <w:r>
              <w:rPr>
                <w:rFonts w:hint="eastAsia"/>
                <w:color w:val="000000"/>
                <w:sz w:val="21"/>
                <w:szCs w:val="21"/>
              </w:rPr>
              <w:t>污水厂进水口及出水口处分别设置1在线监测系统，主要监测流量、pH、水温、CODCr、氨氮、总磷、总氮等</w:t>
            </w:r>
          </w:p>
        </w:tc>
        <w:tc>
          <w:tcPr>
            <w:tcW w:w="412" w:type="pct"/>
            <w:noWrap w:val="0"/>
            <w:vAlign w:val="center"/>
          </w:tcPr>
          <w:p>
            <w:pPr>
              <w:spacing w:line="340" w:lineRule="exact"/>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100</w:t>
            </w:r>
          </w:p>
        </w:tc>
        <w:tc>
          <w:tcPr>
            <w:tcW w:w="1931" w:type="pct"/>
            <w:noWrap w:val="0"/>
            <w:vAlign w:val="center"/>
          </w:tcPr>
          <w:p>
            <w:pPr>
              <w:spacing w:line="340" w:lineRule="exact"/>
              <w:ind w:firstLine="0" w:firstLineChars="0"/>
              <w:jc w:val="left"/>
              <w:rPr>
                <w:rFonts w:ascii="Times New Roman" w:hAnsi="Times New Roman"/>
                <w:color w:val="000000"/>
                <w:kern w:val="2"/>
                <w:sz w:val="21"/>
                <w:szCs w:val="21"/>
                <w:lang w:val="en-US" w:eastAsia="zh-CN" w:bidi="ar-SA"/>
              </w:rPr>
            </w:pPr>
            <w:r>
              <w:rPr>
                <w:rFonts w:hint="eastAsia"/>
                <w:color w:val="000000"/>
                <w:sz w:val="21"/>
                <w:szCs w:val="21"/>
              </w:rPr>
              <w:t>污水厂进水口及出水口处分别设置1在线监测系统，主要监测流量、pH、水温、CODCr、氨氮、总磷、总氮等</w:t>
            </w:r>
          </w:p>
        </w:tc>
        <w:tc>
          <w:tcPr>
            <w:tcW w:w="372" w:type="pct"/>
            <w:noWrap w:val="0"/>
            <w:vAlign w:val="center"/>
          </w:tcPr>
          <w:p>
            <w:pPr>
              <w:spacing w:line="340" w:lineRule="exact"/>
              <w:ind w:firstLine="0" w:firstLineChars="0"/>
              <w:jc w:val="center"/>
              <w:rPr>
                <w:rFonts w:hint="default" w:ascii="Times New Roman" w:hAnsi="Times New Roman" w:eastAsia="宋体"/>
                <w:color w:val="000000"/>
                <w:kern w:val="2"/>
                <w:sz w:val="21"/>
                <w:szCs w:val="21"/>
                <w:lang w:val="en-US" w:eastAsia="zh-CN" w:bidi="ar-SA"/>
              </w:rPr>
            </w:pPr>
            <w:r>
              <w:rPr>
                <w:rFonts w:hint="eastAsia"/>
                <w:color w:val="000000"/>
                <w:sz w:val="21"/>
                <w:szCs w:val="21"/>
                <w:lang w:val="en-US" w:eastAsia="zh-CN"/>
              </w:rPr>
              <w:t>100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75" w:type="pct"/>
            <w:noWrap w:val="0"/>
            <w:vAlign w:val="center"/>
          </w:tcPr>
          <w:p>
            <w:pPr>
              <w:spacing w:line="340" w:lineRule="exact"/>
              <w:ind w:firstLine="0" w:firstLineChars="0"/>
              <w:jc w:val="center"/>
              <w:rPr>
                <w:color w:val="000000"/>
                <w:sz w:val="21"/>
                <w:szCs w:val="21"/>
              </w:rPr>
            </w:pPr>
            <w:r>
              <w:rPr>
                <w:rFonts w:hint="eastAsia"/>
                <w:color w:val="000000"/>
                <w:sz w:val="21"/>
                <w:szCs w:val="21"/>
              </w:rPr>
              <w:t>环境管理</w:t>
            </w:r>
          </w:p>
        </w:tc>
        <w:tc>
          <w:tcPr>
            <w:tcW w:w="2008" w:type="pct"/>
            <w:noWrap w:val="0"/>
            <w:vAlign w:val="center"/>
          </w:tcPr>
          <w:p>
            <w:pPr>
              <w:spacing w:line="340" w:lineRule="exact"/>
              <w:ind w:firstLine="0" w:firstLineChars="0"/>
              <w:jc w:val="left"/>
              <w:rPr>
                <w:color w:val="000000"/>
                <w:sz w:val="21"/>
                <w:szCs w:val="21"/>
              </w:rPr>
            </w:pPr>
            <w:r>
              <w:rPr>
                <w:rFonts w:hint="eastAsia"/>
                <w:color w:val="000000"/>
                <w:sz w:val="21"/>
                <w:szCs w:val="21"/>
              </w:rPr>
              <w:t>环境空气、地表水、噪声、地下水监测；加强管理，加强实验操作人员的技能培训，化学品设专人保管，加强员工防火安全教育；同时，制定应急预案</w:t>
            </w:r>
          </w:p>
        </w:tc>
        <w:tc>
          <w:tcPr>
            <w:tcW w:w="412" w:type="pct"/>
            <w:noWrap w:val="0"/>
            <w:vAlign w:val="center"/>
          </w:tcPr>
          <w:p>
            <w:pPr>
              <w:spacing w:line="340" w:lineRule="exact"/>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5</w:t>
            </w:r>
          </w:p>
        </w:tc>
        <w:tc>
          <w:tcPr>
            <w:tcW w:w="1931" w:type="pct"/>
            <w:noWrap w:val="0"/>
            <w:vAlign w:val="center"/>
          </w:tcPr>
          <w:p>
            <w:pPr>
              <w:spacing w:line="340" w:lineRule="exact"/>
              <w:ind w:firstLine="0" w:firstLineChars="0"/>
              <w:jc w:val="left"/>
              <w:rPr>
                <w:rFonts w:ascii="Times New Roman" w:hAnsi="Times New Roman"/>
                <w:color w:val="000000"/>
                <w:kern w:val="2"/>
                <w:sz w:val="21"/>
                <w:szCs w:val="21"/>
                <w:lang w:val="en-US" w:eastAsia="zh-CN" w:bidi="ar-SA"/>
              </w:rPr>
            </w:pPr>
            <w:r>
              <w:rPr>
                <w:rFonts w:hint="eastAsia"/>
                <w:color w:val="000000"/>
                <w:sz w:val="21"/>
                <w:szCs w:val="21"/>
              </w:rPr>
              <w:t>环境空气、地表水、噪声、地下水监测；加强管理，加强实验操作人员的技能培训，化学品设专人保管，加强员工防火安全教育；同时，制定应急预案</w:t>
            </w:r>
          </w:p>
        </w:tc>
        <w:tc>
          <w:tcPr>
            <w:tcW w:w="372" w:type="pct"/>
            <w:noWrap w:val="0"/>
            <w:vAlign w:val="center"/>
          </w:tcPr>
          <w:p>
            <w:pPr>
              <w:spacing w:line="340" w:lineRule="exact"/>
              <w:ind w:firstLine="0" w:firstLineChars="0"/>
              <w:jc w:val="center"/>
              <w:rPr>
                <w:rFonts w:hint="eastAsia" w:ascii="Times New Roman" w:hAnsi="Times New Roman" w:eastAsia="宋体"/>
                <w:color w:val="000000"/>
                <w:kern w:val="2"/>
                <w:sz w:val="21"/>
                <w:szCs w:val="21"/>
                <w:lang w:val="en-US" w:eastAsia="zh-CN" w:bidi="ar-SA"/>
              </w:rPr>
            </w:pPr>
            <w:r>
              <w:rPr>
                <w:rFonts w:hint="eastAsia"/>
                <w:color w:val="000000"/>
                <w:sz w:val="21"/>
                <w:szCs w:val="21"/>
                <w:lang w:val="en-US" w:eastAsia="zh-CN"/>
              </w:rPr>
              <w:t>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75" w:type="pct"/>
            <w:noWrap w:val="0"/>
            <w:vAlign w:val="center"/>
          </w:tcPr>
          <w:p>
            <w:pPr>
              <w:adjustRightInd w:val="0"/>
              <w:snapToGrid w:val="0"/>
              <w:spacing w:line="320" w:lineRule="exact"/>
              <w:ind w:firstLine="0" w:firstLineChars="0"/>
              <w:jc w:val="center"/>
              <w:rPr>
                <w:bCs/>
                <w:sz w:val="21"/>
                <w:szCs w:val="21"/>
              </w:rPr>
            </w:pPr>
            <w:r>
              <w:rPr>
                <w:bCs/>
                <w:sz w:val="21"/>
                <w:szCs w:val="21"/>
              </w:rPr>
              <w:t>总计</w:t>
            </w:r>
          </w:p>
        </w:tc>
        <w:tc>
          <w:tcPr>
            <w:tcW w:w="2008" w:type="pct"/>
            <w:noWrap w:val="0"/>
            <w:vAlign w:val="center"/>
          </w:tcPr>
          <w:p>
            <w:pPr>
              <w:adjustRightInd w:val="0"/>
              <w:snapToGrid w:val="0"/>
              <w:spacing w:line="320" w:lineRule="exact"/>
              <w:ind w:firstLine="0" w:firstLineChars="0"/>
              <w:jc w:val="center"/>
            </w:pPr>
            <w:r>
              <w:t>/</w:t>
            </w:r>
          </w:p>
        </w:tc>
        <w:tc>
          <w:tcPr>
            <w:tcW w:w="412" w:type="pct"/>
            <w:noWrap w:val="0"/>
            <w:vAlign w:val="center"/>
          </w:tcPr>
          <w:p>
            <w:pPr>
              <w:adjustRightInd w:val="0"/>
              <w:snapToGrid w:val="0"/>
              <w:spacing w:line="320" w:lineRule="exact"/>
              <w:ind w:firstLine="0" w:firstLineChars="0"/>
              <w:jc w:val="center"/>
              <w:rPr>
                <w:rFonts w:hint="default" w:eastAsia="宋体"/>
                <w:bCs/>
                <w:sz w:val="21"/>
                <w:szCs w:val="21"/>
                <w:lang w:val="en-US" w:eastAsia="zh-CN"/>
              </w:rPr>
            </w:pPr>
            <w:r>
              <w:rPr>
                <w:rFonts w:hint="eastAsia"/>
                <w:bCs/>
                <w:sz w:val="21"/>
                <w:szCs w:val="21"/>
                <w:lang w:val="en-US" w:eastAsia="zh-CN"/>
              </w:rPr>
              <w:t>257</w:t>
            </w:r>
          </w:p>
        </w:tc>
        <w:tc>
          <w:tcPr>
            <w:tcW w:w="1931" w:type="pct"/>
            <w:noWrap w:val="0"/>
            <w:vAlign w:val="center"/>
          </w:tcPr>
          <w:p>
            <w:pPr>
              <w:adjustRightInd w:val="0"/>
              <w:snapToGrid w:val="0"/>
              <w:spacing w:line="320" w:lineRule="exact"/>
              <w:ind w:firstLine="0" w:firstLineChars="0"/>
              <w:jc w:val="center"/>
              <w:rPr>
                <w:rFonts w:ascii="Times New Roman" w:hAnsi="Times New Roman"/>
                <w:kern w:val="2"/>
                <w:sz w:val="28"/>
                <w:szCs w:val="22"/>
                <w:lang w:val="en-US" w:eastAsia="zh-CN" w:bidi="ar-SA"/>
              </w:rPr>
            </w:pPr>
            <w:r>
              <w:t>/</w:t>
            </w:r>
          </w:p>
        </w:tc>
        <w:tc>
          <w:tcPr>
            <w:tcW w:w="372" w:type="pct"/>
            <w:noWrap w:val="0"/>
            <w:vAlign w:val="center"/>
          </w:tcPr>
          <w:p>
            <w:pPr>
              <w:adjustRightInd w:val="0"/>
              <w:snapToGrid w:val="0"/>
              <w:spacing w:line="320" w:lineRule="exact"/>
              <w:ind w:firstLine="0" w:firstLineChars="0"/>
              <w:jc w:val="center"/>
              <w:rPr>
                <w:rFonts w:hint="default" w:ascii="Times New Roman" w:hAnsi="Times New Roman" w:eastAsia="宋体"/>
                <w:bCs/>
                <w:kern w:val="2"/>
                <w:sz w:val="21"/>
                <w:szCs w:val="21"/>
                <w:lang w:val="en-US" w:eastAsia="zh-CN" w:bidi="ar-SA"/>
              </w:rPr>
            </w:pPr>
            <w:r>
              <w:rPr>
                <w:rFonts w:hint="eastAsia"/>
                <w:bCs/>
                <w:sz w:val="21"/>
                <w:szCs w:val="21"/>
                <w:lang w:val="en-US" w:eastAsia="zh-CN"/>
              </w:rPr>
              <w:t>257</w:t>
            </w:r>
          </w:p>
        </w:tc>
      </w:tr>
    </w:tbl>
    <w:p>
      <w:pPr>
        <w:sectPr>
          <w:pgSz w:w="16838" w:h="11906" w:orient="landscape"/>
          <w:pgMar w:top="1134" w:right="1417" w:bottom="1134" w:left="1417" w:header="850" w:footer="850" w:gutter="0"/>
          <w:pgBorders>
            <w:top w:val="none" w:sz="0" w:space="0"/>
            <w:left w:val="none" w:sz="0" w:space="0"/>
            <w:bottom w:val="none" w:sz="0" w:space="0"/>
            <w:right w:val="none" w:sz="0" w:space="0"/>
          </w:pgBorders>
          <w:pgNumType w:fmt="decimal"/>
          <w:cols w:space="720" w:num="1"/>
          <w:docGrid w:type="lines" w:linePitch="416" w:charSpace="0"/>
        </w:sectPr>
      </w:pPr>
    </w:p>
    <w:p>
      <w:pPr>
        <w:pStyle w:val="6"/>
      </w:pPr>
      <w:r>
        <w:t>4.3.2“三同时”落实情况</w:t>
      </w:r>
    </w:p>
    <w:p>
      <w:pPr>
        <w:rPr>
          <w:color w:val="000000"/>
        </w:rPr>
      </w:pPr>
      <w:r>
        <w:rPr>
          <w:lang w:val="zh-CN"/>
        </w:rPr>
        <w:t>项目建设过程中，执行了环境影响评价法和“三同时”制度。环评、环保设计手续基本齐全，环保设施与主体工程同时设计、同时施工、同时投入使用。环评批复要求与落实情况检查。内容见表</w:t>
      </w:r>
      <w:r>
        <w:t>4-6。</w:t>
      </w:r>
    </w:p>
    <w:p>
      <w:pPr>
        <w:pStyle w:val="28"/>
        <w:ind w:firstLine="482"/>
      </w:pPr>
      <w:r>
        <w:t>表4-6  环评批复要求与落实情况检查内容</w:t>
      </w:r>
    </w:p>
    <w:tbl>
      <w:tblPr>
        <w:tblStyle w:val="19"/>
        <w:tblW w:w="0" w:type="auto"/>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667"/>
        <w:gridCol w:w="4621"/>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667" w:type="dxa"/>
            <w:noWrap w:val="0"/>
            <w:vAlign w:val="center"/>
          </w:tcPr>
          <w:p>
            <w:pPr>
              <w:pStyle w:val="29"/>
              <w:rPr>
                <w:b/>
                <w:bCs/>
              </w:rPr>
            </w:pPr>
            <w:r>
              <w:rPr>
                <w:b/>
                <w:bCs/>
              </w:rPr>
              <w:t>环 评 批 复 要 求</w:t>
            </w:r>
          </w:p>
        </w:tc>
        <w:tc>
          <w:tcPr>
            <w:tcW w:w="4621" w:type="dxa"/>
            <w:noWrap w:val="0"/>
            <w:vAlign w:val="center"/>
          </w:tcPr>
          <w:p>
            <w:pPr>
              <w:pStyle w:val="29"/>
              <w:rPr>
                <w:b/>
                <w:bCs/>
              </w:rPr>
            </w:pPr>
            <w:r>
              <w:rPr>
                <w:b/>
                <w:bCs/>
              </w:rPr>
              <w:t>落 实 情 况</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667" w:type="dxa"/>
            <w:noWrap w:val="0"/>
            <w:vAlign w:val="center"/>
          </w:tcPr>
          <w:p>
            <w:pPr>
              <w:pStyle w:val="29"/>
              <w:jc w:val="both"/>
            </w:pPr>
            <w:r>
              <w:rPr>
                <w:rFonts w:hint="eastAsia"/>
              </w:rPr>
              <w:t>严格贯彻执行“预防为主、保护优先”的原则，落实项目环保资金，完善公司内部的环境管理部门、人员和管理制度。与项目同步开展环保相关设施的建设。</w:t>
            </w:r>
          </w:p>
        </w:tc>
        <w:tc>
          <w:tcPr>
            <w:tcW w:w="4621" w:type="dxa"/>
            <w:noWrap w:val="0"/>
            <w:vAlign w:val="center"/>
          </w:tcPr>
          <w:p>
            <w:pPr>
              <w:pStyle w:val="29"/>
              <w:ind w:firstLine="0" w:firstLineChars="0"/>
              <w:jc w:val="both"/>
              <w:rPr>
                <w:rFonts w:ascii="Times New Roman" w:hAnsi="Times New Roman" w:eastAsia="宋体"/>
                <w:kern w:val="2"/>
                <w:sz w:val="21"/>
                <w:szCs w:val="22"/>
                <w:lang w:val="en-US" w:eastAsia="zh-CN" w:bidi="ar-SA"/>
              </w:rPr>
            </w:pPr>
            <w:r>
              <w:rPr>
                <w:rFonts w:hint="eastAsia"/>
                <w:lang w:val="en-US" w:eastAsia="zh-CN"/>
              </w:rPr>
              <w:t>已落实。本项目</w:t>
            </w:r>
            <w:r>
              <w:rPr>
                <w:rFonts w:hint="eastAsia"/>
              </w:rPr>
              <w:t>严格贯彻执行</w:t>
            </w:r>
            <w:r>
              <w:rPr>
                <w:rFonts w:hint="eastAsia"/>
                <w:lang w:val="en-US" w:eastAsia="zh-CN"/>
              </w:rPr>
              <w:t>了</w:t>
            </w:r>
            <w:r>
              <w:rPr>
                <w:rFonts w:hint="eastAsia"/>
              </w:rPr>
              <w:t>“预防为主、保护优先”的原则，落实</w:t>
            </w:r>
            <w:r>
              <w:rPr>
                <w:rFonts w:hint="eastAsia"/>
                <w:lang w:val="en-US" w:eastAsia="zh-CN"/>
              </w:rPr>
              <w:t>了</w:t>
            </w:r>
            <w:r>
              <w:rPr>
                <w:rFonts w:hint="eastAsia"/>
              </w:rPr>
              <w:t>项目环保资金，完善公司内部的环境管理部门、人员和管理制度。与项目同步开展环保相关设施的建设。</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667" w:type="dxa"/>
            <w:noWrap w:val="0"/>
            <w:vAlign w:val="center"/>
          </w:tcPr>
          <w:p>
            <w:pPr>
              <w:pStyle w:val="29"/>
              <w:jc w:val="both"/>
            </w:pPr>
            <w:r>
              <w:rPr>
                <w:rFonts w:hint="eastAsia"/>
              </w:rPr>
              <w:t>落实污水处理厂施工期各项污染控制措施。强化施工期环境管理，结合周围敏感点分布，合理安排施工时间，优化施工场地布设、施工方式，减缓施工扬尘、噪声对周围敏感点的影响，避免施工扰民。</w:t>
            </w:r>
          </w:p>
        </w:tc>
        <w:tc>
          <w:tcPr>
            <w:tcW w:w="4621" w:type="dxa"/>
            <w:noWrap w:val="0"/>
            <w:vAlign w:val="center"/>
          </w:tcPr>
          <w:p>
            <w:pPr>
              <w:pStyle w:val="29"/>
              <w:ind w:firstLine="0" w:firstLineChars="0"/>
              <w:jc w:val="both"/>
              <w:rPr>
                <w:rFonts w:ascii="Times New Roman" w:hAnsi="Times New Roman" w:eastAsia="宋体"/>
                <w:kern w:val="2"/>
                <w:sz w:val="21"/>
                <w:szCs w:val="22"/>
                <w:lang w:val="en-US" w:eastAsia="zh-CN" w:bidi="ar-SA"/>
              </w:rPr>
            </w:pPr>
            <w:r>
              <w:rPr>
                <w:rFonts w:hint="eastAsia"/>
                <w:lang w:val="en-US" w:eastAsia="zh-CN"/>
              </w:rPr>
              <w:t>已落实</w:t>
            </w:r>
            <w:r>
              <w:rPr>
                <w:rFonts w:hint="eastAsia"/>
              </w:rPr>
              <w:t>污水处理厂施工期各项污染控制措施。强化施工期环境管理，结合周围敏感点分布，合理安排施工时间，优化施工场地布设、施工方式，减缓施工扬尘、噪声对周围敏感点的影响，</w:t>
            </w:r>
            <w:r>
              <w:rPr>
                <w:rFonts w:hint="eastAsia"/>
                <w:lang w:val="en-US" w:eastAsia="zh-CN"/>
              </w:rPr>
              <w:t>施工期间未收到周围群众投诉</w:t>
            </w:r>
            <w:r>
              <w:rPr>
                <w:rFonts w:hint="eastAsia"/>
              </w:rPr>
              <w:t>。</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667" w:type="dxa"/>
            <w:noWrap w:val="0"/>
            <w:vAlign w:val="center"/>
          </w:tcPr>
          <w:p>
            <w:pPr>
              <w:pStyle w:val="29"/>
              <w:jc w:val="both"/>
            </w:pPr>
            <w:r>
              <w:rPr>
                <w:rFonts w:hint="eastAsia"/>
              </w:rPr>
              <w:t>落实污水处理厂营运期环境管理措施。加强环境管理，落实环保岗位责任制，强化对污水处理设施的管理维护，确保进厂废水处理后稳定达标排放。落实进厂废水的水质指标及水量监控措施，须满足污水厂设计进水水质要求后方可进入污水厂处理，确保污水厂出水达标排放。落实报告书防渗要求，防止地下水污染。</w:t>
            </w:r>
          </w:p>
        </w:tc>
        <w:tc>
          <w:tcPr>
            <w:tcW w:w="4621" w:type="dxa"/>
            <w:noWrap w:val="0"/>
            <w:vAlign w:val="center"/>
          </w:tcPr>
          <w:p>
            <w:pPr>
              <w:pStyle w:val="29"/>
              <w:ind w:firstLine="0" w:firstLineChars="0"/>
              <w:jc w:val="both"/>
              <w:rPr>
                <w:rFonts w:ascii="Times New Roman" w:hAnsi="Times New Roman" w:eastAsia="宋体"/>
                <w:kern w:val="2"/>
                <w:sz w:val="21"/>
                <w:szCs w:val="22"/>
                <w:lang w:val="en-US" w:eastAsia="zh-CN" w:bidi="ar-SA"/>
              </w:rPr>
            </w:pPr>
            <w:r>
              <w:rPr>
                <w:rFonts w:hint="eastAsia"/>
                <w:lang w:val="en-US" w:eastAsia="zh-CN"/>
              </w:rPr>
              <w:t>已落实</w:t>
            </w:r>
            <w:r>
              <w:rPr>
                <w:rFonts w:hint="eastAsia"/>
              </w:rPr>
              <w:t>污水处理厂营运期环境管理措施。加强环境管理，</w:t>
            </w:r>
            <w:r>
              <w:rPr>
                <w:rFonts w:hint="eastAsia"/>
                <w:lang w:val="en-US" w:eastAsia="zh-CN"/>
              </w:rPr>
              <w:t>实行</w:t>
            </w:r>
            <w:r>
              <w:rPr>
                <w:rFonts w:hint="eastAsia"/>
              </w:rPr>
              <w:t>环保岗位责任制，强化对污水处理设施的管理维护，确保进厂废水处理后稳定达标排放</w:t>
            </w:r>
            <w:r>
              <w:rPr>
                <w:rFonts w:hint="eastAsia"/>
                <w:lang w:eastAsia="zh-CN"/>
              </w:rPr>
              <w:t>；</w:t>
            </w:r>
            <w:r>
              <w:rPr>
                <w:rFonts w:hint="eastAsia"/>
                <w:lang w:val="en-US" w:eastAsia="zh-CN"/>
              </w:rPr>
              <w:t>本项目在进水口和排放口均安装有主要控制指标在线监测装置，确保污水达标排放。按照</w:t>
            </w:r>
            <w:r>
              <w:rPr>
                <w:rFonts w:hint="eastAsia"/>
              </w:rPr>
              <w:t>报告书防渗要求</w:t>
            </w:r>
            <w:r>
              <w:rPr>
                <w:rFonts w:hint="eastAsia"/>
                <w:lang w:val="en-US" w:eastAsia="zh-CN"/>
              </w:rPr>
              <w:t>进行了相关的防渗施工</w:t>
            </w:r>
            <w:r>
              <w:rPr>
                <w:rFonts w:hint="eastAsia"/>
              </w:rPr>
              <w:t>，防止地下水污染。</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667" w:type="dxa"/>
            <w:noWrap w:val="0"/>
            <w:vAlign w:val="center"/>
          </w:tcPr>
          <w:p>
            <w:pPr>
              <w:pStyle w:val="29"/>
              <w:jc w:val="both"/>
            </w:pPr>
            <w:r>
              <w:rPr>
                <w:rFonts w:hint="eastAsia"/>
              </w:rPr>
              <w:t>落实固体废物处置措施。栅渣、沉砂经脱水后交由环卫部门处置；剩余污泥经浓缩、脱水后，先进行固废性质鉴定，根据鉴定结果交由相应资质的单位处置；废生物滤料由厂家回收；生活垃圾由市政环卫部门统一收集处理；废机油及废含油棉纱、实验室废液及试剂废包装交由相应资质单位处置。各类固体废物应及时清运，运输应采用密闭车辆，杜绝沿途撒落和流失，防止二次污染。</w:t>
            </w:r>
          </w:p>
        </w:tc>
        <w:tc>
          <w:tcPr>
            <w:tcW w:w="4621" w:type="dxa"/>
            <w:noWrap w:val="0"/>
            <w:vAlign w:val="center"/>
          </w:tcPr>
          <w:p>
            <w:pPr>
              <w:pStyle w:val="29"/>
              <w:ind w:firstLine="0" w:firstLineChars="0"/>
              <w:jc w:val="both"/>
              <w:rPr>
                <w:rFonts w:ascii="Times New Roman" w:hAnsi="Times New Roman" w:eastAsia="宋体"/>
                <w:kern w:val="2"/>
                <w:sz w:val="21"/>
                <w:szCs w:val="22"/>
                <w:lang w:val="en-US" w:eastAsia="zh-CN" w:bidi="ar-SA"/>
              </w:rPr>
            </w:pPr>
            <w:r>
              <w:rPr>
                <w:rFonts w:hint="eastAsia"/>
                <w:lang w:val="en-US" w:eastAsia="zh-CN"/>
              </w:rPr>
              <w:t>已落实</w:t>
            </w:r>
            <w:r>
              <w:rPr>
                <w:rFonts w:hint="eastAsia"/>
              </w:rPr>
              <w:t>固体废物处置措施。栅渣、沉砂经脱水后交由环卫部门处置；剩余污泥经浓缩</w:t>
            </w:r>
            <w:r>
              <w:rPr>
                <w:rFonts w:hint="eastAsia"/>
                <w:lang w:eastAsia="zh-CN"/>
              </w:rPr>
              <w:t>、</w:t>
            </w:r>
            <w:r>
              <w:rPr>
                <w:rFonts w:hint="eastAsia"/>
              </w:rPr>
              <w:t>脱水后，</w:t>
            </w:r>
            <w:r>
              <w:rPr>
                <w:rFonts w:hint="eastAsia"/>
                <w:lang w:val="en-US" w:eastAsia="zh-CN"/>
              </w:rPr>
              <w:t>目前交由</w:t>
            </w:r>
            <w:r>
              <w:rPr>
                <w:color w:val="000000"/>
                <w:sz w:val="21"/>
                <w:szCs w:val="21"/>
              </w:rPr>
              <w:t>成都兴蓉环保科技股份有限公司</w:t>
            </w:r>
            <w:r>
              <w:rPr>
                <w:rFonts w:hint="eastAsia"/>
                <w:color w:val="000000"/>
                <w:sz w:val="21"/>
                <w:szCs w:val="21"/>
                <w:lang w:val="en-US" w:eastAsia="zh-CN"/>
              </w:rPr>
              <w:t>进行处置</w:t>
            </w:r>
            <w:r>
              <w:rPr>
                <w:rFonts w:hint="eastAsia"/>
              </w:rPr>
              <w:t>；废生物滤料由厂家回收；生活垃圾由市政环卫部门统一收集处理；废机油及废含油棉纱、实验室废液及试剂废包装交由</w:t>
            </w:r>
            <w:r>
              <w:rPr>
                <w:color w:val="000000"/>
                <w:sz w:val="21"/>
                <w:szCs w:val="21"/>
              </w:rPr>
              <w:t>成都兴蓉环保科技股份有限公司</w:t>
            </w:r>
            <w:r>
              <w:rPr>
                <w:rFonts w:hint="eastAsia"/>
              </w:rPr>
              <w:t>处置。各类固体废物及时清运，运输</w:t>
            </w:r>
            <w:r>
              <w:rPr>
                <w:rFonts w:hint="eastAsia"/>
                <w:lang w:val="en-US" w:eastAsia="zh-CN"/>
              </w:rPr>
              <w:t>过程实行</w:t>
            </w:r>
            <w:r>
              <w:rPr>
                <w:rFonts w:hint="eastAsia"/>
              </w:rPr>
              <w:t>密闭车辆，防止二次污染。</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667" w:type="dxa"/>
            <w:noWrap w:val="0"/>
            <w:vAlign w:val="center"/>
          </w:tcPr>
          <w:p>
            <w:pPr>
              <w:pStyle w:val="29"/>
              <w:jc w:val="both"/>
            </w:pPr>
            <w:r>
              <w:rPr>
                <w:rFonts w:hint="eastAsia"/>
              </w:rPr>
              <w:t>落实并优化报告书提出的除臭措施。项目设置一套生物除臭系统，将粗格栅及污水提升泵房、细格栅及曝气沉砂池、水解酸化池、污泥脱水间、储泥池等密闭加盖或加设房屋，设置风道，将臭气引入生物除臭装置，臭气经处理后通过15m排气简达标排放。项目以预处理区（粗格栅、提升泵房、细格栅及曝气沉砂池、缓冲调节池、水解酸化池）、污泥处理区（污泥脱水间、污泥储池）、生化区（A2/O池）边界设置100m卫生防护距离，避免恶臭对外环境的不利影响。此范围内现无居民分布，今后在卫生防护距离内不得建设居民集中区、学校、医院等环境敏感设施。同时结合周边敏感点位置，优化总平布局，加强厂界绿化，减少恶臭对外环境影响。</w:t>
            </w:r>
          </w:p>
        </w:tc>
        <w:tc>
          <w:tcPr>
            <w:tcW w:w="4621" w:type="dxa"/>
            <w:noWrap w:val="0"/>
            <w:vAlign w:val="center"/>
          </w:tcPr>
          <w:p>
            <w:pPr>
              <w:pStyle w:val="29"/>
              <w:ind w:firstLine="0" w:firstLineChars="0"/>
              <w:jc w:val="both"/>
              <w:rPr>
                <w:rFonts w:ascii="Times New Roman" w:hAnsi="Times New Roman" w:eastAsia="宋体"/>
                <w:kern w:val="2"/>
                <w:sz w:val="21"/>
                <w:szCs w:val="22"/>
                <w:lang w:val="en-US" w:eastAsia="zh-CN" w:bidi="ar-SA"/>
              </w:rPr>
            </w:pPr>
            <w:r>
              <w:rPr>
                <w:rFonts w:hint="eastAsia"/>
                <w:lang w:val="en-US" w:eastAsia="zh-CN"/>
              </w:rPr>
              <w:t>已</w:t>
            </w:r>
            <w:r>
              <w:rPr>
                <w:rFonts w:hint="eastAsia"/>
              </w:rPr>
              <w:t>落实报告书提出的除臭措施。项目设置一套生物除臭系统，将粗格栅及污水提升泵房、细格栅及曝气沉砂池、水解酸化池、污泥脱水间、储泥池等密闭加盖或加设房屋，设置风道，将臭气引入生物除臭装置，臭气经处理后通过15m排气简达标排放。项目以预处理区（粗格栅、提升泵房、细格栅及曝气沉砂池、缓冲调节池、水解酸化池）、污泥处理区（污泥脱水间、污泥储池）、生化区（A2/O池）边界设置100m卫生防护距离，</w:t>
            </w:r>
            <w:r>
              <w:rPr>
                <w:rFonts w:hint="eastAsia"/>
                <w:lang w:val="en-US" w:eastAsia="zh-CN"/>
              </w:rPr>
              <w:t>经现场勘察，</w:t>
            </w:r>
            <w:r>
              <w:rPr>
                <w:rFonts w:hint="eastAsia"/>
              </w:rPr>
              <w:t>卫生防护距离内</w:t>
            </w:r>
            <w:r>
              <w:rPr>
                <w:rFonts w:hint="eastAsia"/>
                <w:lang w:val="en-US" w:eastAsia="zh-CN"/>
              </w:rPr>
              <w:t>无新建的</w:t>
            </w:r>
            <w:r>
              <w:rPr>
                <w:rFonts w:hint="eastAsia"/>
              </w:rPr>
              <w:t>居民集中区、学校、医院等环境敏感设施。同时结合周边敏感点位置，优化总平布局，加强厂界绿化，减少恶臭对外环境影响。</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667" w:type="dxa"/>
            <w:noWrap w:val="0"/>
            <w:vAlign w:val="center"/>
          </w:tcPr>
          <w:p>
            <w:pPr>
              <w:pStyle w:val="29"/>
              <w:jc w:val="both"/>
            </w:pPr>
            <w:r>
              <w:rPr>
                <w:rFonts w:hint="eastAsia"/>
              </w:rPr>
              <w:t>高度重视环境风险防范工作。严格落实报告书提出的各项要求，完善进、出水水质自动监测装置及报警装置，合理布置进厂、出厂废水截断装置;落实运营期环保管理规章制度，加强污水处理设施和线路的日常维护与管理，确保正常运行；编制完善可靠的应急预案，落实污水处理厂风险防范措施，设计备用电源，防止停电等事故导致污染，确保水环境安全。</w:t>
            </w:r>
          </w:p>
        </w:tc>
        <w:tc>
          <w:tcPr>
            <w:tcW w:w="4621" w:type="dxa"/>
            <w:noWrap w:val="0"/>
            <w:vAlign w:val="center"/>
          </w:tcPr>
          <w:p>
            <w:pPr>
              <w:pStyle w:val="29"/>
              <w:ind w:firstLine="0" w:firstLineChars="0"/>
              <w:jc w:val="both"/>
              <w:rPr>
                <w:rFonts w:ascii="Times New Roman" w:hAnsi="Times New Roman" w:eastAsia="宋体"/>
                <w:kern w:val="2"/>
                <w:sz w:val="21"/>
                <w:szCs w:val="22"/>
                <w:lang w:val="en-US" w:eastAsia="zh-CN" w:bidi="ar-SA"/>
              </w:rPr>
            </w:pPr>
            <w:r>
              <w:rPr>
                <w:rFonts w:hint="eastAsia"/>
                <w:lang w:val="en-US" w:eastAsia="zh-CN"/>
              </w:rPr>
              <w:t>已落实。本项目</w:t>
            </w:r>
            <w:r>
              <w:rPr>
                <w:rFonts w:hint="eastAsia"/>
              </w:rPr>
              <w:t>高度重视环境风险防范工作。严格落实报告书提出的各项要求，完善进、出水水质自动监测装置及报警装置，合理布置进厂、出厂废水截断装置;落实运营期环保管理规章制度，加强污水处理设施和线路的日常维护与管理，确保正常运行；编制</w:t>
            </w:r>
            <w:r>
              <w:rPr>
                <w:rFonts w:hint="eastAsia"/>
                <w:lang w:val="en-US" w:eastAsia="zh-CN"/>
              </w:rPr>
              <w:t>了</w:t>
            </w:r>
            <w:r>
              <w:rPr>
                <w:rFonts w:hint="eastAsia"/>
              </w:rPr>
              <w:t>可靠的应急预案，落实污水处理厂风险防范措施，设计备用电源，防止停电等事故导致污染，确保水环境安全。</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667" w:type="dxa"/>
            <w:noWrap w:val="0"/>
            <w:vAlign w:val="center"/>
          </w:tcPr>
          <w:p>
            <w:pPr>
              <w:pStyle w:val="29"/>
              <w:jc w:val="both"/>
            </w:pPr>
            <w:bookmarkStart w:id="69" w:name="OLE_LINK1"/>
            <w:r>
              <w:rPr>
                <w:rFonts w:hint="eastAsia"/>
              </w:rPr>
              <w:t>项目建成后，工程污染物排放总量控制指标为C</w:t>
            </w:r>
            <w:r>
              <w:rPr>
                <w:rFonts w:hint="eastAsia"/>
                <w:lang w:val="en-US" w:eastAsia="zh-CN"/>
              </w:rPr>
              <w:t>O</w:t>
            </w:r>
            <w:r>
              <w:rPr>
                <w:rFonts w:hint="eastAsia"/>
              </w:rPr>
              <w:t>Dcr：14.6t/a；氨氮：1.095t/a。项目新增总量指标经德阳市绵竹生态环境局竹环境（2021）26号文核实确认，符合相关要求。</w:t>
            </w:r>
            <w:bookmarkEnd w:id="69"/>
          </w:p>
        </w:tc>
        <w:tc>
          <w:tcPr>
            <w:tcW w:w="4621" w:type="dxa"/>
            <w:noWrap w:val="0"/>
            <w:vAlign w:val="top"/>
          </w:tcPr>
          <w:p>
            <w:pPr>
              <w:pStyle w:val="29"/>
              <w:jc w:val="both"/>
            </w:pPr>
            <w:r>
              <w:rPr>
                <w:rFonts w:hint="eastAsia"/>
              </w:rPr>
              <w:t>项目建成后，工程污染物排放总量控制指标为C</w:t>
            </w:r>
            <w:r>
              <w:rPr>
                <w:rFonts w:hint="eastAsia"/>
                <w:lang w:val="en-US" w:eastAsia="zh-CN"/>
              </w:rPr>
              <w:t>O</w:t>
            </w:r>
            <w:r>
              <w:rPr>
                <w:rFonts w:hint="eastAsia"/>
              </w:rPr>
              <w:t>Dcr：</w:t>
            </w:r>
            <w:r>
              <w:rPr>
                <w:rFonts w:hint="eastAsia"/>
                <w:lang w:val="en-US" w:eastAsia="zh-CN"/>
              </w:rPr>
              <w:t>10.22</w:t>
            </w:r>
            <w:r>
              <w:rPr>
                <w:rFonts w:hint="eastAsia"/>
              </w:rPr>
              <w:t>t/a；氨氮：</w:t>
            </w:r>
            <w:r>
              <w:rPr>
                <w:rFonts w:hint="eastAsia"/>
                <w:lang w:val="en-US" w:eastAsia="zh-CN"/>
              </w:rPr>
              <w:t>0.383</w:t>
            </w:r>
            <w:r>
              <w:rPr>
                <w:rFonts w:hint="eastAsia"/>
              </w:rPr>
              <w:t>t/a。</w:t>
            </w:r>
            <w:r>
              <w:rPr>
                <w:rFonts w:hint="eastAsia"/>
                <w:lang w:val="en-US" w:eastAsia="zh-CN"/>
              </w:rPr>
              <w:t>本项目排放总量满足环境影响报告书和环评批复中的总量控制要求</w:t>
            </w:r>
            <w:r>
              <w:rPr>
                <w:rFonts w:hint="eastAsia"/>
              </w:rPr>
              <w:t>。</w:t>
            </w:r>
          </w:p>
        </w:tc>
      </w:tr>
    </w:tbl>
    <w:p>
      <w:pPr>
        <w:ind w:firstLine="0" w:firstLineChars="0"/>
        <w:rPr>
          <w:b/>
          <w:sz w:val="32"/>
          <w:szCs w:val="32"/>
        </w:rPr>
        <w:sectPr>
          <w:pgSz w:w="11906" w:h="16838"/>
          <w:pgMar w:top="1134" w:right="1417" w:bottom="1134" w:left="1417" w:header="850" w:footer="850" w:gutter="0"/>
          <w:pgBorders>
            <w:top w:val="none" w:sz="0" w:space="0"/>
            <w:left w:val="none" w:sz="0" w:space="0"/>
            <w:bottom w:val="none" w:sz="0" w:space="0"/>
            <w:right w:val="none" w:sz="0" w:space="0"/>
          </w:pgBorders>
          <w:pgNumType w:fmt="decimal"/>
          <w:cols w:space="720" w:num="1"/>
          <w:docGrid w:type="lines" w:linePitch="416" w:charSpace="0"/>
        </w:sectPr>
      </w:pPr>
    </w:p>
    <w:p>
      <w:pPr>
        <w:pStyle w:val="4"/>
        <w:bidi w:val="0"/>
      </w:pPr>
      <w:bookmarkStart w:id="70" w:name="_Toc9347"/>
      <w:r>
        <w:t>5建设项目</w:t>
      </w:r>
      <w:r>
        <w:rPr>
          <w:rFonts w:hint="eastAsia"/>
          <w:lang w:eastAsia="zh-CN"/>
        </w:rPr>
        <w:t>环评报告书</w:t>
      </w:r>
      <w:r>
        <w:t>的主要结论与建议及审批部门审批决定</w:t>
      </w:r>
      <w:bookmarkEnd w:id="70"/>
    </w:p>
    <w:p>
      <w:pPr>
        <w:pStyle w:val="5"/>
        <w:numPr>
          <w:ilvl w:val="0"/>
          <w:numId w:val="0"/>
        </w:numPr>
        <w:bidi w:val="0"/>
      </w:pPr>
      <w:bookmarkStart w:id="71" w:name="_Toc31198"/>
      <w:bookmarkStart w:id="72" w:name="_Toc19839"/>
      <w:bookmarkStart w:id="73" w:name="_Toc29440"/>
      <w:bookmarkStart w:id="74" w:name="_Toc3455"/>
      <w:bookmarkStart w:id="75" w:name="_Toc519171335"/>
      <w:r>
        <w:t>5.1建设项目</w:t>
      </w:r>
      <w:r>
        <w:rPr>
          <w:rFonts w:hint="eastAsia"/>
          <w:lang w:eastAsia="zh-CN"/>
        </w:rPr>
        <w:t>环评报告书</w:t>
      </w:r>
      <w:r>
        <w:t>的主要结论与建议</w:t>
      </w:r>
      <w:bookmarkEnd w:id="71"/>
      <w:bookmarkEnd w:id="72"/>
      <w:bookmarkEnd w:id="73"/>
      <w:bookmarkEnd w:id="74"/>
      <w:bookmarkEnd w:id="75"/>
    </w:p>
    <w:p>
      <w:pPr>
        <w:pStyle w:val="6"/>
        <w:bidi w:val="0"/>
      </w:pPr>
      <w:r>
        <w:t>5.1.1环评结论</w:t>
      </w:r>
    </w:p>
    <w:p>
      <w:bookmarkStart w:id="76" w:name="_Toc31157"/>
      <w:r>
        <w:rPr>
          <w:rFonts w:hint="eastAsia"/>
        </w:rPr>
        <w:t>污水处理厂项目符合国家产业政策，选址符合当地规划，是一项环境正效益工程。项目采取的污水处理工艺可行，符合清洁生产要求。项目选址周围无环境制约因素，采取环评提出的环保措施和环境风险措施可实现“三废”和噪声的达标排放，环境风险处于可接受水平。项目对各环境要素的影响小，可进一步减小工业园区水污染物排放，有利于水环境风险防范。落实环评提出的各项环保措施及环境风险防范措施，则项目的建设从环保角度可行。</w:t>
      </w:r>
    </w:p>
    <w:p>
      <w:pPr>
        <w:pStyle w:val="6"/>
        <w:bidi w:val="0"/>
      </w:pPr>
      <w:r>
        <w:t>5.1.2环评</w:t>
      </w:r>
      <w:bookmarkEnd w:id="76"/>
      <w:bookmarkStart w:id="77" w:name="_Toc1625"/>
      <w:bookmarkStart w:id="78" w:name="_Toc10501"/>
      <w:bookmarkStart w:id="79" w:name="_Toc8526"/>
      <w:r>
        <w:rPr>
          <w:rFonts w:hint="eastAsia"/>
        </w:rPr>
        <w:t>要求与建议</w:t>
      </w:r>
    </w:p>
    <w:p>
      <w:pPr>
        <w:rPr>
          <w:rFonts w:hint="eastAsia"/>
        </w:rPr>
      </w:pPr>
      <w:r>
        <w:rPr>
          <w:rFonts w:hint="eastAsia"/>
        </w:rPr>
        <w:t>（1）企业应加强环保设施的日常管理、维护，建立健全环保设施的运行管理制度，定期检查制度、设备维护和检修制度，确保环保设施的高效、正常运转，防止各类污染物非正常排放。</w:t>
      </w:r>
    </w:p>
    <w:p>
      <w:pPr>
        <w:rPr>
          <w:rFonts w:hint="eastAsia"/>
        </w:rPr>
      </w:pPr>
      <w:r>
        <w:rPr>
          <w:rFonts w:hint="eastAsia"/>
        </w:rPr>
        <w:t>（2）根据《绵竹装备制造产业园规划环境影响报告书》及审查意见，方案设计时，预留远期中水回用系统的场地，为远期中水大量回用工业、农业灌溉、城市景观等奠定基础。污水处理厂应在经济技术条件允许的条件下，逐步完善中水回用系统，最终将部分尾水回用于工业生产和城市景观建设中。</w:t>
      </w:r>
    </w:p>
    <w:p>
      <w:pPr>
        <w:rPr>
          <w:rFonts w:hint="eastAsia"/>
        </w:rPr>
      </w:pPr>
      <w:r>
        <w:rPr>
          <w:rFonts w:hint="eastAsia"/>
        </w:rPr>
        <w:t>（3）建设单位需根据园区发展进程及污水产生量适时实施远期污水处理厂扩建工程，需园区发展需求。同时，对于远期接纳的工业废水水量和水质情况应当根据后期引进的企业情况，进行重新调查和评价，分析污水处理工艺的可行性，以确保处理工艺不受冲击，污水能够达标外排。</w:t>
      </w:r>
    </w:p>
    <w:p>
      <w:r>
        <w:rPr>
          <w:rFonts w:hint="eastAsia"/>
        </w:rPr>
        <w:t>（4）考虑到园区来水的不确定性，设计时在厂区内预留空地用于后续废水处理设施建设，使废水能达标排放。</w:t>
      </w:r>
    </w:p>
    <w:p>
      <w:pPr>
        <w:pStyle w:val="5"/>
        <w:numPr>
          <w:ilvl w:val="0"/>
          <w:numId w:val="0"/>
        </w:numPr>
      </w:pPr>
      <w:bookmarkStart w:id="80" w:name="_Toc13395"/>
      <w:r>
        <w:t>5.2审批部门审批决定</w:t>
      </w:r>
      <w:bookmarkEnd w:id="77"/>
      <w:bookmarkEnd w:id="78"/>
      <w:bookmarkEnd w:id="79"/>
      <w:bookmarkEnd w:id="80"/>
    </w:p>
    <w:p>
      <w:r>
        <w:rPr>
          <w:rFonts w:hint="eastAsia"/>
          <w:lang w:eastAsia="zh-CN"/>
        </w:rPr>
        <w:t>德阳市生态环境局</w:t>
      </w:r>
      <w:r>
        <w:t>在《关于</w:t>
      </w:r>
      <w:r>
        <w:rPr>
          <w:rFonts w:hint="eastAsia"/>
          <w:lang w:val="en-US" w:eastAsia="zh-CN"/>
        </w:rPr>
        <w:t>绵竹国润排水有限公司</w:t>
      </w:r>
      <w:r>
        <w:rPr>
          <w:rFonts w:hint="eastAsia"/>
          <w:lang w:eastAsia="zh-CN"/>
        </w:rPr>
        <w:t>绵竹装备制造产业园污水处理厂项目（一期）环境影响报告书</w:t>
      </w:r>
      <w:r>
        <w:t>的批复》（</w:t>
      </w:r>
      <w:r>
        <w:rPr>
          <w:rFonts w:hint="eastAsia"/>
          <w:lang w:eastAsia="zh-CN"/>
        </w:rPr>
        <w:t>德环审批[2021]292号</w:t>
      </w:r>
      <w:r>
        <w:t>）文件中对本项目做了相关批复，批复如下：</w:t>
      </w:r>
    </w:p>
    <w:p>
      <w:pPr>
        <w:rPr>
          <w:rFonts w:hint="eastAsia"/>
        </w:rPr>
      </w:pPr>
      <w:r>
        <w:t>一、</w:t>
      </w:r>
      <w:r>
        <w:rPr>
          <w:rFonts w:hint="eastAsia"/>
        </w:rPr>
        <w:t>该项目位于绵竹装备制造产业园南部，总占地18亩，为新建工程。项目包括污水处理厂和污水管网，其中污水处理厂主要包括粗格栅及提升泵房、细格栅及曝气沉砂池、缓冲调节池、水解酸化池、改良A</w:t>
      </w:r>
      <w:r>
        <w:rPr>
          <w:rFonts w:hint="eastAsia"/>
          <w:lang w:val="en-US" w:eastAsia="zh-CN"/>
        </w:rPr>
        <w:t>2</w:t>
      </w:r>
      <w:r>
        <w:rPr>
          <w:rFonts w:hint="eastAsia"/>
        </w:rPr>
        <w:t>/</w:t>
      </w:r>
      <w:r>
        <w:rPr>
          <w:rFonts w:hint="eastAsia"/>
          <w:lang w:val="en-US" w:eastAsia="zh-CN"/>
        </w:rPr>
        <w:t>O</w:t>
      </w:r>
      <w:r>
        <w:rPr>
          <w:rFonts w:hint="eastAsia"/>
        </w:rPr>
        <w:t>生化池、高效沉淀池、转鼓精密过滤器、接触消毒池、污泥储池、污泥脱水间、加药间和鼓风机房等。厂区综合楼设有现场工人的值班室</w:t>
      </w:r>
      <w:r>
        <w:rPr>
          <w:rFonts w:hint="eastAsia"/>
          <w:lang w:eastAsia="zh-CN"/>
        </w:rPr>
        <w:t>（</w:t>
      </w:r>
      <w:r>
        <w:rPr>
          <w:rFonts w:hint="eastAsia"/>
        </w:rPr>
        <w:t>即控制室</w:t>
      </w:r>
      <w:r>
        <w:rPr>
          <w:rFonts w:hint="eastAsia"/>
          <w:lang w:eastAsia="zh-CN"/>
        </w:rPr>
        <w:t>）</w:t>
      </w:r>
      <w:r>
        <w:rPr>
          <w:rFonts w:hint="eastAsia"/>
        </w:rPr>
        <w:t>。污水管网主要为尾水管网，从污水处理厂出口至射水河段，全长约2886m</w:t>
      </w:r>
      <w:r>
        <w:rPr>
          <w:rFonts w:hint="eastAsia"/>
          <w:lang w:eastAsia="zh-CN"/>
        </w:rPr>
        <w:t>，</w:t>
      </w:r>
      <w:r>
        <w:rPr>
          <w:rFonts w:hint="eastAsia"/>
        </w:rPr>
        <w:t>DN400。污水处理厂设计总规模为3000m</w:t>
      </w:r>
      <w:r>
        <w:rPr>
          <w:rFonts w:hint="eastAsia"/>
          <w:vertAlign w:val="superscript"/>
          <w:lang w:val="en-US" w:eastAsia="zh-CN"/>
        </w:rPr>
        <w:t>3</w:t>
      </w:r>
      <w:r>
        <w:rPr>
          <w:rFonts w:hint="eastAsia"/>
        </w:rPr>
        <w:t>/d</w:t>
      </w:r>
      <w:r>
        <w:rPr>
          <w:rFonts w:hint="eastAsia"/>
          <w:lang w:eastAsia="zh-CN"/>
        </w:rPr>
        <w:t>，</w:t>
      </w:r>
      <w:r>
        <w:rPr>
          <w:rFonts w:hint="eastAsia"/>
        </w:rPr>
        <w:t>其中一期规模为1000m</w:t>
      </w:r>
      <w:r>
        <w:rPr>
          <w:rFonts w:hint="eastAsia"/>
          <w:vertAlign w:val="superscript"/>
          <w:lang w:val="en-US" w:eastAsia="zh-CN"/>
        </w:rPr>
        <w:t>3</w:t>
      </w:r>
      <w:r>
        <w:rPr>
          <w:rFonts w:hint="eastAsia"/>
        </w:rPr>
        <w:t>/d</w:t>
      </w:r>
      <w:r>
        <w:rPr>
          <w:rFonts w:hint="eastAsia"/>
          <w:lang w:eastAsia="zh-CN"/>
        </w:rPr>
        <w:t>，</w:t>
      </w:r>
      <w:r>
        <w:rPr>
          <w:rFonts w:hint="eastAsia"/>
        </w:rPr>
        <w:t>采用“进水→粗格栅、提升泵房→细格栅及曝气沉砂池→缓冲调节池一水解酸化池→改良A</w:t>
      </w:r>
      <w:r>
        <w:rPr>
          <w:rFonts w:hint="eastAsia"/>
          <w:lang w:val="en-US" w:eastAsia="zh-CN"/>
        </w:rPr>
        <w:t>2</w:t>
      </w:r>
      <w:r>
        <w:rPr>
          <w:rFonts w:hint="eastAsia"/>
        </w:rPr>
        <w:t>/</w:t>
      </w:r>
      <w:r>
        <w:rPr>
          <w:rFonts w:hint="eastAsia"/>
          <w:lang w:val="en-US" w:eastAsia="zh-CN"/>
        </w:rPr>
        <w:t>O</w:t>
      </w:r>
      <w:r>
        <w:rPr>
          <w:rFonts w:hint="eastAsia"/>
        </w:rPr>
        <w:t>→高效沉淀池→转鼓精密过滤器→接触消毒池”工艺，出水处理达到《四川省岷江、沱江流域水污染排放标准》</w:t>
      </w:r>
      <w:r>
        <w:rPr>
          <w:rFonts w:hint="eastAsia"/>
          <w:lang w:eastAsia="zh-CN"/>
        </w:rPr>
        <w:t>（</w:t>
      </w:r>
      <w:r>
        <w:rPr>
          <w:rFonts w:hint="eastAsia"/>
        </w:rPr>
        <w:t>DB51/2311-2016</w:t>
      </w:r>
      <w:r>
        <w:rPr>
          <w:rFonts w:hint="eastAsia"/>
          <w:lang w:eastAsia="zh-CN"/>
        </w:rPr>
        <w:t>）</w:t>
      </w:r>
      <w:r>
        <w:rPr>
          <w:rFonts w:hint="eastAsia"/>
        </w:rPr>
        <w:t>中“工业园区集中式污水处理厂”标准，排入射水河。项目的服务范围主要为绵竹装备制造产业园</w:t>
      </w:r>
      <w:r>
        <w:rPr>
          <w:rFonts w:hint="eastAsia"/>
          <w:lang w:eastAsia="zh-CN"/>
        </w:rPr>
        <w:t>（</w:t>
      </w:r>
      <w:r>
        <w:rPr>
          <w:rFonts w:hint="eastAsia"/>
        </w:rPr>
        <w:t>原新市物流园</w:t>
      </w:r>
      <w:r>
        <w:rPr>
          <w:rFonts w:hint="eastAsia"/>
          <w:lang w:eastAsia="zh-CN"/>
        </w:rPr>
        <w:t>）</w:t>
      </w:r>
      <w:r>
        <w:rPr>
          <w:rFonts w:hint="eastAsia"/>
        </w:rPr>
        <w:t>企业生产废水及生活污水、孝德镇清道社区及年俗村新村的生活污水。根据绵竹市疫情防控指挥部的相关要求，项目作为疫情防控有关基础设施，已提前开工建设并安装部分设施，未投入运行。项目总投资4312.86万元，其中环保投资估算282万元。</w:t>
      </w:r>
    </w:p>
    <w:p>
      <w:pPr>
        <w:rPr>
          <w:rFonts w:hint="eastAsia"/>
        </w:rPr>
      </w:pPr>
      <w:r>
        <w:rPr>
          <w:rFonts w:hint="eastAsia"/>
        </w:rPr>
        <w:t>项目属于发改委《产业结构调整指导目录》</w:t>
      </w:r>
      <w:r>
        <w:rPr>
          <w:rFonts w:hint="eastAsia"/>
          <w:lang w:eastAsia="zh-CN"/>
        </w:rPr>
        <w:t>（</w:t>
      </w:r>
      <w:r>
        <w:rPr>
          <w:rFonts w:hint="eastAsia"/>
        </w:rPr>
        <w:t>2019年本</w:t>
      </w:r>
      <w:r>
        <w:rPr>
          <w:rFonts w:hint="eastAsia"/>
          <w:lang w:eastAsia="zh-CN"/>
        </w:rPr>
        <w:t>）</w:t>
      </w:r>
      <w:r>
        <w:rPr>
          <w:rFonts w:hint="eastAsia"/>
        </w:rPr>
        <w:t>中鼓励类项目，绵竹市发展和改革局为项目出具了可研批复</w:t>
      </w:r>
      <w:r>
        <w:rPr>
          <w:rFonts w:hint="eastAsia"/>
          <w:lang w:eastAsia="zh-CN"/>
        </w:rPr>
        <w:t>（</w:t>
      </w:r>
      <w:r>
        <w:rPr>
          <w:rFonts w:hint="eastAsia"/>
        </w:rPr>
        <w:t>竹发改审</w:t>
      </w:r>
      <w:r>
        <w:rPr>
          <w:rFonts w:hint="eastAsia"/>
          <w:lang w:eastAsia="zh-CN"/>
        </w:rPr>
        <w:t>（</w:t>
      </w:r>
      <w:r>
        <w:rPr>
          <w:rFonts w:hint="eastAsia"/>
        </w:rPr>
        <w:t>2019</w:t>
      </w:r>
      <w:r>
        <w:rPr>
          <w:rFonts w:hint="eastAsia"/>
          <w:lang w:eastAsia="zh-CN"/>
        </w:rPr>
        <w:t>）</w:t>
      </w:r>
      <w:r>
        <w:rPr>
          <w:rFonts w:hint="eastAsia"/>
        </w:rPr>
        <w:t>77号</w:t>
      </w:r>
      <w:r>
        <w:rPr>
          <w:rFonts w:hint="eastAsia"/>
          <w:lang w:eastAsia="zh-CN"/>
        </w:rPr>
        <w:t>）</w:t>
      </w:r>
      <w:r>
        <w:rPr>
          <w:rFonts w:hint="eastAsia"/>
        </w:rPr>
        <w:t>，同意项目建设，符合现行国家产业政策。工程属于园区污水处理厂，符合园区规划环评要求。</w:t>
      </w:r>
    </w:p>
    <w:p>
      <w:pPr>
        <w:rPr>
          <w:rFonts w:hint="eastAsia"/>
        </w:rPr>
      </w:pPr>
      <w:r>
        <w:rPr>
          <w:rFonts w:hint="eastAsia"/>
        </w:rPr>
        <w:t>根据专家对《报告书》的审查意见、《报告书》的评价结论，在落实报告书中提出的各项环保对策措施和环境风险防范措施后，项目实施不存在明显的环境制约因素，污染物可以达标排放并符合总量控制要求，我局同意该项目按报告书中所列建设性质、地点、内容、规模、生产工艺及环保对策措施和风险防范措施进行建设。</w:t>
      </w:r>
    </w:p>
    <w:p>
      <w:pPr>
        <w:rPr>
          <w:rFonts w:hint="eastAsia" w:eastAsia="宋体"/>
          <w:lang w:eastAsia="zh-CN"/>
        </w:rPr>
      </w:pPr>
      <w:r>
        <w:rPr>
          <w:rFonts w:hint="eastAsia"/>
        </w:rPr>
        <w:t>二、项目建设应重点做好以下工作</w:t>
      </w:r>
      <w:r>
        <w:rPr>
          <w:rFonts w:hint="eastAsia"/>
          <w:lang w:eastAsia="zh-CN"/>
        </w:rPr>
        <w:t>：</w:t>
      </w:r>
    </w:p>
    <w:p>
      <w:pPr>
        <w:rPr>
          <w:rFonts w:hint="eastAsia"/>
        </w:rPr>
      </w:pPr>
      <w:r>
        <w:rPr>
          <w:rFonts w:hint="eastAsia"/>
          <w:lang w:eastAsia="zh-CN"/>
        </w:rPr>
        <w:t>（一）</w:t>
      </w:r>
      <w:r>
        <w:rPr>
          <w:rFonts w:hint="eastAsia"/>
        </w:rPr>
        <w:t>严格贯彻执行“预防为主、保护优先”的原则，落实项目环保资金，完善公司内部的环境管理部门、人员和管理制度。与项目同步开展环保相关设施的建设。</w:t>
      </w:r>
    </w:p>
    <w:p>
      <w:pPr>
        <w:rPr>
          <w:rFonts w:hint="eastAsia"/>
        </w:rPr>
      </w:pPr>
      <w:r>
        <w:rPr>
          <w:rFonts w:hint="eastAsia"/>
          <w:lang w:eastAsia="zh-CN"/>
        </w:rPr>
        <w:t>（</w:t>
      </w:r>
      <w:r>
        <w:rPr>
          <w:rFonts w:hint="eastAsia"/>
        </w:rPr>
        <w:t>二</w:t>
      </w:r>
      <w:r>
        <w:rPr>
          <w:rFonts w:hint="eastAsia"/>
          <w:lang w:eastAsia="zh-CN"/>
        </w:rPr>
        <w:t>）</w:t>
      </w:r>
      <w:r>
        <w:rPr>
          <w:rFonts w:hint="eastAsia"/>
        </w:rPr>
        <w:t>落实污水处理厂施工期各项污染控制措施。强化施工期环境管理，结合周围敏感点分布，合理安排施工时间，优化施工场地布设、施工方式，减缓施工扬尘、噪声对周围敏感点的影响，避免施工扰民。</w:t>
      </w:r>
    </w:p>
    <w:p>
      <w:pPr>
        <w:rPr>
          <w:rFonts w:hint="eastAsia"/>
        </w:rPr>
      </w:pPr>
      <w:r>
        <w:rPr>
          <w:rFonts w:hint="eastAsia"/>
          <w:lang w:eastAsia="zh-CN"/>
        </w:rPr>
        <w:t>（</w:t>
      </w:r>
      <w:r>
        <w:rPr>
          <w:rFonts w:hint="eastAsia"/>
          <w:lang w:val="en-US" w:eastAsia="zh-CN"/>
        </w:rPr>
        <w:t>三</w:t>
      </w:r>
      <w:r>
        <w:rPr>
          <w:rFonts w:hint="eastAsia"/>
          <w:lang w:eastAsia="zh-CN"/>
        </w:rPr>
        <w:t>）</w:t>
      </w:r>
      <w:r>
        <w:rPr>
          <w:rFonts w:hint="eastAsia"/>
        </w:rPr>
        <w:t>落实污水处理厂营运期环境管理措施。加强环境管理，落实环保岗位责任制，强化对污水处理设施的管理维护，确保进厂废水处理后稳定达标排放。落实进厂废水的水质指标及水量监控措施，须满足污水厂设计进水水质要求后方可进入污水厂处理，确保污水厂出水达标排放。落实报告书防渗要求，防止地下水污染。</w:t>
      </w:r>
    </w:p>
    <w:p>
      <w:pPr>
        <w:rPr>
          <w:rFonts w:hint="eastAsia"/>
        </w:rPr>
      </w:pPr>
      <w:r>
        <w:rPr>
          <w:rFonts w:hint="eastAsia"/>
          <w:lang w:eastAsia="zh-CN"/>
        </w:rPr>
        <w:t>（</w:t>
      </w:r>
      <w:r>
        <w:rPr>
          <w:rFonts w:hint="eastAsia"/>
          <w:lang w:val="en-US" w:eastAsia="zh-CN"/>
        </w:rPr>
        <w:t>四</w:t>
      </w:r>
      <w:r>
        <w:rPr>
          <w:rFonts w:hint="eastAsia"/>
          <w:lang w:eastAsia="zh-CN"/>
        </w:rPr>
        <w:t>）</w:t>
      </w:r>
      <w:r>
        <w:rPr>
          <w:rFonts w:hint="eastAsia"/>
        </w:rPr>
        <w:t>落实固体废物处置措施。栅渣、沉砂经脱水后交由环卫部门处置</w:t>
      </w:r>
      <w:r>
        <w:rPr>
          <w:rFonts w:hint="eastAsia"/>
          <w:lang w:eastAsia="zh-CN"/>
        </w:rPr>
        <w:t>；</w:t>
      </w:r>
      <w:r>
        <w:rPr>
          <w:rFonts w:hint="eastAsia"/>
        </w:rPr>
        <w:t>剩余污泥经浓缩、脱水后，先进行固废性质鉴定</w:t>
      </w:r>
      <w:r>
        <w:rPr>
          <w:rFonts w:hint="eastAsia"/>
          <w:lang w:eastAsia="zh-CN"/>
        </w:rPr>
        <w:t>，</w:t>
      </w:r>
      <w:r>
        <w:rPr>
          <w:rFonts w:hint="eastAsia"/>
        </w:rPr>
        <w:t>根据鉴定结果交由相应资质的单位处置</w:t>
      </w:r>
      <w:r>
        <w:rPr>
          <w:rFonts w:hint="eastAsia"/>
          <w:lang w:eastAsia="zh-CN"/>
        </w:rPr>
        <w:t>；</w:t>
      </w:r>
      <w:r>
        <w:rPr>
          <w:rFonts w:hint="eastAsia"/>
        </w:rPr>
        <w:t>废生物滤料由厂家回收</w:t>
      </w:r>
      <w:r>
        <w:rPr>
          <w:rFonts w:hint="eastAsia"/>
          <w:lang w:eastAsia="zh-CN"/>
        </w:rPr>
        <w:t>；</w:t>
      </w:r>
      <w:r>
        <w:rPr>
          <w:rFonts w:hint="eastAsia"/>
        </w:rPr>
        <w:t>生活垃圾由市政环卫部门统一收集处理</w:t>
      </w:r>
      <w:r>
        <w:rPr>
          <w:rFonts w:hint="eastAsia"/>
          <w:lang w:eastAsia="zh-CN"/>
        </w:rPr>
        <w:t>；</w:t>
      </w:r>
      <w:r>
        <w:rPr>
          <w:rFonts w:hint="eastAsia"/>
        </w:rPr>
        <w:t>废机油及废含油棉纱、实验室废液及试剂废包装交由相应资质单位处置。各类固体废物应及时清运，运输应采用密闭车辆，杜绝沿途撒落和流失，防止二次污染。</w:t>
      </w:r>
    </w:p>
    <w:p>
      <w:pPr>
        <w:rPr>
          <w:rFonts w:hint="eastAsia"/>
        </w:rPr>
      </w:pPr>
      <w:r>
        <w:rPr>
          <w:rFonts w:hint="eastAsia"/>
          <w:lang w:eastAsia="zh-CN"/>
        </w:rPr>
        <w:t>（</w:t>
      </w:r>
      <w:r>
        <w:rPr>
          <w:rFonts w:hint="eastAsia"/>
          <w:lang w:val="en-US" w:eastAsia="zh-CN"/>
        </w:rPr>
        <w:t>五</w:t>
      </w:r>
      <w:r>
        <w:rPr>
          <w:rFonts w:hint="eastAsia"/>
          <w:lang w:eastAsia="zh-CN"/>
        </w:rPr>
        <w:t>）</w:t>
      </w:r>
      <w:r>
        <w:rPr>
          <w:rFonts w:hint="eastAsia"/>
        </w:rPr>
        <w:t>落实并优化报告书提出的除臭措施。项目设置一套生物除臭系统，将粗格栅及污水提升泵房、细格栅及曝气沉砂池、水解酸化池、污泥脱水间、储泥池等密闭加盖或加设房屋，设置风道，将臭气引入生物除臭装置，臭气经处理后通过15m排气简达标排放。项目以预处理区</w:t>
      </w:r>
      <w:r>
        <w:rPr>
          <w:rFonts w:hint="eastAsia"/>
          <w:lang w:eastAsia="zh-CN"/>
        </w:rPr>
        <w:t>（</w:t>
      </w:r>
      <w:r>
        <w:rPr>
          <w:rFonts w:hint="eastAsia"/>
        </w:rPr>
        <w:t>粗格栅、提升泵房、细格栅及曝气沉砂池、缓冲调节池、水解酸化池</w:t>
      </w:r>
      <w:r>
        <w:rPr>
          <w:rFonts w:hint="eastAsia"/>
          <w:lang w:eastAsia="zh-CN"/>
        </w:rPr>
        <w:t>）</w:t>
      </w:r>
      <w:r>
        <w:rPr>
          <w:rFonts w:hint="eastAsia"/>
        </w:rPr>
        <w:t>、污泥处理区</w:t>
      </w:r>
      <w:r>
        <w:rPr>
          <w:rFonts w:hint="eastAsia"/>
          <w:lang w:eastAsia="zh-CN"/>
        </w:rPr>
        <w:t>（</w:t>
      </w:r>
      <w:r>
        <w:rPr>
          <w:rFonts w:hint="eastAsia"/>
        </w:rPr>
        <w:t>污泥脱水间、污泥储池</w:t>
      </w:r>
      <w:r>
        <w:rPr>
          <w:rFonts w:hint="eastAsia"/>
          <w:lang w:eastAsia="zh-CN"/>
        </w:rPr>
        <w:t>）</w:t>
      </w:r>
      <w:r>
        <w:rPr>
          <w:rFonts w:hint="eastAsia"/>
        </w:rPr>
        <w:t>、生化区</w:t>
      </w:r>
      <w:r>
        <w:rPr>
          <w:rFonts w:hint="eastAsia"/>
          <w:lang w:eastAsia="zh-CN"/>
        </w:rPr>
        <w:t>（</w:t>
      </w:r>
      <w:r>
        <w:rPr>
          <w:rFonts w:hint="eastAsia"/>
        </w:rPr>
        <w:t>A2/O池</w:t>
      </w:r>
      <w:r>
        <w:rPr>
          <w:rFonts w:hint="eastAsia"/>
          <w:lang w:eastAsia="zh-CN"/>
        </w:rPr>
        <w:t>）</w:t>
      </w:r>
      <w:r>
        <w:rPr>
          <w:rFonts w:hint="eastAsia"/>
        </w:rPr>
        <w:t>边界设置100m卫生防护距离，避免恶臭对外环境的不利影响。此范围内现无居民分布，今后在卫生防护距离内不得建设居民集中区、学校、医院等环境敏感设施。同时结合周边敏感点位置，优化总平布局，加强厂界绿化，减少恶臭对外环境影响。</w:t>
      </w:r>
    </w:p>
    <w:p>
      <w:pPr>
        <w:rPr>
          <w:rFonts w:hint="eastAsia"/>
        </w:rPr>
      </w:pPr>
      <w:r>
        <w:rPr>
          <w:rFonts w:hint="eastAsia"/>
          <w:lang w:eastAsia="zh-CN"/>
        </w:rPr>
        <w:t>（</w:t>
      </w:r>
      <w:r>
        <w:rPr>
          <w:rFonts w:hint="eastAsia"/>
          <w:lang w:val="en-US" w:eastAsia="zh-CN"/>
        </w:rPr>
        <w:t>六</w:t>
      </w:r>
      <w:r>
        <w:rPr>
          <w:rFonts w:hint="eastAsia"/>
          <w:lang w:eastAsia="zh-CN"/>
        </w:rPr>
        <w:t>）</w:t>
      </w:r>
      <w:r>
        <w:rPr>
          <w:rFonts w:hint="eastAsia"/>
        </w:rPr>
        <w:t>高度重视环境风险防范工作。严格落实报告书提出的各项要求，完善进、出水水质自动监测装置及报警装置，合理布置进厂、出厂废水截断装置;落实运营期环保管理规章制度，加强污水处理设施和线路的日常维护与管理，确保正常运行</w:t>
      </w:r>
      <w:r>
        <w:rPr>
          <w:rFonts w:hint="eastAsia"/>
          <w:lang w:eastAsia="zh-CN"/>
        </w:rPr>
        <w:t>；</w:t>
      </w:r>
      <w:r>
        <w:rPr>
          <w:rFonts w:hint="eastAsia"/>
        </w:rPr>
        <w:t>编制完善可靠的应急预案，落实污水处理厂风险防范措施，设计备用电源，防止停电等事故导致污染，确保水环境安全。</w:t>
      </w:r>
    </w:p>
    <w:p>
      <w:pPr>
        <w:rPr>
          <w:rFonts w:hint="eastAsia"/>
        </w:rPr>
      </w:pPr>
      <w:r>
        <w:rPr>
          <w:rFonts w:hint="eastAsia"/>
          <w:lang w:eastAsia="zh-CN"/>
        </w:rPr>
        <w:t>（</w:t>
      </w:r>
      <w:r>
        <w:rPr>
          <w:rFonts w:hint="eastAsia"/>
          <w:lang w:val="en-US" w:eastAsia="zh-CN"/>
        </w:rPr>
        <w:t>七</w:t>
      </w:r>
      <w:r>
        <w:rPr>
          <w:rFonts w:hint="eastAsia"/>
          <w:lang w:eastAsia="zh-CN"/>
        </w:rPr>
        <w:t>）</w:t>
      </w:r>
      <w:r>
        <w:rPr>
          <w:rFonts w:hint="eastAsia"/>
        </w:rPr>
        <w:t>项目建成后，工程污染物排放总量控制指标为CoDcr</w:t>
      </w:r>
      <w:r>
        <w:rPr>
          <w:rFonts w:hint="eastAsia"/>
          <w:lang w:eastAsia="zh-CN"/>
        </w:rPr>
        <w:t>：</w:t>
      </w:r>
      <w:r>
        <w:rPr>
          <w:rFonts w:hint="eastAsia"/>
        </w:rPr>
        <w:t>14.6t/a</w:t>
      </w:r>
      <w:r>
        <w:rPr>
          <w:rFonts w:hint="eastAsia"/>
          <w:lang w:eastAsia="zh-CN"/>
        </w:rPr>
        <w:t>；</w:t>
      </w:r>
      <w:r>
        <w:rPr>
          <w:rFonts w:hint="eastAsia"/>
        </w:rPr>
        <w:t>氨氮</w:t>
      </w:r>
      <w:r>
        <w:rPr>
          <w:rFonts w:hint="eastAsia"/>
          <w:lang w:eastAsia="zh-CN"/>
        </w:rPr>
        <w:t>：</w:t>
      </w:r>
      <w:r>
        <w:rPr>
          <w:rFonts w:hint="eastAsia"/>
        </w:rPr>
        <w:t>1.095t/a</w:t>
      </w:r>
      <w:r>
        <w:rPr>
          <w:rFonts w:hint="eastAsia"/>
          <w:lang w:eastAsia="zh-CN"/>
        </w:rPr>
        <w:t>。</w:t>
      </w:r>
      <w:r>
        <w:rPr>
          <w:rFonts w:hint="eastAsia"/>
        </w:rPr>
        <w:t>项目新增总量指标经德阳市绵竹生态环境局竹环境</w:t>
      </w:r>
      <w:r>
        <w:rPr>
          <w:rFonts w:hint="eastAsia"/>
          <w:lang w:eastAsia="zh-CN"/>
        </w:rPr>
        <w:t>（</w:t>
      </w:r>
      <w:r>
        <w:rPr>
          <w:rFonts w:hint="eastAsia"/>
        </w:rPr>
        <w:t>2021</w:t>
      </w:r>
      <w:r>
        <w:rPr>
          <w:rFonts w:hint="eastAsia"/>
          <w:lang w:eastAsia="zh-CN"/>
        </w:rPr>
        <w:t>）</w:t>
      </w:r>
      <w:r>
        <w:rPr>
          <w:rFonts w:hint="eastAsia"/>
          <w:lang w:val="en-US" w:eastAsia="zh-CN"/>
        </w:rPr>
        <w:t>26</w:t>
      </w:r>
      <w:r>
        <w:rPr>
          <w:rFonts w:hint="eastAsia"/>
        </w:rPr>
        <w:t>号文核实确认，符合相关要求。</w:t>
      </w:r>
    </w:p>
    <w:p>
      <w:pPr>
        <w:rPr>
          <w:rFonts w:hint="eastAsia"/>
        </w:rPr>
      </w:pPr>
      <w:r>
        <w:rPr>
          <w:rFonts w:hint="eastAsia"/>
        </w:rPr>
        <w:t>三、工程开工建设前，应依法完备其他行政许可手续。</w:t>
      </w:r>
    </w:p>
    <w:p>
      <w:pPr>
        <w:rPr>
          <w:rFonts w:hint="eastAsia"/>
        </w:rPr>
      </w:pPr>
      <w:r>
        <w:rPr>
          <w:rFonts w:hint="eastAsia"/>
        </w:rPr>
        <w:t>四、项目竣工后，纳入排污许可证管理的行业，必须按照国家排污许可证有关管理规定要求，申领排污许可证，不得无证排污或不按证排污。按规定标准和程序，对配套建设的环境保护设施进行验收。</w:t>
      </w:r>
    </w:p>
    <w:p>
      <w:pPr>
        <w:rPr>
          <w:rFonts w:hint="eastAsia"/>
        </w:rPr>
      </w:pPr>
      <w:r>
        <w:rPr>
          <w:rFonts w:hint="eastAsia"/>
        </w:rPr>
        <w:t>项目环境影响评价文件经批准后，如工程的性质、规模、工艺、地点或者防治污染、防止生态破坏的措施发生重大变动的，建设单位应当重新报批环境影响评价文件</w:t>
      </w:r>
      <w:r>
        <w:rPr>
          <w:rFonts w:hint="eastAsia"/>
          <w:lang w:eastAsia="zh-CN"/>
        </w:rPr>
        <w:t>，</w:t>
      </w:r>
      <w:r>
        <w:rPr>
          <w:rFonts w:hint="eastAsia"/>
        </w:rPr>
        <w:t>否则不得实施建设。</w:t>
      </w:r>
    </w:p>
    <w:p>
      <w:r>
        <w:rPr>
          <w:rFonts w:hint="eastAsia"/>
        </w:rPr>
        <w:t>五、我局委托德阳市生态环境保护综合行政执法支队开展该项目的“三同时”监督检查和日常监督管理工作。</w:t>
      </w:r>
    </w:p>
    <w:p>
      <w:pPr>
        <w:ind w:firstLine="480"/>
        <w:rPr>
          <w:color w:val="000000"/>
          <w:sz w:val="24"/>
          <w:szCs w:val="24"/>
          <w:lang w:bidi="ar"/>
        </w:rPr>
      </w:pPr>
    </w:p>
    <w:p>
      <w:pPr>
        <w:ind w:firstLine="0" w:firstLineChars="0"/>
        <w:rPr>
          <w:color w:val="000000"/>
          <w:szCs w:val="21"/>
          <w:lang w:bidi="ar"/>
        </w:rPr>
        <w:sectPr>
          <w:pgSz w:w="11906" w:h="16838"/>
          <w:pgMar w:top="1134" w:right="1417" w:bottom="1134" w:left="1417" w:header="850" w:footer="850" w:gutter="0"/>
          <w:pgBorders>
            <w:top w:val="none" w:sz="0" w:space="0"/>
            <w:left w:val="none" w:sz="0" w:space="0"/>
            <w:bottom w:val="none" w:sz="0" w:space="0"/>
            <w:right w:val="none" w:sz="0" w:space="0"/>
          </w:pgBorders>
          <w:pgNumType w:fmt="decimal"/>
          <w:cols w:space="720" w:num="1"/>
          <w:docGrid w:type="lines" w:linePitch="416" w:charSpace="0"/>
        </w:sectPr>
      </w:pPr>
    </w:p>
    <w:p>
      <w:pPr>
        <w:ind w:firstLine="0" w:firstLineChars="0"/>
        <w:outlineLvl w:val="0"/>
        <w:rPr>
          <w:b/>
          <w:sz w:val="32"/>
          <w:szCs w:val="32"/>
        </w:rPr>
      </w:pPr>
      <w:bookmarkStart w:id="81" w:name="_Toc5287"/>
      <w:r>
        <w:rPr>
          <w:b/>
          <w:sz w:val="32"/>
          <w:szCs w:val="32"/>
        </w:rPr>
        <w:t>6验收执行标准及总量控制指标</w:t>
      </w:r>
      <w:bookmarkEnd w:id="81"/>
    </w:p>
    <w:p>
      <w:pPr>
        <w:pStyle w:val="5"/>
        <w:keepLines w:val="0"/>
        <w:numPr>
          <w:ilvl w:val="1"/>
          <w:numId w:val="0"/>
        </w:numPr>
        <w:tabs>
          <w:tab w:val="left" w:pos="1134"/>
        </w:tabs>
        <w:adjustRightInd/>
        <w:textAlignment w:val="auto"/>
        <w:rPr>
          <w:bCs/>
          <w:szCs w:val="30"/>
        </w:rPr>
      </w:pPr>
      <w:bookmarkStart w:id="82" w:name="_Toc10786"/>
      <w:bookmarkStart w:id="83" w:name="_Toc18095"/>
      <w:bookmarkStart w:id="84" w:name="_Toc5997"/>
      <w:r>
        <w:rPr>
          <w:bCs/>
          <w:szCs w:val="30"/>
        </w:rPr>
        <w:t>6.1验收执行标准</w:t>
      </w:r>
      <w:bookmarkEnd w:id="82"/>
      <w:bookmarkEnd w:id="83"/>
      <w:bookmarkEnd w:id="84"/>
    </w:p>
    <w:p>
      <w:r>
        <w:t>根据环评执行标准，结合现行适用标准，本项目的验收监测执行标准见表6-1。</w:t>
      </w:r>
    </w:p>
    <w:p>
      <w:pPr>
        <w:wordWrap w:val="0"/>
        <w:topLinePunct/>
        <w:spacing w:line="240" w:lineRule="auto"/>
        <w:ind w:firstLine="0" w:firstLineChars="0"/>
        <w:jc w:val="center"/>
        <w:rPr>
          <w:b/>
          <w:bCs/>
          <w:sz w:val="21"/>
          <w:szCs w:val="21"/>
        </w:rPr>
      </w:pPr>
      <w:r>
        <w:rPr>
          <w:b/>
          <w:bCs/>
          <w:sz w:val="21"/>
          <w:szCs w:val="21"/>
        </w:rPr>
        <w:t>表6-1  验收执行标准</w:t>
      </w:r>
    </w:p>
    <w:tbl>
      <w:tblPr>
        <w:tblStyle w:val="19"/>
        <w:tblW w:w="0" w:type="auto"/>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53"/>
        <w:gridCol w:w="1722"/>
        <w:gridCol w:w="1965"/>
        <w:gridCol w:w="1675"/>
        <w:gridCol w:w="207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3" w:type="dxa"/>
            <w:noWrap w:val="0"/>
            <w:vAlign w:val="center"/>
          </w:tcPr>
          <w:p>
            <w:pPr>
              <w:widowControl/>
              <w:spacing w:line="320" w:lineRule="exact"/>
              <w:ind w:firstLine="0" w:firstLineChars="0"/>
              <w:jc w:val="center"/>
              <w:rPr>
                <w:b/>
                <w:bCs/>
                <w:color w:val="000000"/>
                <w:sz w:val="21"/>
                <w:szCs w:val="21"/>
              </w:rPr>
            </w:pPr>
            <w:r>
              <w:rPr>
                <w:b/>
                <w:bCs/>
                <w:color w:val="000000"/>
                <w:sz w:val="21"/>
                <w:szCs w:val="21"/>
              </w:rPr>
              <w:t>类别</w:t>
            </w:r>
          </w:p>
        </w:tc>
        <w:tc>
          <w:tcPr>
            <w:tcW w:w="7435" w:type="dxa"/>
            <w:gridSpan w:val="4"/>
            <w:noWrap w:val="0"/>
            <w:vAlign w:val="center"/>
          </w:tcPr>
          <w:p>
            <w:pPr>
              <w:widowControl/>
              <w:spacing w:line="320" w:lineRule="exact"/>
              <w:ind w:firstLine="0" w:firstLineChars="0"/>
              <w:jc w:val="center"/>
              <w:rPr>
                <w:b/>
                <w:bCs/>
                <w:color w:val="000000"/>
                <w:sz w:val="21"/>
                <w:szCs w:val="21"/>
              </w:rPr>
            </w:pPr>
            <w:r>
              <w:rPr>
                <w:b/>
                <w:bCs/>
                <w:color w:val="000000"/>
                <w:sz w:val="21"/>
                <w:szCs w:val="21"/>
              </w:rPr>
              <w:t>验收监测标准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3" w:type="dxa"/>
            <w:vMerge w:val="restart"/>
            <w:noWrap w:val="0"/>
            <w:vAlign w:val="center"/>
          </w:tcPr>
          <w:p>
            <w:pPr>
              <w:widowControl/>
              <w:spacing w:line="320" w:lineRule="exact"/>
              <w:ind w:firstLine="0" w:firstLineChars="0"/>
              <w:jc w:val="center"/>
              <w:rPr>
                <w:color w:val="000000"/>
                <w:sz w:val="21"/>
                <w:szCs w:val="21"/>
              </w:rPr>
            </w:pPr>
            <w:r>
              <w:rPr>
                <w:color w:val="000000"/>
                <w:sz w:val="21"/>
                <w:szCs w:val="21"/>
              </w:rPr>
              <w:t>生活污水</w:t>
            </w:r>
          </w:p>
        </w:tc>
        <w:tc>
          <w:tcPr>
            <w:tcW w:w="7435" w:type="dxa"/>
            <w:gridSpan w:val="4"/>
            <w:noWrap w:val="0"/>
            <w:vAlign w:val="center"/>
          </w:tcPr>
          <w:p>
            <w:pPr>
              <w:widowControl/>
              <w:spacing w:line="320" w:lineRule="exact"/>
              <w:ind w:firstLine="0" w:firstLineChars="0"/>
              <w:jc w:val="center"/>
              <w:rPr>
                <w:color w:val="000000"/>
                <w:sz w:val="21"/>
                <w:szCs w:val="21"/>
              </w:rPr>
            </w:pPr>
            <w:r>
              <w:rPr>
                <w:color w:val="000000"/>
                <w:sz w:val="21"/>
                <w:szCs w:val="21"/>
              </w:rPr>
              <w:t>《城镇污水处理厂污染物排放标准》（ GB 18918-2002）“表1”一级A标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3" w:type="dxa"/>
            <w:vMerge w:val="continue"/>
            <w:noWrap w:val="0"/>
            <w:vAlign w:val="center"/>
          </w:tcPr>
          <w:p>
            <w:pPr>
              <w:widowControl/>
              <w:spacing w:line="320" w:lineRule="exact"/>
              <w:ind w:firstLine="0" w:firstLineChars="0"/>
              <w:jc w:val="center"/>
              <w:rPr>
                <w:color w:val="000000"/>
                <w:sz w:val="21"/>
                <w:szCs w:val="21"/>
              </w:rPr>
            </w:pPr>
          </w:p>
        </w:tc>
        <w:tc>
          <w:tcPr>
            <w:tcW w:w="1722" w:type="dxa"/>
            <w:noWrap w:val="0"/>
            <w:vAlign w:val="center"/>
          </w:tcPr>
          <w:p>
            <w:pPr>
              <w:widowControl/>
              <w:spacing w:line="320" w:lineRule="exact"/>
              <w:ind w:firstLine="0" w:firstLineChars="0"/>
              <w:jc w:val="center"/>
              <w:rPr>
                <w:color w:val="000000"/>
                <w:sz w:val="21"/>
                <w:szCs w:val="21"/>
              </w:rPr>
            </w:pPr>
            <w:r>
              <w:rPr>
                <w:color w:val="000000"/>
                <w:sz w:val="21"/>
                <w:szCs w:val="21"/>
              </w:rPr>
              <w:t>项目</w:t>
            </w:r>
          </w:p>
        </w:tc>
        <w:tc>
          <w:tcPr>
            <w:tcW w:w="1965" w:type="dxa"/>
            <w:noWrap w:val="0"/>
            <w:vAlign w:val="center"/>
          </w:tcPr>
          <w:p>
            <w:pPr>
              <w:widowControl/>
              <w:spacing w:line="320" w:lineRule="exact"/>
              <w:ind w:firstLine="0" w:firstLineChars="0"/>
              <w:jc w:val="center"/>
              <w:rPr>
                <w:color w:val="000000"/>
                <w:sz w:val="21"/>
                <w:szCs w:val="21"/>
              </w:rPr>
            </w:pPr>
            <w:r>
              <w:rPr>
                <w:color w:val="000000"/>
                <w:sz w:val="21"/>
                <w:szCs w:val="21"/>
              </w:rPr>
              <w:t>排放浓度(mg/L)</w:t>
            </w:r>
          </w:p>
        </w:tc>
        <w:tc>
          <w:tcPr>
            <w:tcW w:w="1675" w:type="dxa"/>
            <w:noWrap w:val="0"/>
            <w:vAlign w:val="center"/>
          </w:tcPr>
          <w:p>
            <w:pPr>
              <w:widowControl/>
              <w:spacing w:line="320" w:lineRule="exact"/>
              <w:ind w:firstLine="0" w:firstLineChars="0"/>
              <w:jc w:val="center"/>
              <w:rPr>
                <w:color w:val="000000"/>
                <w:sz w:val="21"/>
                <w:szCs w:val="21"/>
              </w:rPr>
            </w:pPr>
            <w:r>
              <w:rPr>
                <w:color w:val="000000"/>
                <w:sz w:val="21"/>
                <w:szCs w:val="21"/>
              </w:rPr>
              <w:t>项目</w:t>
            </w:r>
          </w:p>
        </w:tc>
        <w:tc>
          <w:tcPr>
            <w:tcW w:w="2073" w:type="dxa"/>
            <w:noWrap w:val="0"/>
            <w:vAlign w:val="center"/>
          </w:tcPr>
          <w:p>
            <w:pPr>
              <w:widowControl/>
              <w:spacing w:line="320" w:lineRule="exact"/>
              <w:ind w:firstLine="0" w:firstLineChars="0"/>
              <w:jc w:val="center"/>
              <w:rPr>
                <w:color w:val="000000"/>
                <w:sz w:val="21"/>
                <w:szCs w:val="21"/>
              </w:rPr>
            </w:pPr>
            <w:r>
              <w:rPr>
                <w:color w:val="000000"/>
                <w:sz w:val="21"/>
                <w:szCs w:val="21"/>
              </w:rPr>
              <w:t>排放浓度(mg/L)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3" w:type="dxa"/>
            <w:vMerge w:val="continue"/>
            <w:noWrap w:val="0"/>
            <w:vAlign w:val="center"/>
          </w:tcPr>
          <w:p>
            <w:pPr>
              <w:widowControl/>
              <w:spacing w:line="320" w:lineRule="exact"/>
              <w:ind w:firstLine="0" w:firstLineChars="0"/>
              <w:jc w:val="center"/>
              <w:rPr>
                <w:color w:val="000000"/>
                <w:sz w:val="21"/>
                <w:szCs w:val="21"/>
              </w:rPr>
            </w:pPr>
          </w:p>
        </w:tc>
        <w:tc>
          <w:tcPr>
            <w:tcW w:w="1722" w:type="dxa"/>
            <w:noWrap w:val="0"/>
            <w:vAlign w:val="center"/>
          </w:tcPr>
          <w:p>
            <w:pPr>
              <w:widowControl/>
              <w:spacing w:line="320" w:lineRule="exact"/>
              <w:ind w:firstLine="0" w:firstLineChars="0"/>
              <w:jc w:val="center"/>
              <w:rPr>
                <w:color w:val="000000"/>
                <w:sz w:val="21"/>
                <w:szCs w:val="21"/>
              </w:rPr>
            </w:pPr>
            <w:r>
              <w:rPr>
                <w:color w:val="000000"/>
                <w:sz w:val="21"/>
                <w:szCs w:val="21"/>
              </w:rPr>
              <w:t>pH</w:t>
            </w:r>
          </w:p>
        </w:tc>
        <w:tc>
          <w:tcPr>
            <w:tcW w:w="1965" w:type="dxa"/>
            <w:noWrap w:val="0"/>
            <w:vAlign w:val="center"/>
          </w:tcPr>
          <w:p>
            <w:pPr>
              <w:widowControl/>
              <w:spacing w:line="320" w:lineRule="exact"/>
              <w:ind w:firstLine="0" w:firstLineChars="0"/>
              <w:jc w:val="center"/>
              <w:rPr>
                <w:color w:val="000000"/>
                <w:sz w:val="21"/>
                <w:szCs w:val="21"/>
              </w:rPr>
            </w:pPr>
            <w:r>
              <w:rPr>
                <w:color w:val="000000"/>
                <w:sz w:val="21"/>
                <w:szCs w:val="21"/>
              </w:rPr>
              <w:t>6～9（无量纲）</w:t>
            </w:r>
          </w:p>
        </w:tc>
        <w:tc>
          <w:tcPr>
            <w:tcW w:w="1675" w:type="dxa"/>
            <w:noWrap w:val="0"/>
            <w:vAlign w:val="center"/>
          </w:tcPr>
          <w:p>
            <w:pPr>
              <w:widowControl/>
              <w:spacing w:line="320" w:lineRule="exact"/>
              <w:ind w:firstLine="0" w:firstLineChars="0"/>
              <w:jc w:val="center"/>
              <w:rPr>
                <w:color w:val="000000"/>
                <w:sz w:val="21"/>
                <w:szCs w:val="21"/>
              </w:rPr>
            </w:pPr>
            <w:r>
              <w:rPr>
                <w:color w:val="000000"/>
                <w:sz w:val="21"/>
                <w:szCs w:val="21"/>
              </w:rPr>
              <w:t>SS</w:t>
            </w:r>
          </w:p>
        </w:tc>
        <w:tc>
          <w:tcPr>
            <w:tcW w:w="2073" w:type="dxa"/>
            <w:noWrap w:val="0"/>
            <w:vAlign w:val="center"/>
          </w:tcPr>
          <w:p>
            <w:pPr>
              <w:widowControl/>
              <w:spacing w:line="320" w:lineRule="exact"/>
              <w:ind w:firstLine="0" w:firstLineChars="0"/>
              <w:jc w:val="center"/>
              <w:rPr>
                <w:color w:val="000000"/>
                <w:sz w:val="21"/>
                <w:szCs w:val="21"/>
              </w:rPr>
            </w:pPr>
            <w:r>
              <w:rPr>
                <w:color w:val="000000"/>
                <w:sz w:val="21"/>
                <w:szCs w:val="21"/>
              </w:rPr>
              <w:t>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3" w:type="dxa"/>
            <w:vMerge w:val="continue"/>
            <w:noWrap w:val="0"/>
            <w:vAlign w:val="center"/>
          </w:tcPr>
          <w:p>
            <w:pPr>
              <w:widowControl/>
              <w:spacing w:line="320" w:lineRule="exact"/>
              <w:ind w:firstLine="0" w:firstLineChars="0"/>
              <w:jc w:val="center"/>
              <w:rPr>
                <w:color w:val="000000"/>
                <w:sz w:val="21"/>
                <w:szCs w:val="21"/>
              </w:rPr>
            </w:pPr>
          </w:p>
        </w:tc>
        <w:tc>
          <w:tcPr>
            <w:tcW w:w="1722" w:type="dxa"/>
            <w:noWrap w:val="0"/>
            <w:vAlign w:val="center"/>
          </w:tcPr>
          <w:p>
            <w:pPr>
              <w:widowControl/>
              <w:spacing w:line="320" w:lineRule="exact"/>
              <w:ind w:firstLine="0" w:firstLineChars="0"/>
              <w:jc w:val="center"/>
              <w:rPr>
                <w:color w:val="000000"/>
                <w:sz w:val="21"/>
                <w:szCs w:val="21"/>
              </w:rPr>
            </w:pPr>
            <w:r>
              <w:rPr>
                <w:color w:val="000000"/>
                <w:sz w:val="21"/>
                <w:szCs w:val="21"/>
              </w:rPr>
              <w:t>石油类</w:t>
            </w:r>
          </w:p>
        </w:tc>
        <w:tc>
          <w:tcPr>
            <w:tcW w:w="1965" w:type="dxa"/>
            <w:noWrap w:val="0"/>
            <w:vAlign w:val="center"/>
          </w:tcPr>
          <w:p>
            <w:pPr>
              <w:widowControl/>
              <w:spacing w:line="320" w:lineRule="exact"/>
              <w:ind w:firstLine="0" w:firstLineChars="0"/>
              <w:jc w:val="center"/>
              <w:rPr>
                <w:color w:val="000000"/>
                <w:sz w:val="21"/>
                <w:szCs w:val="21"/>
              </w:rPr>
            </w:pPr>
            <w:r>
              <w:rPr>
                <w:color w:val="000000"/>
                <w:sz w:val="21"/>
                <w:szCs w:val="21"/>
              </w:rPr>
              <w:t>1</w:t>
            </w:r>
          </w:p>
        </w:tc>
        <w:tc>
          <w:tcPr>
            <w:tcW w:w="1675" w:type="dxa"/>
            <w:noWrap w:val="0"/>
            <w:vAlign w:val="center"/>
          </w:tcPr>
          <w:p>
            <w:pPr>
              <w:widowControl/>
              <w:spacing w:line="320" w:lineRule="exact"/>
              <w:ind w:firstLine="0" w:firstLineChars="0"/>
              <w:jc w:val="center"/>
              <w:rPr>
                <w:color w:val="000000"/>
                <w:sz w:val="21"/>
                <w:szCs w:val="21"/>
              </w:rPr>
            </w:pPr>
            <w:r>
              <w:rPr>
                <w:color w:val="000000"/>
                <w:sz w:val="21"/>
                <w:szCs w:val="21"/>
              </w:rPr>
              <w:t>LAS</w:t>
            </w:r>
          </w:p>
        </w:tc>
        <w:tc>
          <w:tcPr>
            <w:tcW w:w="2073" w:type="dxa"/>
            <w:noWrap w:val="0"/>
            <w:vAlign w:val="center"/>
          </w:tcPr>
          <w:p>
            <w:pPr>
              <w:widowControl/>
              <w:spacing w:line="320" w:lineRule="exact"/>
              <w:ind w:firstLine="0" w:firstLineChars="0"/>
              <w:jc w:val="center"/>
              <w:rPr>
                <w:color w:val="000000"/>
                <w:sz w:val="21"/>
                <w:szCs w:val="21"/>
              </w:rPr>
            </w:pPr>
            <w:r>
              <w:rPr>
                <w:color w:val="000000"/>
                <w:sz w:val="21"/>
                <w:szCs w:val="21"/>
              </w:rPr>
              <w:t>0.5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3" w:type="dxa"/>
            <w:vMerge w:val="continue"/>
            <w:noWrap w:val="0"/>
            <w:vAlign w:val="center"/>
          </w:tcPr>
          <w:p>
            <w:pPr>
              <w:widowControl/>
              <w:spacing w:line="320" w:lineRule="exact"/>
              <w:ind w:firstLine="0" w:firstLineChars="0"/>
              <w:jc w:val="center"/>
              <w:rPr>
                <w:color w:val="000000"/>
                <w:sz w:val="21"/>
                <w:szCs w:val="21"/>
              </w:rPr>
            </w:pPr>
          </w:p>
        </w:tc>
        <w:tc>
          <w:tcPr>
            <w:tcW w:w="1722" w:type="dxa"/>
            <w:noWrap w:val="0"/>
            <w:vAlign w:val="center"/>
          </w:tcPr>
          <w:p>
            <w:pPr>
              <w:widowControl/>
              <w:spacing w:line="320" w:lineRule="exact"/>
              <w:ind w:firstLine="0" w:firstLineChars="0"/>
              <w:jc w:val="center"/>
              <w:rPr>
                <w:color w:val="000000"/>
                <w:sz w:val="21"/>
                <w:szCs w:val="21"/>
              </w:rPr>
            </w:pPr>
            <w:r>
              <w:rPr>
                <w:color w:val="000000"/>
                <w:sz w:val="21"/>
                <w:szCs w:val="21"/>
              </w:rPr>
              <w:t>色度</w:t>
            </w:r>
          </w:p>
        </w:tc>
        <w:tc>
          <w:tcPr>
            <w:tcW w:w="1965" w:type="dxa"/>
            <w:noWrap w:val="0"/>
            <w:vAlign w:val="center"/>
          </w:tcPr>
          <w:p>
            <w:pPr>
              <w:widowControl/>
              <w:spacing w:line="320" w:lineRule="exact"/>
              <w:ind w:firstLine="0" w:firstLineChars="0"/>
              <w:jc w:val="center"/>
              <w:rPr>
                <w:color w:val="000000"/>
                <w:sz w:val="21"/>
                <w:szCs w:val="21"/>
              </w:rPr>
            </w:pPr>
            <w:r>
              <w:rPr>
                <w:color w:val="000000"/>
                <w:sz w:val="21"/>
                <w:szCs w:val="21"/>
              </w:rPr>
              <w:t>30</w:t>
            </w:r>
          </w:p>
        </w:tc>
        <w:tc>
          <w:tcPr>
            <w:tcW w:w="1675" w:type="dxa"/>
            <w:noWrap w:val="0"/>
            <w:vAlign w:val="center"/>
          </w:tcPr>
          <w:p>
            <w:pPr>
              <w:widowControl/>
              <w:spacing w:line="320" w:lineRule="exact"/>
              <w:ind w:firstLine="0" w:firstLineChars="0"/>
              <w:jc w:val="center"/>
              <w:rPr>
                <w:color w:val="000000"/>
                <w:sz w:val="21"/>
                <w:szCs w:val="21"/>
              </w:rPr>
            </w:pPr>
            <w:r>
              <w:rPr>
                <w:color w:val="000000"/>
                <w:sz w:val="21"/>
                <w:szCs w:val="21"/>
              </w:rPr>
              <w:t>粪大肠菌群</w:t>
            </w:r>
          </w:p>
        </w:tc>
        <w:tc>
          <w:tcPr>
            <w:tcW w:w="2073" w:type="dxa"/>
            <w:noWrap w:val="0"/>
            <w:vAlign w:val="center"/>
          </w:tcPr>
          <w:p>
            <w:pPr>
              <w:widowControl/>
              <w:spacing w:line="320" w:lineRule="exact"/>
              <w:ind w:firstLine="0" w:firstLineChars="0"/>
              <w:jc w:val="center"/>
              <w:rPr>
                <w:color w:val="000000"/>
                <w:sz w:val="21"/>
                <w:szCs w:val="21"/>
              </w:rPr>
            </w:pPr>
            <w:r>
              <w:rPr>
                <w:color w:val="000000"/>
                <w:sz w:val="21"/>
                <w:szCs w:val="21"/>
              </w:rPr>
              <w:t>1000（个/L）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3" w:type="dxa"/>
            <w:vMerge w:val="continue"/>
            <w:noWrap w:val="0"/>
            <w:vAlign w:val="center"/>
          </w:tcPr>
          <w:p>
            <w:pPr>
              <w:widowControl/>
              <w:spacing w:line="320" w:lineRule="exact"/>
              <w:ind w:firstLine="0" w:firstLineChars="0"/>
              <w:jc w:val="center"/>
              <w:rPr>
                <w:color w:val="000000"/>
                <w:sz w:val="21"/>
                <w:szCs w:val="21"/>
              </w:rPr>
            </w:pPr>
          </w:p>
        </w:tc>
        <w:tc>
          <w:tcPr>
            <w:tcW w:w="1722" w:type="dxa"/>
            <w:noWrap w:val="0"/>
            <w:vAlign w:val="center"/>
          </w:tcPr>
          <w:p>
            <w:pPr>
              <w:widowControl/>
              <w:spacing w:line="320" w:lineRule="exact"/>
              <w:ind w:firstLine="0" w:firstLineChars="0"/>
              <w:jc w:val="center"/>
              <w:rPr>
                <w:color w:val="000000"/>
                <w:sz w:val="21"/>
                <w:szCs w:val="21"/>
              </w:rPr>
            </w:pPr>
            <w:r>
              <w:rPr>
                <w:color w:val="000000"/>
                <w:sz w:val="21"/>
                <w:szCs w:val="21"/>
              </w:rPr>
              <w:t>总汞</w:t>
            </w:r>
          </w:p>
        </w:tc>
        <w:tc>
          <w:tcPr>
            <w:tcW w:w="1965" w:type="dxa"/>
            <w:noWrap w:val="0"/>
            <w:vAlign w:val="center"/>
          </w:tcPr>
          <w:p>
            <w:pPr>
              <w:widowControl/>
              <w:spacing w:line="320" w:lineRule="exact"/>
              <w:ind w:firstLine="0" w:firstLineChars="0"/>
              <w:jc w:val="center"/>
              <w:rPr>
                <w:color w:val="000000"/>
                <w:sz w:val="21"/>
                <w:szCs w:val="21"/>
              </w:rPr>
            </w:pPr>
            <w:r>
              <w:rPr>
                <w:color w:val="000000"/>
                <w:sz w:val="21"/>
                <w:szCs w:val="21"/>
              </w:rPr>
              <w:t>0.001</w:t>
            </w:r>
          </w:p>
        </w:tc>
        <w:tc>
          <w:tcPr>
            <w:tcW w:w="1675" w:type="dxa"/>
            <w:noWrap w:val="0"/>
            <w:vAlign w:val="center"/>
          </w:tcPr>
          <w:p>
            <w:pPr>
              <w:widowControl/>
              <w:spacing w:line="320" w:lineRule="exact"/>
              <w:ind w:firstLine="0" w:firstLineChars="0"/>
              <w:jc w:val="center"/>
              <w:rPr>
                <w:color w:val="000000"/>
                <w:sz w:val="21"/>
                <w:szCs w:val="21"/>
              </w:rPr>
            </w:pPr>
            <w:r>
              <w:rPr>
                <w:color w:val="000000"/>
                <w:sz w:val="21"/>
                <w:szCs w:val="21"/>
              </w:rPr>
              <w:t>总铬</w:t>
            </w:r>
          </w:p>
        </w:tc>
        <w:tc>
          <w:tcPr>
            <w:tcW w:w="2073" w:type="dxa"/>
            <w:noWrap w:val="0"/>
            <w:vAlign w:val="center"/>
          </w:tcPr>
          <w:p>
            <w:pPr>
              <w:widowControl/>
              <w:spacing w:line="320" w:lineRule="exact"/>
              <w:ind w:firstLine="0" w:firstLineChars="0"/>
              <w:jc w:val="center"/>
              <w:rPr>
                <w:color w:val="000000"/>
                <w:sz w:val="21"/>
                <w:szCs w:val="21"/>
              </w:rPr>
            </w:pPr>
            <w:r>
              <w:rPr>
                <w:color w:val="000000"/>
                <w:sz w:val="21"/>
                <w:szCs w:val="21"/>
              </w:rPr>
              <w:t>0.1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3" w:type="dxa"/>
            <w:vMerge w:val="continue"/>
            <w:noWrap w:val="0"/>
            <w:vAlign w:val="center"/>
          </w:tcPr>
          <w:p>
            <w:pPr>
              <w:widowControl/>
              <w:spacing w:line="320" w:lineRule="exact"/>
              <w:ind w:firstLine="0" w:firstLineChars="0"/>
              <w:jc w:val="center"/>
              <w:rPr>
                <w:color w:val="000000"/>
                <w:sz w:val="21"/>
                <w:szCs w:val="21"/>
              </w:rPr>
            </w:pPr>
          </w:p>
        </w:tc>
        <w:tc>
          <w:tcPr>
            <w:tcW w:w="1722" w:type="dxa"/>
            <w:noWrap w:val="0"/>
            <w:vAlign w:val="center"/>
          </w:tcPr>
          <w:p>
            <w:pPr>
              <w:widowControl/>
              <w:spacing w:line="320" w:lineRule="exact"/>
              <w:ind w:firstLine="0" w:firstLineChars="0"/>
              <w:jc w:val="center"/>
              <w:rPr>
                <w:color w:val="000000"/>
                <w:sz w:val="21"/>
                <w:szCs w:val="21"/>
              </w:rPr>
            </w:pPr>
            <w:r>
              <w:rPr>
                <w:color w:val="000000"/>
                <w:sz w:val="21"/>
                <w:szCs w:val="21"/>
              </w:rPr>
              <w:t>总镉</w:t>
            </w:r>
          </w:p>
        </w:tc>
        <w:tc>
          <w:tcPr>
            <w:tcW w:w="1965" w:type="dxa"/>
            <w:noWrap w:val="0"/>
            <w:vAlign w:val="center"/>
          </w:tcPr>
          <w:p>
            <w:pPr>
              <w:widowControl/>
              <w:spacing w:line="320" w:lineRule="exact"/>
              <w:ind w:firstLine="0" w:firstLineChars="0"/>
              <w:jc w:val="center"/>
              <w:rPr>
                <w:color w:val="000000"/>
                <w:sz w:val="21"/>
                <w:szCs w:val="21"/>
              </w:rPr>
            </w:pPr>
            <w:r>
              <w:rPr>
                <w:color w:val="000000"/>
                <w:sz w:val="21"/>
                <w:szCs w:val="21"/>
              </w:rPr>
              <w:t>0.01</w:t>
            </w:r>
          </w:p>
        </w:tc>
        <w:tc>
          <w:tcPr>
            <w:tcW w:w="1675" w:type="dxa"/>
            <w:noWrap w:val="0"/>
            <w:vAlign w:val="center"/>
          </w:tcPr>
          <w:p>
            <w:pPr>
              <w:widowControl/>
              <w:spacing w:line="320" w:lineRule="exact"/>
              <w:ind w:firstLine="0" w:firstLineChars="0"/>
              <w:jc w:val="center"/>
              <w:rPr>
                <w:color w:val="000000"/>
                <w:sz w:val="21"/>
                <w:szCs w:val="21"/>
              </w:rPr>
            </w:pPr>
            <w:r>
              <w:rPr>
                <w:color w:val="000000"/>
                <w:sz w:val="21"/>
                <w:szCs w:val="21"/>
              </w:rPr>
              <w:t>总砷</w:t>
            </w:r>
          </w:p>
        </w:tc>
        <w:tc>
          <w:tcPr>
            <w:tcW w:w="2073" w:type="dxa"/>
            <w:noWrap w:val="0"/>
            <w:vAlign w:val="center"/>
          </w:tcPr>
          <w:p>
            <w:pPr>
              <w:widowControl/>
              <w:spacing w:line="320" w:lineRule="exact"/>
              <w:ind w:firstLine="0" w:firstLineChars="0"/>
              <w:jc w:val="center"/>
              <w:rPr>
                <w:color w:val="000000"/>
                <w:sz w:val="21"/>
                <w:szCs w:val="21"/>
              </w:rPr>
            </w:pPr>
            <w:r>
              <w:rPr>
                <w:color w:val="000000"/>
                <w:sz w:val="21"/>
                <w:szCs w:val="21"/>
              </w:rPr>
              <w:t>0.1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3" w:type="dxa"/>
            <w:vMerge w:val="continue"/>
            <w:noWrap w:val="0"/>
            <w:vAlign w:val="center"/>
          </w:tcPr>
          <w:p>
            <w:pPr>
              <w:widowControl/>
              <w:spacing w:line="320" w:lineRule="exact"/>
              <w:ind w:firstLine="0" w:firstLineChars="0"/>
              <w:jc w:val="center"/>
              <w:rPr>
                <w:color w:val="000000"/>
                <w:sz w:val="21"/>
                <w:szCs w:val="21"/>
              </w:rPr>
            </w:pPr>
          </w:p>
        </w:tc>
        <w:tc>
          <w:tcPr>
            <w:tcW w:w="1722" w:type="dxa"/>
            <w:noWrap w:val="0"/>
            <w:vAlign w:val="center"/>
          </w:tcPr>
          <w:p>
            <w:pPr>
              <w:widowControl/>
              <w:spacing w:line="320" w:lineRule="exact"/>
              <w:ind w:firstLine="0" w:firstLineChars="0"/>
              <w:jc w:val="center"/>
              <w:rPr>
                <w:color w:val="000000"/>
                <w:sz w:val="21"/>
                <w:szCs w:val="21"/>
              </w:rPr>
            </w:pPr>
            <w:r>
              <w:rPr>
                <w:color w:val="000000"/>
                <w:sz w:val="21"/>
                <w:szCs w:val="21"/>
              </w:rPr>
              <w:t>六价铬</w:t>
            </w:r>
          </w:p>
        </w:tc>
        <w:tc>
          <w:tcPr>
            <w:tcW w:w="1965" w:type="dxa"/>
            <w:noWrap w:val="0"/>
            <w:vAlign w:val="center"/>
          </w:tcPr>
          <w:p>
            <w:pPr>
              <w:widowControl/>
              <w:spacing w:line="320" w:lineRule="exact"/>
              <w:ind w:firstLine="0" w:firstLineChars="0"/>
              <w:jc w:val="center"/>
              <w:rPr>
                <w:color w:val="000000"/>
                <w:sz w:val="21"/>
                <w:szCs w:val="21"/>
              </w:rPr>
            </w:pPr>
            <w:r>
              <w:rPr>
                <w:color w:val="000000"/>
                <w:sz w:val="21"/>
                <w:szCs w:val="21"/>
              </w:rPr>
              <w:t>0.05</w:t>
            </w:r>
          </w:p>
        </w:tc>
        <w:tc>
          <w:tcPr>
            <w:tcW w:w="1675" w:type="dxa"/>
            <w:noWrap w:val="0"/>
            <w:vAlign w:val="center"/>
          </w:tcPr>
          <w:p>
            <w:pPr>
              <w:widowControl/>
              <w:spacing w:line="320" w:lineRule="exact"/>
              <w:ind w:firstLine="0" w:firstLineChars="0"/>
              <w:jc w:val="center"/>
              <w:rPr>
                <w:color w:val="000000"/>
                <w:sz w:val="21"/>
                <w:szCs w:val="21"/>
              </w:rPr>
            </w:pPr>
            <w:r>
              <w:rPr>
                <w:color w:val="000000"/>
                <w:sz w:val="21"/>
                <w:szCs w:val="21"/>
              </w:rPr>
              <w:t>总铅</w:t>
            </w:r>
          </w:p>
        </w:tc>
        <w:tc>
          <w:tcPr>
            <w:tcW w:w="2073" w:type="dxa"/>
            <w:noWrap w:val="0"/>
            <w:vAlign w:val="center"/>
          </w:tcPr>
          <w:p>
            <w:pPr>
              <w:widowControl/>
              <w:spacing w:line="320" w:lineRule="exact"/>
              <w:ind w:firstLine="0" w:firstLineChars="0"/>
              <w:jc w:val="center"/>
              <w:rPr>
                <w:color w:val="000000"/>
                <w:sz w:val="21"/>
                <w:szCs w:val="21"/>
              </w:rPr>
            </w:pPr>
            <w:r>
              <w:rPr>
                <w:color w:val="000000"/>
                <w:sz w:val="21"/>
                <w:szCs w:val="21"/>
              </w:rPr>
              <w:t>0.1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3" w:type="dxa"/>
            <w:vMerge w:val="continue"/>
            <w:noWrap w:val="0"/>
            <w:vAlign w:val="center"/>
          </w:tcPr>
          <w:p>
            <w:pPr>
              <w:widowControl/>
              <w:spacing w:line="320" w:lineRule="exact"/>
              <w:ind w:firstLine="0" w:firstLineChars="0"/>
              <w:jc w:val="center"/>
              <w:rPr>
                <w:color w:val="000000"/>
                <w:sz w:val="21"/>
                <w:szCs w:val="21"/>
              </w:rPr>
            </w:pPr>
          </w:p>
        </w:tc>
        <w:tc>
          <w:tcPr>
            <w:tcW w:w="1722" w:type="dxa"/>
            <w:noWrap w:val="0"/>
            <w:vAlign w:val="center"/>
          </w:tcPr>
          <w:p>
            <w:pPr>
              <w:widowControl/>
              <w:spacing w:line="320" w:lineRule="exact"/>
              <w:ind w:firstLine="0" w:firstLineChars="0"/>
              <w:jc w:val="center"/>
              <w:rPr>
                <w:color w:val="000000"/>
                <w:sz w:val="21"/>
                <w:szCs w:val="21"/>
              </w:rPr>
            </w:pPr>
            <w:r>
              <w:rPr>
                <w:color w:val="000000"/>
                <w:sz w:val="21"/>
                <w:szCs w:val="21"/>
              </w:rPr>
              <w:t>动植物油</w:t>
            </w:r>
          </w:p>
        </w:tc>
        <w:tc>
          <w:tcPr>
            <w:tcW w:w="1965" w:type="dxa"/>
            <w:noWrap w:val="0"/>
            <w:vAlign w:val="center"/>
          </w:tcPr>
          <w:p>
            <w:pPr>
              <w:widowControl/>
              <w:spacing w:line="320" w:lineRule="exact"/>
              <w:ind w:firstLine="0" w:firstLineChars="0"/>
              <w:jc w:val="center"/>
              <w:rPr>
                <w:color w:val="000000"/>
                <w:sz w:val="21"/>
                <w:szCs w:val="21"/>
              </w:rPr>
            </w:pPr>
            <w:r>
              <w:rPr>
                <w:color w:val="000000"/>
                <w:sz w:val="21"/>
                <w:szCs w:val="21"/>
              </w:rPr>
              <w:t>1</w:t>
            </w:r>
          </w:p>
        </w:tc>
        <w:tc>
          <w:tcPr>
            <w:tcW w:w="1675" w:type="dxa"/>
            <w:noWrap w:val="0"/>
            <w:vAlign w:val="center"/>
          </w:tcPr>
          <w:p>
            <w:pPr>
              <w:widowControl/>
              <w:spacing w:line="320" w:lineRule="exact"/>
              <w:ind w:firstLine="0" w:firstLineChars="0"/>
              <w:jc w:val="center"/>
              <w:rPr>
                <w:color w:val="000000"/>
                <w:sz w:val="21"/>
                <w:szCs w:val="21"/>
              </w:rPr>
            </w:pPr>
            <w:r>
              <w:rPr>
                <w:color w:val="000000"/>
                <w:sz w:val="21"/>
                <w:szCs w:val="21"/>
              </w:rPr>
              <w:t>烷基汞</w:t>
            </w:r>
          </w:p>
        </w:tc>
        <w:tc>
          <w:tcPr>
            <w:tcW w:w="2073" w:type="dxa"/>
            <w:noWrap w:val="0"/>
            <w:vAlign w:val="center"/>
          </w:tcPr>
          <w:p>
            <w:pPr>
              <w:widowControl/>
              <w:spacing w:line="320" w:lineRule="exact"/>
              <w:ind w:firstLine="0" w:firstLineChars="0"/>
              <w:jc w:val="center"/>
              <w:rPr>
                <w:color w:val="000000"/>
                <w:sz w:val="21"/>
                <w:szCs w:val="21"/>
              </w:rPr>
            </w:pPr>
            <w:r>
              <w:rPr>
                <w:color w:val="000000"/>
                <w:sz w:val="21"/>
                <w:szCs w:val="21"/>
              </w:rPr>
              <w:t>不得检出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3" w:type="dxa"/>
            <w:vMerge w:val="continue"/>
            <w:noWrap w:val="0"/>
            <w:vAlign w:val="center"/>
          </w:tcPr>
          <w:p>
            <w:pPr>
              <w:widowControl/>
              <w:spacing w:line="320" w:lineRule="exact"/>
              <w:ind w:firstLine="0" w:firstLineChars="0"/>
              <w:jc w:val="center"/>
              <w:rPr>
                <w:color w:val="000000"/>
                <w:sz w:val="21"/>
                <w:szCs w:val="21"/>
              </w:rPr>
            </w:pPr>
          </w:p>
        </w:tc>
        <w:tc>
          <w:tcPr>
            <w:tcW w:w="7435" w:type="dxa"/>
            <w:gridSpan w:val="4"/>
            <w:noWrap w:val="0"/>
            <w:vAlign w:val="center"/>
          </w:tcPr>
          <w:p>
            <w:pPr>
              <w:widowControl/>
              <w:spacing w:line="320" w:lineRule="exact"/>
              <w:ind w:firstLine="0" w:firstLineChars="0"/>
              <w:jc w:val="center"/>
              <w:rPr>
                <w:color w:val="000000"/>
                <w:sz w:val="21"/>
                <w:szCs w:val="21"/>
              </w:rPr>
            </w:pPr>
            <w:r>
              <w:rPr>
                <w:color w:val="000000"/>
                <w:sz w:val="21"/>
                <w:szCs w:val="21"/>
              </w:rPr>
              <w:t>《</w:t>
            </w:r>
            <w:r>
              <w:rPr>
                <w:color w:val="000000"/>
                <w:sz w:val="21"/>
                <w:szCs w:val="21"/>
              </w:rPr>
              <w:fldChar w:fldCharType="begin"/>
            </w:r>
            <w:r>
              <w:rPr>
                <w:color w:val="000000"/>
                <w:sz w:val="21"/>
                <w:szCs w:val="21"/>
              </w:rPr>
              <w:instrText xml:space="preserve"> HYPERLINK "http://www.baidu.com/link?url=155MsF5av_umgVXPQ_SCP5u2mzKFw-JDRYN6dE9SrkmvHn8w0mETkQVjc5LOVq88rbg2hWgCK5g74xptwg0racnLdTPjgqnwUd3NUST73UBV2n_7Eg69jhanxgKIuch4" \t "https://www.baidu.com/_blank" </w:instrText>
            </w:r>
            <w:r>
              <w:rPr>
                <w:color w:val="000000"/>
                <w:sz w:val="21"/>
                <w:szCs w:val="21"/>
              </w:rPr>
              <w:fldChar w:fldCharType="separate"/>
            </w:r>
            <w:r>
              <w:rPr>
                <w:color w:val="000000"/>
                <w:sz w:val="21"/>
                <w:szCs w:val="21"/>
              </w:rPr>
              <w:t>四川省岷江、沱江流域水污染物排放标准DB51-2311-2016</w:t>
            </w:r>
            <w:r>
              <w:rPr>
                <w:color w:val="000000"/>
                <w:sz w:val="21"/>
                <w:szCs w:val="21"/>
              </w:rPr>
              <w:fldChar w:fldCharType="end"/>
            </w:r>
            <w:r>
              <w:rPr>
                <w:color w:val="000000"/>
                <w:sz w:val="21"/>
                <w:szCs w:val="21"/>
              </w:rPr>
              <w:t>》“表1”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3" w:type="dxa"/>
            <w:vMerge w:val="continue"/>
            <w:noWrap w:val="0"/>
            <w:vAlign w:val="center"/>
          </w:tcPr>
          <w:p>
            <w:pPr>
              <w:widowControl/>
              <w:spacing w:line="320" w:lineRule="exact"/>
              <w:ind w:firstLine="0" w:firstLineChars="0"/>
              <w:jc w:val="center"/>
              <w:rPr>
                <w:color w:val="000000"/>
                <w:sz w:val="21"/>
                <w:szCs w:val="21"/>
              </w:rPr>
            </w:pPr>
          </w:p>
        </w:tc>
        <w:tc>
          <w:tcPr>
            <w:tcW w:w="1722" w:type="dxa"/>
            <w:noWrap w:val="0"/>
            <w:vAlign w:val="center"/>
          </w:tcPr>
          <w:p>
            <w:pPr>
              <w:widowControl/>
              <w:spacing w:line="320" w:lineRule="exact"/>
              <w:ind w:firstLine="0" w:firstLineChars="0"/>
              <w:jc w:val="center"/>
              <w:rPr>
                <w:color w:val="000000"/>
                <w:sz w:val="21"/>
                <w:szCs w:val="21"/>
              </w:rPr>
            </w:pPr>
            <w:r>
              <w:rPr>
                <w:color w:val="000000"/>
                <w:sz w:val="21"/>
                <w:szCs w:val="21"/>
              </w:rPr>
              <w:t>NH</w:t>
            </w:r>
            <w:r>
              <w:rPr>
                <w:color w:val="000000"/>
                <w:sz w:val="21"/>
                <w:szCs w:val="21"/>
                <w:vertAlign w:val="subscript"/>
              </w:rPr>
              <w:t>3</w:t>
            </w:r>
            <w:r>
              <w:rPr>
                <w:color w:val="000000"/>
                <w:sz w:val="21"/>
                <w:szCs w:val="21"/>
              </w:rPr>
              <w:t>-N</w:t>
            </w:r>
          </w:p>
        </w:tc>
        <w:tc>
          <w:tcPr>
            <w:tcW w:w="1965" w:type="dxa"/>
            <w:noWrap w:val="0"/>
            <w:vAlign w:val="center"/>
          </w:tcPr>
          <w:p>
            <w:pPr>
              <w:widowControl/>
              <w:spacing w:line="320" w:lineRule="exact"/>
              <w:ind w:firstLine="0" w:firstLineChars="0"/>
              <w:jc w:val="center"/>
              <w:rPr>
                <w:color w:val="000000"/>
                <w:sz w:val="21"/>
                <w:szCs w:val="21"/>
              </w:rPr>
            </w:pPr>
            <w:r>
              <w:rPr>
                <w:color w:val="000000"/>
                <w:sz w:val="21"/>
                <w:szCs w:val="21"/>
              </w:rPr>
              <w:t>1.5</w:t>
            </w:r>
          </w:p>
        </w:tc>
        <w:tc>
          <w:tcPr>
            <w:tcW w:w="1675" w:type="dxa"/>
            <w:noWrap w:val="0"/>
            <w:vAlign w:val="center"/>
          </w:tcPr>
          <w:p>
            <w:pPr>
              <w:widowControl/>
              <w:spacing w:line="320" w:lineRule="exact"/>
              <w:ind w:firstLine="0" w:firstLineChars="0"/>
              <w:jc w:val="center"/>
              <w:rPr>
                <w:color w:val="000000"/>
                <w:sz w:val="21"/>
                <w:szCs w:val="21"/>
              </w:rPr>
            </w:pPr>
            <w:r>
              <w:rPr>
                <w:color w:val="000000"/>
                <w:sz w:val="21"/>
                <w:szCs w:val="21"/>
              </w:rPr>
              <w:t>TN</w:t>
            </w:r>
          </w:p>
        </w:tc>
        <w:tc>
          <w:tcPr>
            <w:tcW w:w="2073" w:type="dxa"/>
            <w:noWrap w:val="0"/>
            <w:vAlign w:val="center"/>
          </w:tcPr>
          <w:p>
            <w:pPr>
              <w:widowControl/>
              <w:spacing w:line="320" w:lineRule="exact"/>
              <w:ind w:firstLine="0" w:firstLineChars="0"/>
              <w:jc w:val="center"/>
              <w:rPr>
                <w:color w:val="000000"/>
                <w:sz w:val="21"/>
                <w:szCs w:val="21"/>
              </w:rPr>
            </w:pPr>
            <w:r>
              <w:rPr>
                <w:color w:val="000000"/>
                <w:sz w:val="21"/>
                <w:szCs w:val="21"/>
              </w:rPr>
              <w:t>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3" w:type="dxa"/>
            <w:vMerge w:val="continue"/>
            <w:noWrap w:val="0"/>
            <w:vAlign w:val="center"/>
          </w:tcPr>
          <w:p>
            <w:pPr>
              <w:widowControl/>
              <w:spacing w:line="320" w:lineRule="exact"/>
              <w:ind w:firstLine="0" w:firstLineChars="0"/>
              <w:jc w:val="center"/>
              <w:rPr>
                <w:color w:val="000000"/>
                <w:sz w:val="21"/>
                <w:szCs w:val="21"/>
              </w:rPr>
            </w:pPr>
          </w:p>
        </w:tc>
        <w:tc>
          <w:tcPr>
            <w:tcW w:w="1722" w:type="dxa"/>
            <w:noWrap w:val="0"/>
            <w:vAlign w:val="center"/>
          </w:tcPr>
          <w:p>
            <w:pPr>
              <w:widowControl/>
              <w:spacing w:line="320" w:lineRule="exact"/>
              <w:ind w:firstLine="0" w:firstLineChars="0"/>
              <w:jc w:val="center"/>
              <w:rPr>
                <w:color w:val="000000"/>
                <w:sz w:val="21"/>
                <w:szCs w:val="21"/>
              </w:rPr>
            </w:pPr>
            <w:r>
              <w:rPr>
                <w:color w:val="000000"/>
                <w:sz w:val="21"/>
                <w:szCs w:val="21"/>
              </w:rPr>
              <w:t>COD</w:t>
            </w:r>
            <w:r>
              <w:rPr>
                <w:color w:val="000000"/>
                <w:sz w:val="21"/>
                <w:szCs w:val="21"/>
                <w:vertAlign w:val="subscript"/>
              </w:rPr>
              <w:t>cr</w:t>
            </w:r>
          </w:p>
        </w:tc>
        <w:tc>
          <w:tcPr>
            <w:tcW w:w="1965" w:type="dxa"/>
            <w:noWrap w:val="0"/>
            <w:vAlign w:val="center"/>
          </w:tcPr>
          <w:p>
            <w:pPr>
              <w:widowControl/>
              <w:spacing w:line="320" w:lineRule="exact"/>
              <w:ind w:firstLine="0" w:firstLineChars="0"/>
              <w:jc w:val="center"/>
              <w:rPr>
                <w:color w:val="000000"/>
                <w:sz w:val="21"/>
                <w:szCs w:val="21"/>
              </w:rPr>
            </w:pPr>
            <w:r>
              <w:rPr>
                <w:color w:val="000000"/>
                <w:sz w:val="21"/>
                <w:szCs w:val="21"/>
              </w:rPr>
              <w:t>30</w:t>
            </w:r>
          </w:p>
        </w:tc>
        <w:tc>
          <w:tcPr>
            <w:tcW w:w="1675" w:type="dxa"/>
            <w:noWrap w:val="0"/>
            <w:vAlign w:val="center"/>
          </w:tcPr>
          <w:p>
            <w:pPr>
              <w:widowControl/>
              <w:spacing w:line="320" w:lineRule="exact"/>
              <w:ind w:firstLine="0" w:firstLineChars="0"/>
              <w:jc w:val="center"/>
              <w:rPr>
                <w:color w:val="000000"/>
                <w:sz w:val="21"/>
                <w:szCs w:val="21"/>
              </w:rPr>
            </w:pPr>
            <w:r>
              <w:rPr>
                <w:color w:val="000000"/>
                <w:sz w:val="21"/>
                <w:szCs w:val="21"/>
              </w:rPr>
              <w:t>TP</w:t>
            </w:r>
          </w:p>
        </w:tc>
        <w:tc>
          <w:tcPr>
            <w:tcW w:w="2073" w:type="dxa"/>
            <w:noWrap w:val="0"/>
            <w:vAlign w:val="center"/>
          </w:tcPr>
          <w:p>
            <w:pPr>
              <w:widowControl/>
              <w:spacing w:line="320" w:lineRule="exact"/>
              <w:ind w:firstLine="0" w:firstLineChars="0"/>
              <w:jc w:val="center"/>
              <w:rPr>
                <w:color w:val="000000"/>
                <w:sz w:val="21"/>
                <w:szCs w:val="21"/>
              </w:rPr>
            </w:pPr>
            <w:r>
              <w:rPr>
                <w:color w:val="000000"/>
                <w:sz w:val="21"/>
                <w:szCs w:val="21"/>
              </w:rPr>
              <w:t>0.3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3" w:type="dxa"/>
            <w:vMerge w:val="continue"/>
            <w:noWrap w:val="0"/>
            <w:vAlign w:val="center"/>
          </w:tcPr>
          <w:p>
            <w:pPr>
              <w:widowControl/>
              <w:spacing w:line="320" w:lineRule="exact"/>
              <w:ind w:firstLine="0" w:firstLineChars="0"/>
              <w:jc w:val="center"/>
              <w:rPr>
                <w:color w:val="000000"/>
                <w:sz w:val="21"/>
                <w:szCs w:val="21"/>
              </w:rPr>
            </w:pPr>
          </w:p>
        </w:tc>
        <w:tc>
          <w:tcPr>
            <w:tcW w:w="1722" w:type="dxa"/>
            <w:noWrap w:val="0"/>
            <w:vAlign w:val="center"/>
          </w:tcPr>
          <w:p>
            <w:pPr>
              <w:widowControl/>
              <w:spacing w:line="320" w:lineRule="exact"/>
              <w:ind w:firstLine="0" w:firstLineChars="0"/>
              <w:jc w:val="center"/>
              <w:rPr>
                <w:color w:val="000000"/>
                <w:sz w:val="21"/>
                <w:szCs w:val="21"/>
                <w:vertAlign w:val="subscript"/>
              </w:rPr>
            </w:pPr>
            <w:r>
              <w:rPr>
                <w:color w:val="000000"/>
                <w:sz w:val="21"/>
                <w:szCs w:val="21"/>
              </w:rPr>
              <w:t>BOD</w:t>
            </w:r>
            <w:r>
              <w:rPr>
                <w:color w:val="000000"/>
                <w:sz w:val="21"/>
                <w:szCs w:val="21"/>
                <w:vertAlign w:val="subscript"/>
              </w:rPr>
              <w:t>5</w:t>
            </w:r>
          </w:p>
        </w:tc>
        <w:tc>
          <w:tcPr>
            <w:tcW w:w="1965" w:type="dxa"/>
            <w:noWrap w:val="0"/>
            <w:vAlign w:val="center"/>
          </w:tcPr>
          <w:p>
            <w:pPr>
              <w:widowControl/>
              <w:spacing w:line="320" w:lineRule="exact"/>
              <w:ind w:firstLine="0" w:firstLineChars="0"/>
              <w:jc w:val="center"/>
              <w:rPr>
                <w:color w:val="000000"/>
                <w:sz w:val="21"/>
                <w:szCs w:val="21"/>
              </w:rPr>
            </w:pPr>
            <w:r>
              <w:rPr>
                <w:color w:val="000000"/>
                <w:sz w:val="21"/>
                <w:szCs w:val="21"/>
              </w:rPr>
              <w:t>6</w:t>
            </w:r>
          </w:p>
        </w:tc>
        <w:tc>
          <w:tcPr>
            <w:tcW w:w="1675" w:type="dxa"/>
            <w:noWrap w:val="0"/>
            <w:vAlign w:val="center"/>
          </w:tcPr>
          <w:p>
            <w:pPr>
              <w:widowControl/>
              <w:spacing w:line="320" w:lineRule="exact"/>
              <w:ind w:firstLine="0" w:firstLineChars="0"/>
              <w:jc w:val="center"/>
              <w:rPr>
                <w:rFonts w:hint="eastAsia" w:eastAsia="宋体"/>
                <w:color w:val="000000"/>
                <w:sz w:val="21"/>
                <w:szCs w:val="21"/>
                <w:vertAlign w:val="subscript"/>
                <w:lang w:eastAsia="zh-CN"/>
              </w:rPr>
            </w:pPr>
            <w:r>
              <w:rPr>
                <w:rFonts w:hint="eastAsia"/>
                <w:color w:val="000000"/>
                <w:sz w:val="21"/>
                <w:szCs w:val="21"/>
                <w:vertAlign w:val="subscript"/>
                <w:lang w:val="en-US" w:eastAsia="zh-CN"/>
              </w:rPr>
              <w:t>/</w:t>
            </w:r>
          </w:p>
        </w:tc>
        <w:tc>
          <w:tcPr>
            <w:tcW w:w="2073" w:type="dxa"/>
            <w:noWrap w:val="0"/>
            <w:vAlign w:val="center"/>
          </w:tcPr>
          <w:p>
            <w:pPr>
              <w:widowControl/>
              <w:spacing w:line="320" w:lineRule="exact"/>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3" w:type="dxa"/>
            <w:vMerge w:val="restart"/>
            <w:noWrap w:val="0"/>
            <w:vAlign w:val="center"/>
          </w:tcPr>
          <w:p>
            <w:pPr>
              <w:widowControl/>
              <w:spacing w:line="320" w:lineRule="exact"/>
              <w:ind w:firstLine="0" w:firstLineChars="0"/>
              <w:jc w:val="center"/>
              <w:rPr>
                <w:color w:val="000000"/>
                <w:sz w:val="21"/>
                <w:szCs w:val="21"/>
              </w:rPr>
            </w:pPr>
            <w:r>
              <w:rPr>
                <w:color w:val="000000"/>
                <w:sz w:val="21"/>
                <w:szCs w:val="21"/>
              </w:rPr>
              <w:t>废气（有组织）</w:t>
            </w:r>
          </w:p>
        </w:tc>
        <w:tc>
          <w:tcPr>
            <w:tcW w:w="7435" w:type="dxa"/>
            <w:gridSpan w:val="4"/>
            <w:noWrap w:val="0"/>
            <w:vAlign w:val="center"/>
          </w:tcPr>
          <w:p>
            <w:pPr>
              <w:widowControl/>
              <w:spacing w:line="320" w:lineRule="exact"/>
              <w:ind w:firstLine="0" w:firstLineChars="0"/>
              <w:jc w:val="center"/>
              <w:rPr>
                <w:color w:val="000000"/>
                <w:sz w:val="21"/>
                <w:szCs w:val="21"/>
              </w:rPr>
            </w:pPr>
            <w:r>
              <w:rPr>
                <w:color w:val="000000"/>
                <w:sz w:val="21"/>
                <w:szCs w:val="21"/>
              </w:rPr>
              <w:t>《城镇污水处理厂污染物排放标准》（ GB 18918-2002）“表4”二级标准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3" w:type="dxa"/>
            <w:vMerge w:val="continue"/>
            <w:noWrap w:val="0"/>
            <w:vAlign w:val="center"/>
          </w:tcPr>
          <w:p>
            <w:pPr>
              <w:widowControl/>
              <w:spacing w:line="320" w:lineRule="exact"/>
              <w:ind w:firstLine="0" w:firstLineChars="0"/>
              <w:jc w:val="center"/>
              <w:rPr>
                <w:color w:val="000000"/>
                <w:sz w:val="21"/>
                <w:szCs w:val="21"/>
              </w:rPr>
            </w:pPr>
          </w:p>
        </w:tc>
        <w:tc>
          <w:tcPr>
            <w:tcW w:w="3687" w:type="dxa"/>
            <w:gridSpan w:val="2"/>
            <w:noWrap w:val="0"/>
            <w:vAlign w:val="center"/>
          </w:tcPr>
          <w:p>
            <w:pPr>
              <w:widowControl/>
              <w:spacing w:line="320" w:lineRule="exact"/>
              <w:ind w:firstLine="0" w:firstLineChars="0"/>
              <w:jc w:val="center"/>
              <w:rPr>
                <w:color w:val="000000"/>
                <w:sz w:val="21"/>
                <w:szCs w:val="21"/>
              </w:rPr>
            </w:pPr>
            <w:r>
              <w:rPr>
                <w:color w:val="000000"/>
                <w:sz w:val="21"/>
                <w:szCs w:val="21"/>
              </w:rPr>
              <w:t>项目</w:t>
            </w:r>
          </w:p>
        </w:tc>
        <w:tc>
          <w:tcPr>
            <w:tcW w:w="3748" w:type="dxa"/>
            <w:gridSpan w:val="2"/>
            <w:noWrap w:val="0"/>
            <w:vAlign w:val="center"/>
          </w:tcPr>
          <w:p>
            <w:pPr>
              <w:widowControl/>
              <w:spacing w:line="320" w:lineRule="exact"/>
              <w:ind w:firstLine="0" w:firstLineChars="0"/>
              <w:jc w:val="center"/>
              <w:rPr>
                <w:color w:val="000000"/>
                <w:sz w:val="21"/>
                <w:szCs w:val="21"/>
              </w:rPr>
            </w:pPr>
            <w:r>
              <w:rPr>
                <w:color w:val="000000"/>
                <w:sz w:val="21"/>
                <w:szCs w:val="21"/>
              </w:rPr>
              <w:t>排放限值（mg/m</w:t>
            </w:r>
            <w:r>
              <w:rPr>
                <w:color w:val="000000"/>
                <w:sz w:val="21"/>
                <w:szCs w:val="21"/>
                <w:vertAlign w:val="superscript"/>
              </w:rPr>
              <w:t>3</w:t>
            </w:r>
            <w:r>
              <w:rPr>
                <w:color w:val="000000"/>
                <w:sz w:val="21"/>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3" w:type="dxa"/>
            <w:vMerge w:val="continue"/>
            <w:noWrap w:val="0"/>
            <w:vAlign w:val="center"/>
          </w:tcPr>
          <w:p>
            <w:pPr>
              <w:widowControl/>
              <w:spacing w:line="320" w:lineRule="exact"/>
              <w:ind w:firstLine="0" w:firstLineChars="0"/>
              <w:jc w:val="center"/>
              <w:rPr>
                <w:color w:val="000000"/>
                <w:sz w:val="21"/>
                <w:szCs w:val="21"/>
              </w:rPr>
            </w:pPr>
          </w:p>
        </w:tc>
        <w:tc>
          <w:tcPr>
            <w:tcW w:w="3687" w:type="dxa"/>
            <w:gridSpan w:val="2"/>
            <w:noWrap w:val="0"/>
            <w:vAlign w:val="center"/>
          </w:tcPr>
          <w:p>
            <w:pPr>
              <w:wordWrap w:val="0"/>
              <w:topLinePunct/>
              <w:spacing w:line="320" w:lineRule="exact"/>
              <w:ind w:firstLine="0" w:firstLineChars="0"/>
              <w:jc w:val="center"/>
              <w:rPr>
                <w:color w:val="000000"/>
                <w:sz w:val="21"/>
                <w:szCs w:val="21"/>
              </w:rPr>
            </w:pPr>
            <w:r>
              <w:rPr>
                <w:color w:val="000000"/>
                <w:sz w:val="21"/>
                <w:szCs w:val="21"/>
              </w:rPr>
              <w:t>臭气浓度</w:t>
            </w:r>
          </w:p>
        </w:tc>
        <w:tc>
          <w:tcPr>
            <w:tcW w:w="3748" w:type="dxa"/>
            <w:gridSpan w:val="2"/>
            <w:noWrap w:val="0"/>
            <w:vAlign w:val="center"/>
          </w:tcPr>
          <w:p>
            <w:pPr>
              <w:wordWrap w:val="0"/>
              <w:topLinePunct/>
              <w:spacing w:line="320" w:lineRule="exact"/>
              <w:ind w:firstLine="0" w:firstLineChars="0"/>
              <w:jc w:val="center"/>
              <w:rPr>
                <w:color w:val="000000"/>
                <w:sz w:val="21"/>
                <w:szCs w:val="21"/>
              </w:rPr>
            </w:pPr>
            <w:r>
              <w:rPr>
                <w:color w:val="000000"/>
                <w:sz w:val="21"/>
                <w:szCs w:val="21"/>
              </w:rPr>
              <w:t>2000（无量纲）</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3" w:type="dxa"/>
            <w:vMerge w:val="continue"/>
            <w:noWrap w:val="0"/>
            <w:vAlign w:val="center"/>
          </w:tcPr>
          <w:p>
            <w:pPr>
              <w:widowControl/>
              <w:spacing w:line="320" w:lineRule="exact"/>
              <w:ind w:firstLine="0" w:firstLineChars="0"/>
              <w:jc w:val="center"/>
              <w:rPr>
                <w:color w:val="000000"/>
                <w:sz w:val="21"/>
                <w:szCs w:val="21"/>
              </w:rPr>
            </w:pPr>
          </w:p>
        </w:tc>
        <w:tc>
          <w:tcPr>
            <w:tcW w:w="3687" w:type="dxa"/>
            <w:gridSpan w:val="2"/>
            <w:noWrap w:val="0"/>
            <w:vAlign w:val="center"/>
          </w:tcPr>
          <w:p>
            <w:pPr>
              <w:wordWrap w:val="0"/>
              <w:topLinePunct/>
              <w:spacing w:line="320" w:lineRule="exact"/>
              <w:ind w:firstLine="0" w:firstLineChars="0"/>
              <w:jc w:val="center"/>
              <w:rPr>
                <w:color w:val="000000"/>
                <w:sz w:val="21"/>
                <w:szCs w:val="21"/>
              </w:rPr>
            </w:pPr>
            <w:r>
              <w:rPr>
                <w:color w:val="000000"/>
                <w:sz w:val="21"/>
                <w:szCs w:val="21"/>
              </w:rPr>
              <w:t>氨</w:t>
            </w:r>
          </w:p>
        </w:tc>
        <w:tc>
          <w:tcPr>
            <w:tcW w:w="3748" w:type="dxa"/>
            <w:gridSpan w:val="2"/>
            <w:noWrap w:val="0"/>
            <w:vAlign w:val="center"/>
          </w:tcPr>
          <w:p>
            <w:pPr>
              <w:wordWrap w:val="0"/>
              <w:topLinePunct/>
              <w:spacing w:line="320" w:lineRule="exact"/>
              <w:ind w:firstLine="0" w:firstLineChars="0"/>
              <w:jc w:val="center"/>
              <w:rPr>
                <w:color w:val="000000"/>
                <w:sz w:val="21"/>
                <w:szCs w:val="21"/>
              </w:rPr>
            </w:pPr>
            <w:r>
              <w:rPr>
                <w:color w:val="000000"/>
                <w:sz w:val="21"/>
                <w:szCs w:val="21"/>
              </w:rPr>
              <w:t>4.9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3" w:type="dxa"/>
            <w:vMerge w:val="continue"/>
            <w:noWrap w:val="0"/>
            <w:vAlign w:val="center"/>
          </w:tcPr>
          <w:p>
            <w:pPr>
              <w:widowControl/>
              <w:spacing w:line="320" w:lineRule="exact"/>
              <w:ind w:firstLine="0" w:firstLineChars="0"/>
              <w:jc w:val="center"/>
              <w:rPr>
                <w:color w:val="000000"/>
                <w:sz w:val="21"/>
                <w:szCs w:val="21"/>
              </w:rPr>
            </w:pPr>
          </w:p>
        </w:tc>
        <w:tc>
          <w:tcPr>
            <w:tcW w:w="3687" w:type="dxa"/>
            <w:gridSpan w:val="2"/>
            <w:noWrap w:val="0"/>
            <w:vAlign w:val="center"/>
          </w:tcPr>
          <w:p>
            <w:pPr>
              <w:wordWrap w:val="0"/>
              <w:topLinePunct/>
              <w:spacing w:line="320" w:lineRule="exact"/>
              <w:ind w:firstLine="0" w:firstLineChars="0"/>
              <w:jc w:val="center"/>
              <w:rPr>
                <w:color w:val="000000"/>
                <w:sz w:val="21"/>
                <w:szCs w:val="21"/>
              </w:rPr>
            </w:pPr>
            <w:r>
              <w:rPr>
                <w:color w:val="000000"/>
                <w:sz w:val="21"/>
                <w:szCs w:val="21"/>
              </w:rPr>
              <w:t>硫化氢</w:t>
            </w:r>
          </w:p>
        </w:tc>
        <w:tc>
          <w:tcPr>
            <w:tcW w:w="3748" w:type="dxa"/>
            <w:gridSpan w:val="2"/>
            <w:noWrap w:val="0"/>
            <w:vAlign w:val="center"/>
          </w:tcPr>
          <w:p>
            <w:pPr>
              <w:wordWrap w:val="0"/>
              <w:topLinePunct/>
              <w:spacing w:line="320" w:lineRule="exact"/>
              <w:ind w:firstLine="0" w:firstLineChars="0"/>
              <w:jc w:val="center"/>
              <w:rPr>
                <w:color w:val="000000"/>
                <w:sz w:val="21"/>
                <w:szCs w:val="21"/>
              </w:rPr>
            </w:pPr>
            <w:r>
              <w:rPr>
                <w:color w:val="000000"/>
                <w:sz w:val="21"/>
                <w:szCs w:val="21"/>
              </w:rPr>
              <w:t>0.33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3" w:type="dxa"/>
            <w:vMerge w:val="restart"/>
            <w:noWrap w:val="0"/>
            <w:vAlign w:val="center"/>
          </w:tcPr>
          <w:p>
            <w:pPr>
              <w:widowControl/>
              <w:spacing w:line="320" w:lineRule="exact"/>
              <w:ind w:firstLine="0" w:firstLineChars="0"/>
              <w:jc w:val="center"/>
              <w:rPr>
                <w:color w:val="000000"/>
                <w:sz w:val="21"/>
                <w:szCs w:val="21"/>
              </w:rPr>
            </w:pPr>
            <w:r>
              <w:rPr>
                <w:color w:val="000000"/>
                <w:sz w:val="21"/>
                <w:szCs w:val="21"/>
              </w:rPr>
              <w:t>废气（无组织）</w:t>
            </w:r>
          </w:p>
        </w:tc>
        <w:tc>
          <w:tcPr>
            <w:tcW w:w="7435" w:type="dxa"/>
            <w:gridSpan w:val="4"/>
            <w:noWrap w:val="0"/>
            <w:vAlign w:val="center"/>
          </w:tcPr>
          <w:p>
            <w:pPr>
              <w:wordWrap w:val="0"/>
              <w:topLinePunct/>
              <w:spacing w:line="320" w:lineRule="exact"/>
              <w:ind w:firstLine="0" w:firstLineChars="0"/>
              <w:jc w:val="center"/>
              <w:rPr>
                <w:color w:val="000000"/>
                <w:sz w:val="21"/>
                <w:szCs w:val="21"/>
              </w:rPr>
            </w:pPr>
            <w:r>
              <w:rPr>
                <w:color w:val="000000"/>
                <w:sz w:val="21"/>
                <w:szCs w:val="21"/>
              </w:rPr>
              <w:t>《城镇污水处理厂污染物排放标准》（ GB 18918-2002）“表4”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3" w:type="dxa"/>
            <w:vMerge w:val="continue"/>
            <w:noWrap w:val="0"/>
            <w:vAlign w:val="center"/>
          </w:tcPr>
          <w:p>
            <w:pPr>
              <w:widowControl/>
              <w:spacing w:line="320" w:lineRule="exact"/>
              <w:ind w:firstLine="0" w:firstLineChars="0"/>
              <w:jc w:val="center"/>
              <w:rPr>
                <w:color w:val="000000"/>
                <w:sz w:val="21"/>
                <w:szCs w:val="21"/>
              </w:rPr>
            </w:pPr>
          </w:p>
        </w:tc>
        <w:tc>
          <w:tcPr>
            <w:tcW w:w="3687" w:type="dxa"/>
            <w:gridSpan w:val="2"/>
            <w:noWrap w:val="0"/>
            <w:vAlign w:val="center"/>
          </w:tcPr>
          <w:p>
            <w:pPr>
              <w:wordWrap w:val="0"/>
              <w:topLinePunct/>
              <w:spacing w:line="320" w:lineRule="exact"/>
              <w:ind w:firstLine="0" w:firstLineChars="0"/>
              <w:jc w:val="center"/>
              <w:rPr>
                <w:color w:val="000000"/>
                <w:sz w:val="21"/>
                <w:szCs w:val="21"/>
              </w:rPr>
            </w:pPr>
            <w:r>
              <w:rPr>
                <w:color w:val="000000"/>
                <w:sz w:val="21"/>
                <w:szCs w:val="21"/>
              </w:rPr>
              <w:t>臭气浓度</w:t>
            </w:r>
          </w:p>
        </w:tc>
        <w:tc>
          <w:tcPr>
            <w:tcW w:w="3748" w:type="dxa"/>
            <w:gridSpan w:val="2"/>
            <w:noWrap w:val="0"/>
            <w:vAlign w:val="center"/>
          </w:tcPr>
          <w:p>
            <w:pPr>
              <w:wordWrap w:val="0"/>
              <w:topLinePunct/>
              <w:spacing w:line="320" w:lineRule="exact"/>
              <w:ind w:firstLine="0" w:firstLineChars="0"/>
              <w:jc w:val="center"/>
              <w:rPr>
                <w:color w:val="000000"/>
                <w:sz w:val="21"/>
                <w:szCs w:val="21"/>
              </w:rPr>
            </w:pPr>
            <w:r>
              <w:rPr>
                <w:color w:val="000000"/>
                <w:sz w:val="21"/>
                <w:szCs w:val="21"/>
              </w:rPr>
              <w:t>20（无量纲）</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3" w:type="dxa"/>
            <w:vMerge w:val="continue"/>
            <w:noWrap w:val="0"/>
            <w:vAlign w:val="center"/>
          </w:tcPr>
          <w:p>
            <w:pPr>
              <w:widowControl/>
              <w:spacing w:line="320" w:lineRule="exact"/>
              <w:ind w:firstLine="0" w:firstLineChars="0"/>
              <w:jc w:val="center"/>
              <w:rPr>
                <w:color w:val="000000"/>
                <w:sz w:val="21"/>
                <w:szCs w:val="21"/>
              </w:rPr>
            </w:pPr>
          </w:p>
        </w:tc>
        <w:tc>
          <w:tcPr>
            <w:tcW w:w="3687" w:type="dxa"/>
            <w:gridSpan w:val="2"/>
            <w:noWrap w:val="0"/>
            <w:vAlign w:val="center"/>
          </w:tcPr>
          <w:p>
            <w:pPr>
              <w:wordWrap w:val="0"/>
              <w:topLinePunct/>
              <w:spacing w:line="320" w:lineRule="exact"/>
              <w:ind w:firstLine="0" w:firstLineChars="0"/>
              <w:jc w:val="center"/>
              <w:rPr>
                <w:color w:val="000000"/>
                <w:sz w:val="21"/>
                <w:szCs w:val="21"/>
              </w:rPr>
            </w:pPr>
            <w:r>
              <w:rPr>
                <w:color w:val="000000"/>
                <w:sz w:val="21"/>
                <w:szCs w:val="21"/>
              </w:rPr>
              <w:t>氨</w:t>
            </w:r>
          </w:p>
        </w:tc>
        <w:tc>
          <w:tcPr>
            <w:tcW w:w="3748" w:type="dxa"/>
            <w:gridSpan w:val="2"/>
            <w:noWrap w:val="0"/>
            <w:vAlign w:val="center"/>
          </w:tcPr>
          <w:p>
            <w:pPr>
              <w:wordWrap w:val="0"/>
              <w:topLinePunct/>
              <w:spacing w:line="320" w:lineRule="exact"/>
              <w:ind w:firstLine="0" w:firstLineChars="0"/>
              <w:jc w:val="center"/>
              <w:rPr>
                <w:color w:val="000000"/>
                <w:sz w:val="21"/>
                <w:szCs w:val="21"/>
              </w:rPr>
            </w:pPr>
            <w:r>
              <w:rPr>
                <w:color w:val="000000"/>
                <w:sz w:val="21"/>
                <w:szCs w:val="21"/>
              </w:rPr>
              <w:t>1.5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3" w:type="dxa"/>
            <w:vMerge w:val="continue"/>
            <w:noWrap w:val="0"/>
            <w:vAlign w:val="center"/>
          </w:tcPr>
          <w:p>
            <w:pPr>
              <w:widowControl/>
              <w:spacing w:line="320" w:lineRule="exact"/>
              <w:ind w:firstLine="0" w:firstLineChars="0"/>
              <w:jc w:val="center"/>
              <w:rPr>
                <w:color w:val="000000"/>
                <w:sz w:val="21"/>
                <w:szCs w:val="21"/>
              </w:rPr>
            </w:pPr>
          </w:p>
        </w:tc>
        <w:tc>
          <w:tcPr>
            <w:tcW w:w="3687" w:type="dxa"/>
            <w:gridSpan w:val="2"/>
            <w:noWrap w:val="0"/>
            <w:vAlign w:val="center"/>
          </w:tcPr>
          <w:p>
            <w:pPr>
              <w:wordWrap w:val="0"/>
              <w:topLinePunct/>
              <w:spacing w:line="320" w:lineRule="exact"/>
              <w:ind w:firstLine="0" w:firstLineChars="0"/>
              <w:jc w:val="center"/>
              <w:rPr>
                <w:color w:val="000000"/>
                <w:sz w:val="21"/>
                <w:szCs w:val="21"/>
              </w:rPr>
            </w:pPr>
            <w:r>
              <w:rPr>
                <w:color w:val="000000"/>
                <w:sz w:val="21"/>
                <w:szCs w:val="21"/>
              </w:rPr>
              <w:t>硫化氢</w:t>
            </w:r>
          </w:p>
        </w:tc>
        <w:tc>
          <w:tcPr>
            <w:tcW w:w="3748" w:type="dxa"/>
            <w:gridSpan w:val="2"/>
            <w:noWrap w:val="0"/>
            <w:vAlign w:val="center"/>
          </w:tcPr>
          <w:p>
            <w:pPr>
              <w:wordWrap w:val="0"/>
              <w:topLinePunct/>
              <w:spacing w:line="320" w:lineRule="exact"/>
              <w:ind w:firstLine="0" w:firstLineChars="0"/>
              <w:jc w:val="center"/>
              <w:rPr>
                <w:color w:val="000000"/>
                <w:sz w:val="21"/>
                <w:szCs w:val="21"/>
              </w:rPr>
            </w:pPr>
            <w:r>
              <w:rPr>
                <w:color w:val="000000"/>
                <w:sz w:val="21"/>
                <w:szCs w:val="21"/>
              </w:rPr>
              <w:t>0.06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3" w:type="dxa"/>
            <w:vMerge w:val="continue"/>
            <w:noWrap w:val="0"/>
            <w:vAlign w:val="center"/>
          </w:tcPr>
          <w:p>
            <w:pPr>
              <w:widowControl/>
              <w:spacing w:line="320" w:lineRule="exact"/>
              <w:ind w:firstLine="0" w:firstLineChars="0"/>
              <w:jc w:val="center"/>
              <w:rPr>
                <w:color w:val="000000"/>
                <w:sz w:val="21"/>
                <w:szCs w:val="21"/>
              </w:rPr>
            </w:pPr>
          </w:p>
        </w:tc>
        <w:tc>
          <w:tcPr>
            <w:tcW w:w="3687" w:type="dxa"/>
            <w:gridSpan w:val="2"/>
            <w:noWrap w:val="0"/>
            <w:vAlign w:val="center"/>
          </w:tcPr>
          <w:p>
            <w:pPr>
              <w:wordWrap w:val="0"/>
              <w:topLinePunct/>
              <w:spacing w:line="320" w:lineRule="exact"/>
              <w:ind w:firstLine="0" w:firstLineChars="0"/>
              <w:jc w:val="center"/>
              <w:rPr>
                <w:color w:val="000000"/>
                <w:sz w:val="21"/>
                <w:szCs w:val="21"/>
              </w:rPr>
            </w:pPr>
            <w:r>
              <w:rPr>
                <w:color w:val="000000"/>
                <w:sz w:val="21"/>
                <w:szCs w:val="21"/>
              </w:rPr>
              <w:t>甲烷</w:t>
            </w:r>
          </w:p>
        </w:tc>
        <w:tc>
          <w:tcPr>
            <w:tcW w:w="3748" w:type="dxa"/>
            <w:gridSpan w:val="2"/>
            <w:noWrap w:val="0"/>
            <w:vAlign w:val="center"/>
          </w:tcPr>
          <w:p>
            <w:pPr>
              <w:wordWrap w:val="0"/>
              <w:topLinePunct/>
              <w:spacing w:line="320" w:lineRule="exact"/>
              <w:ind w:firstLine="0" w:firstLineChars="0"/>
              <w:jc w:val="center"/>
              <w:rPr>
                <w:color w:val="000000"/>
                <w:sz w:val="21"/>
                <w:szCs w:val="21"/>
              </w:rPr>
            </w:pPr>
            <w:r>
              <w:rPr>
                <w:color w:val="000000"/>
                <w:sz w:val="21"/>
                <w:szCs w:val="21"/>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3" w:type="dxa"/>
            <w:vMerge w:val="restart"/>
            <w:noWrap w:val="0"/>
            <w:vAlign w:val="center"/>
          </w:tcPr>
          <w:p>
            <w:pPr>
              <w:widowControl/>
              <w:spacing w:line="320" w:lineRule="exact"/>
              <w:ind w:firstLine="0" w:firstLineChars="0"/>
              <w:jc w:val="center"/>
              <w:rPr>
                <w:color w:val="000000"/>
                <w:sz w:val="21"/>
                <w:szCs w:val="21"/>
              </w:rPr>
            </w:pPr>
            <w:r>
              <w:rPr>
                <w:color w:val="000000"/>
                <w:sz w:val="21"/>
                <w:szCs w:val="21"/>
              </w:rPr>
              <w:t>厂界</w:t>
            </w:r>
          </w:p>
          <w:p>
            <w:pPr>
              <w:widowControl/>
              <w:spacing w:line="320" w:lineRule="exact"/>
              <w:ind w:firstLine="0" w:firstLineChars="0"/>
              <w:jc w:val="center"/>
              <w:rPr>
                <w:color w:val="000000"/>
                <w:sz w:val="21"/>
                <w:szCs w:val="21"/>
              </w:rPr>
            </w:pPr>
            <w:r>
              <w:rPr>
                <w:color w:val="000000"/>
                <w:sz w:val="21"/>
                <w:szCs w:val="21"/>
              </w:rPr>
              <w:t>噪声</w:t>
            </w:r>
          </w:p>
        </w:tc>
        <w:tc>
          <w:tcPr>
            <w:tcW w:w="7435" w:type="dxa"/>
            <w:gridSpan w:val="4"/>
            <w:noWrap w:val="0"/>
            <w:vAlign w:val="center"/>
          </w:tcPr>
          <w:p>
            <w:pPr>
              <w:widowControl/>
              <w:spacing w:line="320" w:lineRule="exact"/>
              <w:ind w:firstLine="0" w:firstLineChars="0"/>
              <w:jc w:val="center"/>
              <w:rPr>
                <w:color w:val="000000"/>
                <w:sz w:val="21"/>
                <w:szCs w:val="21"/>
              </w:rPr>
            </w:pPr>
            <w:r>
              <w:rPr>
                <w:color w:val="000000"/>
                <w:sz w:val="21"/>
                <w:szCs w:val="21"/>
              </w:rPr>
              <w:t>《工业企业厂界环境噪声标准》（GB 12348-2008）</w:t>
            </w:r>
            <w:r>
              <w:rPr>
                <w:rFonts w:hint="eastAsia"/>
                <w:color w:val="000000"/>
                <w:sz w:val="21"/>
                <w:szCs w:val="21"/>
                <w:lang w:val="en-US" w:eastAsia="zh-CN"/>
              </w:rPr>
              <w:t>3</w:t>
            </w:r>
            <w:r>
              <w:rPr>
                <w:color w:val="000000"/>
                <w:sz w:val="21"/>
                <w:szCs w:val="21"/>
              </w:rPr>
              <w:t>类标准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3" w:type="dxa"/>
            <w:vMerge w:val="continue"/>
            <w:noWrap w:val="0"/>
            <w:vAlign w:val="center"/>
          </w:tcPr>
          <w:p>
            <w:pPr>
              <w:widowControl/>
              <w:spacing w:line="320" w:lineRule="exact"/>
              <w:ind w:firstLine="0" w:firstLineChars="0"/>
              <w:jc w:val="center"/>
              <w:rPr>
                <w:color w:val="000000"/>
                <w:sz w:val="21"/>
                <w:szCs w:val="21"/>
              </w:rPr>
            </w:pPr>
          </w:p>
        </w:tc>
        <w:tc>
          <w:tcPr>
            <w:tcW w:w="7435" w:type="dxa"/>
            <w:gridSpan w:val="4"/>
            <w:noWrap w:val="0"/>
            <w:vAlign w:val="center"/>
          </w:tcPr>
          <w:p>
            <w:pPr>
              <w:widowControl/>
              <w:spacing w:line="320" w:lineRule="exact"/>
              <w:ind w:firstLine="0" w:firstLineChars="0"/>
              <w:jc w:val="center"/>
              <w:rPr>
                <w:color w:val="000000"/>
                <w:sz w:val="21"/>
                <w:szCs w:val="21"/>
              </w:rPr>
            </w:pPr>
            <w:r>
              <w:rPr>
                <w:color w:val="000000"/>
                <w:sz w:val="21"/>
                <w:szCs w:val="21"/>
              </w:rPr>
              <w:t>单位dB(A)</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3" w:type="dxa"/>
            <w:vMerge w:val="continue"/>
            <w:noWrap w:val="0"/>
            <w:vAlign w:val="center"/>
          </w:tcPr>
          <w:p>
            <w:pPr>
              <w:widowControl/>
              <w:spacing w:line="320" w:lineRule="exact"/>
              <w:ind w:firstLine="0" w:firstLineChars="0"/>
              <w:jc w:val="center"/>
              <w:rPr>
                <w:color w:val="000000"/>
                <w:sz w:val="21"/>
                <w:szCs w:val="21"/>
              </w:rPr>
            </w:pPr>
          </w:p>
        </w:tc>
        <w:tc>
          <w:tcPr>
            <w:tcW w:w="3687" w:type="dxa"/>
            <w:gridSpan w:val="2"/>
            <w:noWrap w:val="0"/>
            <w:vAlign w:val="center"/>
          </w:tcPr>
          <w:p>
            <w:pPr>
              <w:widowControl/>
              <w:spacing w:line="320" w:lineRule="exact"/>
              <w:ind w:firstLine="0" w:firstLineChars="0"/>
              <w:jc w:val="center"/>
              <w:rPr>
                <w:color w:val="000000"/>
                <w:sz w:val="21"/>
                <w:szCs w:val="21"/>
              </w:rPr>
            </w:pPr>
            <w:r>
              <w:rPr>
                <w:color w:val="000000"/>
                <w:sz w:val="21"/>
                <w:szCs w:val="21"/>
              </w:rPr>
              <w:t>昼间</w:t>
            </w:r>
          </w:p>
        </w:tc>
        <w:tc>
          <w:tcPr>
            <w:tcW w:w="3748" w:type="dxa"/>
            <w:gridSpan w:val="2"/>
            <w:noWrap w:val="0"/>
            <w:vAlign w:val="center"/>
          </w:tcPr>
          <w:p>
            <w:pPr>
              <w:widowControl/>
              <w:spacing w:line="320" w:lineRule="exact"/>
              <w:ind w:firstLine="0" w:firstLineChars="0"/>
              <w:jc w:val="center"/>
              <w:rPr>
                <w:rFonts w:hint="eastAsia" w:eastAsia="宋体"/>
                <w:color w:val="000000"/>
                <w:sz w:val="21"/>
                <w:szCs w:val="21"/>
                <w:lang w:val="en-US" w:eastAsia="zh-CN"/>
              </w:rPr>
            </w:pPr>
            <w:r>
              <w:rPr>
                <w:color w:val="000000"/>
                <w:sz w:val="21"/>
                <w:szCs w:val="21"/>
              </w:rPr>
              <w:t>6</w:t>
            </w:r>
            <w:r>
              <w:rPr>
                <w:rFonts w:hint="eastAsia"/>
                <w:color w:val="000000"/>
                <w:sz w:val="21"/>
                <w:szCs w:val="21"/>
                <w:lang w:val="en-US" w:eastAsia="zh-CN"/>
              </w:rPr>
              <w:t>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3" w:type="dxa"/>
            <w:vMerge w:val="continue"/>
            <w:noWrap w:val="0"/>
            <w:vAlign w:val="center"/>
          </w:tcPr>
          <w:p>
            <w:pPr>
              <w:widowControl/>
              <w:spacing w:line="320" w:lineRule="exact"/>
              <w:ind w:firstLine="0" w:firstLineChars="0"/>
              <w:jc w:val="center"/>
              <w:rPr>
                <w:color w:val="000000"/>
                <w:sz w:val="21"/>
                <w:szCs w:val="21"/>
              </w:rPr>
            </w:pPr>
          </w:p>
        </w:tc>
        <w:tc>
          <w:tcPr>
            <w:tcW w:w="3687" w:type="dxa"/>
            <w:gridSpan w:val="2"/>
            <w:noWrap w:val="0"/>
            <w:vAlign w:val="center"/>
          </w:tcPr>
          <w:p>
            <w:pPr>
              <w:widowControl/>
              <w:spacing w:line="320" w:lineRule="exact"/>
              <w:ind w:firstLine="0" w:firstLineChars="0"/>
              <w:jc w:val="center"/>
              <w:rPr>
                <w:color w:val="000000"/>
                <w:sz w:val="21"/>
                <w:szCs w:val="21"/>
              </w:rPr>
            </w:pPr>
            <w:r>
              <w:rPr>
                <w:color w:val="000000"/>
                <w:sz w:val="21"/>
                <w:szCs w:val="21"/>
              </w:rPr>
              <w:t>夜间</w:t>
            </w:r>
          </w:p>
        </w:tc>
        <w:tc>
          <w:tcPr>
            <w:tcW w:w="3748" w:type="dxa"/>
            <w:gridSpan w:val="2"/>
            <w:noWrap w:val="0"/>
            <w:vAlign w:val="center"/>
          </w:tcPr>
          <w:p>
            <w:pPr>
              <w:widowControl/>
              <w:spacing w:line="320" w:lineRule="exact"/>
              <w:ind w:firstLine="0" w:firstLineChars="0"/>
              <w:jc w:val="center"/>
              <w:rPr>
                <w:rFonts w:hint="eastAsia" w:eastAsia="宋体"/>
                <w:color w:val="000000"/>
                <w:sz w:val="21"/>
                <w:szCs w:val="21"/>
                <w:lang w:val="en-US" w:eastAsia="zh-CN"/>
              </w:rPr>
            </w:pPr>
            <w:r>
              <w:rPr>
                <w:color w:val="000000"/>
                <w:sz w:val="21"/>
                <w:szCs w:val="21"/>
              </w:rPr>
              <w:t>5</w:t>
            </w:r>
            <w:r>
              <w:rPr>
                <w:rFonts w:hint="eastAsia"/>
                <w:color w:val="000000"/>
                <w:sz w:val="21"/>
                <w:szCs w:val="21"/>
                <w:lang w:val="en-US" w:eastAsia="zh-CN"/>
              </w:rPr>
              <w:t>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3" w:type="dxa"/>
            <w:vMerge w:val="restart"/>
            <w:noWrap w:val="0"/>
            <w:vAlign w:val="center"/>
          </w:tcPr>
          <w:p>
            <w:pPr>
              <w:widowControl/>
              <w:spacing w:line="320" w:lineRule="exact"/>
              <w:ind w:firstLine="0" w:firstLineChars="0"/>
              <w:jc w:val="center"/>
              <w:rPr>
                <w:color w:val="000000"/>
                <w:sz w:val="21"/>
                <w:szCs w:val="21"/>
              </w:rPr>
            </w:pPr>
            <w:r>
              <w:rPr>
                <w:color w:val="000000"/>
                <w:sz w:val="21"/>
                <w:szCs w:val="21"/>
              </w:rPr>
              <w:t>固体废物</w:t>
            </w:r>
          </w:p>
          <w:p>
            <w:pPr>
              <w:widowControl/>
              <w:spacing w:line="320" w:lineRule="exact"/>
              <w:ind w:firstLine="0" w:firstLineChars="0"/>
              <w:jc w:val="center"/>
            </w:pPr>
            <w:r>
              <w:rPr>
                <w:color w:val="000000"/>
                <w:sz w:val="21"/>
                <w:szCs w:val="21"/>
              </w:rPr>
              <w:t>污泥（脱水）</w:t>
            </w:r>
          </w:p>
        </w:tc>
        <w:tc>
          <w:tcPr>
            <w:tcW w:w="7435" w:type="dxa"/>
            <w:gridSpan w:val="4"/>
            <w:noWrap w:val="0"/>
            <w:vAlign w:val="center"/>
          </w:tcPr>
          <w:p>
            <w:pPr>
              <w:widowControl/>
              <w:spacing w:line="320" w:lineRule="exact"/>
              <w:ind w:firstLine="0" w:firstLineChars="0"/>
              <w:jc w:val="center"/>
              <w:rPr>
                <w:color w:val="000000"/>
                <w:sz w:val="21"/>
                <w:szCs w:val="21"/>
              </w:rPr>
            </w:pPr>
            <w:r>
              <w:rPr>
                <w:color w:val="000000"/>
                <w:sz w:val="21"/>
                <w:szCs w:val="21"/>
              </w:rPr>
              <w:t>《城镇污水处理厂污染物排放标准》（GB18918-2002）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3" w:type="dxa"/>
            <w:vMerge w:val="continue"/>
            <w:noWrap w:val="0"/>
            <w:vAlign w:val="center"/>
          </w:tcPr>
          <w:p>
            <w:pPr>
              <w:widowControl/>
              <w:spacing w:line="320" w:lineRule="exact"/>
              <w:ind w:firstLine="0" w:firstLineChars="0"/>
              <w:jc w:val="center"/>
              <w:rPr>
                <w:color w:val="000000"/>
                <w:sz w:val="21"/>
                <w:szCs w:val="21"/>
              </w:rPr>
            </w:pPr>
          </w:p>
        </w:tc>
        <w:tc>
          <w:tcPr>
            <w:tcW w:w="3687" w:type="dxa"/>
            <w:gridSpan w:val="2"/>
            <w:noWrap w:val="0"/>
            <w:vAlign w:val="center"/>
          </w:tcPr>
          <w:p>
            <w:pPr>
              <w:widowControl/>
              <w:spacing w:line="320" w:lineRule="exact"/>
              <w:ind w:firstLine="0" w:firstLineChars="0"/>
              <w:jc w:val="center"/>
              <w:rPr>
                <w:color w:val="000000"/>
                <w:sz w:val="21"/>
                <w:szCs w:val="21"/>
              </w:rPr>
            </w:pPr>
            <w:r>
              <w:rPr>
                <w:color w:val="000000"/>
                <w:sz w:val="21"/>
                <w:szCs w:val="21"/>
              </w:rPr>
              <w:t>项目</w:t>
            </w:r>
          </w:p>
        </w:tc>
        <w:tc>
          <w:tcPr>
            <w:tcW w:w="3748" w:type="dxa"/>
            <w:gridSpan w:val="2"/>
            <w:noWrap w:val="0"/>
            <w:vAlign w:val="center"/>
          </w:tcPr>
          <w:p>
            <w:pPr>
              <w:widowControl/>
              <w:spacing w:line="320" w:lineRule="exact"/>
              <w:ind w:firstLine="0" w:firstLineChars="0"/>
              <w:jc w:val="center"/>
              <w:rPr>
                <w:color w:val="000000"/>
                <w:sz w:val="21"/>
                <w:szCs w:val="21"/>
              </w:rPr>
            </w:pPr>
            <w:r>
              <w:rPr>
                <w:color w:val="000000"/>
                <w:sz w:val="21"/>
                <w:szCs w:val="21"/>
              </w:rPr>
              <w:t>指标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3" w:type="dxa"/>
            <w:vMerge w:val="continue"/>
            <w:noWrap w:val="0"/>
            <w:vAlign w:val="center"/>
          </w:tcPr>
          <w:p>
            <w:pPr>
              <w:widowControl/>
              <w:spacing w:line="320" w:lineRule="exact"/>
              <w:ind w:firstLine="0" w:firstLineChars="0"/>
              <w:jc w:val="center"/>
              <w:rPr>
                <w:color w:val="000000"/>
                <w:sz w:val="21"/>
                <w:szCs w:val="21"/>
              </w:rPr>
            </w:pPr>
          </w:p>
        </w:tc>
        <w:tc>
          <w:tcPr>
            <w:tcW w:w="3687" w:type="dxa"/>
            <w:gridSpan w:val="2"/>
            <w:noWrap w:val="0"/>
            <w:vAlign w:val="center"/>
          </w:tcPr>
          <w:p>
            <w:pPr>
              <w:widowControl/>
              <w:spacing w:line="320" w:lineRule="exact"/>
              <w:ind w:firstLine="0" w:firstLineChars="0"/>
              <w:jc w:val="center"/>
              <w:rPr>
                <w:color w:val="000000"/>
                <w:sz w:val="21"/>
                <w:szCs w:val="21"/>
              </w:rPr>
            </w:pPr>
            <w:r>
              <w:rPr>
                <w:color w:val="000000"/>
                <w:sz w:val="21"/>
                <w:szCs w:val="21"/>
              </w:rPr>
              <w:t>含水率</w:t>
            </w:r>
          </w:p>
        </w:tc>
        <w:tc>
          <w:tcPr>
            <w:tcW w:w="3748" w:type="dxa"/>
            <w:gridSpan w:val="2"/>
            <w:noWrap w:val="0"/>
            <w:vAlign w:val="center"/>
          </w:tcPr>
          <w:p>
            <w:pPr>
              <w:widowControl/>
              <w:spacing w:line="320" w:lineRule="exact"/>
              <w:ind w:firstLine="0" w:firstLineChars="0"/>
              <w:jc w:val="center"/>
              <w:rPr>
                <w:color w:val="000000"/>
                <w:sz w:val="21"/>
                <w:szCs w:val="21"/>
              </w:rPr>
            </w:pPr>
            <w:r>
              <w:rPr>
                <w:color w:val="000000"/>
                <w:sz w:val="21"/>
                <w:szCs w:val="21"/>
              </w:rPr>
              <w:t>小于80%</w:t>
            </w:r>
          </w:p>
        </w:tc>
      </w:tr>
    </w:tbl>
    <w:p>
      <w:pPr>
        <w:pStyle w:val="5"/>
        <w:keepLines w:val="0"/>
        <w:numPr>
          <w:ilvl w:val="1"/>
          <w:numId w:val="0"/>
        </w:numPr>
        <w:tabs>
          <w:tab w:val="left" w:pos="1134"/>
        </w:tabs>
        <w:adjustRightInd/>
        <w:textAlignment w:val="auto"/>
        <w:rPr>
          <w:bCs/>
          <w:szCs w:val="30"/>
        </w:rPr>
      </w:pPr>
      <w:bookmarkStart w:id="85" w:name="_Toc16957"/>
      <w:bookmarkStart w:id="86" w:name="_Toc19698"/>
      <w:bookmarkStart w:id="87" w:name="_Toc14272"/>
      <w:r>
        <w:rPr>
          <w:bCs/>
          <w:szCs w:val="30"/>
        </w:rPr>
        <w:t>6.2</w:t>
      </w:r>
      <w:bookmarkEnd w:id="85"/>
      <w:bookmarkEnd w:id="86"/>
      <w:r>
        <w:rPr>
          <w:bCs/>
          <w:szCs w:val="30"/>
        </w:rPr>
        <w:t>污染物总量控制指标</w:t>
      </w:r>
      <w:bookmarkEnd w:id="87"/>
    </w:p>
    <w:p>
      <w:pPr>
        <w:wordWrap w:val="0"/>
        <w:topLinePunct/>
        <w:ind w:firstLine="480"/>
        <w:rPr>
          <w:b/>
          <w:bCs/>
          <w:sz w:val="21"/>
          <w:szCs w:val="21"/>
        </w:rPr>
      </w:pPr>
      <w:r>
        <w:rPr>
          <w:color w:val="000000"/>
          <w:sz w:val="24"/>
          <w:szCs w:val="24"/>
        </w:rPr>
        <w:t>本项目相关总量控制指标控制见表6-2。</w:t>
      </w:r>
    </w:p>
    <w:p>
      <w:pPr>
        <w:wordWrap w:val="0"/>
        <w:topLinePunct/>
        <w:spacing w:line="240" w:lineRule="auto"/>
        <w:ind w:firstLine="0" w:firstLineChars="0"/>
        <w:jc w:val="center"/>
        <w:rPr>
          <w:b/>
          <w:bCs/>
          <w:sz w:val="21"/>
          <w:szCs w:val="21"/>
        </w:rPr>
      </w:pPr>
      <w:r>
        <w:rPr>
          <w:b/>
          <w:bCs/>
          <w:sz w:val="21"/>
          <w:szCs w:val="21"/>
        </w:rPr>
        <w:t>表6-2  本项目相关总量控制指标文件</w:t>
      </w:r>
    </w:p>
    <w:tbl>
      <w:tblPr>
        <w:tblStyle w:val="19"/>
        <w:tblW w:w="4997"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2262"/>
        <w:gridCol w:w="1216"/>
        <w:gridCol w:w="3211"/>
        <w:gridCol w:w="160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2" w:type="pct"/>
            <w:noWrap w:val="0"/>
            <w:vAlign w:val="center"/>
          </w:tcPr>
          <w:p>
            <w:pPr>
              <w:spacing w:line="320" w:lineRule="exact"/>
              <w:ind w:firstLine="0" w:firstLineChars="0"/>
              <w:jc w:val="center"/>
              <w:rPr>
                <w:b/>
                <w:color w:val="000000"/>
                <w:sz w:val="21"/>
                <w:szCs w:val="21"/>
              </w:rPr>
            </w:pPr>
            <w:r>
              <w:rPr>
                <w:b/>
                <w:color w:val="000000"/>
                <w:sz w:val="21"/>
                <w:szCs w:val="21"/>
              </w:rPr>
              <w:t>类别</w:t>
            </w:r>
          </w:p>
        </w:tc>
        <w:tc>
          <w:tcPr>
            <w:tcW w:w="1218" w:type="pct"/>
            <w:noWrap w:val="0"/>
            <w:vAlign w:val="center"/>
          </w:tcPr>
          <w:p>
            <w:pPr>
              <w:spacing w:line="320" w:lineRule="exact"/>
              <w:ind w:firstLine="0" w:firstLineChars="0"/>
              <w:jc w:val="center"/>
              <w:rPr>
                <w:b/>
                <w:color w:val="000000"/>
                <w:sz w:val="21"/>
                <w:szCs w:val="21"/>
              </w:rPr>
            </w:pPr>
            <w:r>
              <w:rPr>
                <w:b/>
                <w:color w:val="000000"/>
                <w:sz w:val="21"/>
                <w:szCs w:val="21"/>
              </w:rPr>
              <w:t>污染物名称</w:t>
            </w:r>
          </w:p>
        </w:tc>
        <w:tc>
          <w:tcPr>
            <w:tcW w:w="655" w:type="pct"/>
            <w:noWrap w:val="0"/>
            <w:vAlign w:val="center"/>
          </w:tcPr>
          <w:p>
            <w:pPr>
              <w:spacing w:line="320" w:lineRule="exact"/>
              <w:ind w:firstLine="0" w:firstLineChars="0"/>
              <w:jc w:val="center"/>
              <w:rPr>
                <w:b/>
                <w:color w:val="000000"/>
                <w:sz w:val="21"/>
                <w:szCs w:val="21"/>
              </w:rPr>
            </w:pPr>
            <w:r>
              <w:rPr>
                <w:b/>
                <w:color w:val="000000"/>
                <w:sz w:val="21"/>
                <w:szCs w:val="21"/>
              </w:rPr>
              <w:t>单位</w:t>
            </w:r>
          </w:p>
        </w:tc>
        <w:tc>
          <w:tcPr>
            <w:tcW w:w="1729" w:type="pct"/>
            <w:noWrap w:val="0"/>
            <w:vAlign w:val="center"/>
          </w:tcPr>
          <w:p>
            <w:pPr>
              <w:spacing w:line="320" w:lineRule="exact"/>
              <w:ind w:firstLine="0" w:firstLineChars="0"/>
              <w:jc w:val="center"/>
              <w:rPr>
                <w:rFonts w:hint="eastAsia" w:eastAsia="宋体"/>
                <w:b/>
                <w:color w:val="000000"/>
                <w:sz w:val="21"/>
                <w:szCs w:val="21"/>
                <w:lang w:eastAsia="zh-CN"/>
              </w:rPr>
            </w:pPr>
            <w:r>
              <w:rPr>
                <w:rFonts w:hint="eastAsia"/>
                <w:b/>
                <w:color w:val="000000"/>
                <w:sz w:val="21"/>
                <w:szCs w:val="21"/>
                <w:lang w:eastAsia="zh-CN"/>
              </w:rPr>
              <w:t>一期工程批复总量</w:t>
            </w:r>
          </w:p>
        </w:tc>
        <w:tc>
          <w:tcPr>
            <w:tcW w:w="864" w:type="pct"/>
            <w:noWrap w:val="0"/>
            <w:vAlign w:val="center"/>
          </w:tcPr>
          <w:p>
            <w:pPr>
              <w:spacing w:line="320" w:lineRule="exact"/>
              <w:ind w:firstLine="0" w:firstLineChars="0"/>
              <w:jc w:val="center"/>
              <w:rPr>
                <w:rFonts w:hint="default"/>
                <w:b/>
                <w:color w:val="000000"/>
                <w:sz w:val="21"/>
                <w:szCs w:val="21"/>
                <w:lang w:val="en-US" w:eastAsia="zh-CN"/>
              </w:rPr>
            </w:pPr>
            <w:r>
              <w:rPr>
                <w:rFonts w:hint="eastAsia"/>
                <w:b/>
                <w:color w:val="000000"/>
                <w:sz w:val="21"/>
                <w:szCs w:val="21"/>
                <w:lang w:val="en-US" w:eastAsia="zh-CN"/>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2" w:type="pct"/>
            <w:vMerge w:val="restart"/>
            <w:noWrap w:val="0"/>
            <w:vAlign w:val="center"/>
          </w:tcPr>
          <w:p>
            <w:pPr>
              <w:spacing w:line="320" w:lineRule="exact"/>
              <w:ind w:firstLine="0" w:firstLineChars="0"/>
              <w:jc w:val="center"/>
              <w:rPr>
                <w:bCs/>
                <w:color w:val="000000"/>
                <w:sz w:val="21"/>
                <w:szCs w:val="21"/>
              </w:rPr>
            </w:pPr>
            <w:r>
              <w:rPr>
                <w:bCs/>
                <w:color w:val="000000"/>
                <w:sz w:val="21"/>
                <w:szCs w:val="21"/>
              </w:rPr>
              <w:t>废水</w:t>
            </w:r>
          </w:p>
        </w:tc>
        <w:tc>
          <w:tcPr>
            <w:tcW w:w="1218" w:type="pct"/>
            <w:noWrap w:val="0"/>
            <w:vAlign w:val="center"/>
          </w:tcPr>
          <w:p>
            <w:pPr>
              <w:spacing w:line="320" w:lineRule="exact"/>
              <w:ind w:firstLine="0" w:firstLineChars="0"/>
              <w:jc w:val="center"/>
              <w:rPr>
                <w:bCs/>
                <w:color w:val="000000"/>
                <w:sz w:val="21"/>
                <w:szCs w:val="21"/>
              </w:rPr>
            </w:pPr>
            <w:r>
              <w:rPr>
                <w:bCs/>
                <w:color w:val="000000"/>
                <w:sz w:val="21"/>
                <w:szCs w:val="21"/>
              </w:rPr>
              <w:t>CODcr</w:t>
            </w:r>
          </w:p>
        </w:tc>
        <w:tc>
          <w:tcPr>
            <w:tcW w:w="655" w:type="pct"/>
            <w:noWrap w:val="0"/>
            <w:vAlign w:val="center"/>
          </w:tcPr>
          <w:p>
            <w:pPr>
              <w:spacing w:line="320" w:lineRule="exact"/>
              <w:ind w:firstLine="0" w:firstLineChars="0"/>
              <w:jc w:val="center"/>
              <w:rPr>
                <w:bCs/>
                <w:color w:val="000000"/>
                <w:sz w:val="21"/>
                <w:szCs w:val="21"/>
              </w:rPr>
            </w:pPr>
            <w:r>
              <w:rPr>
                <w:bCs/>
                <w:color w:val="000000"/>
                <w:sz w:val="21"/>
                <w:szCs w:val="21"/>
              </w:rPr>
              <w:t>t/a</w:t>
            </w:r>
          </w:p>
        </w:tc>
        <w:tc>
          <w:tcPr>
            <w:tcW w:w="1729" w:type="pct"/>
            <w:noWrap w:val="0"/>
            <w:vAlign w:val="center"/>
          </w:tcPr>
          <w:p>
            <w:pPr>
              <w:adjustRightInd w:val="0"/>
              <w:snapToGrid w:val="0"/>
              <w:spacing w:line="300" w:lineRule="exact"/>
              <w:ind w:firstLine="0" w:firstLineChars="0"/>
              <w:jc w:val="center"/>
              <w:textAlignment w:val="baseline"/>
              <w:rPr>
                <w:rFonts w:hint="default" w:ascii="Times New Roman" w:hAnsi="Times New Roman"/>
                <w:kern w:val="0"/>
                <w:sz w:val="21"/>
                <w:szCs w:val="21"/>
                <w:lang w:val="en-US" w:eastAsia="zh-CN" w:bidi="ar-SA"/>
              </w:rPr>
            </w:pPr>
            <w:r>
              <w:rPr>
                <w:rFonts w:hint="eastAsia"/>
                <w:kern w:val="0"/>
                <w:sz w:val="21"/>
                <w:szCs w:val="21"/>
                <w:lang w:val="en-US" w:eastAsia="zh-CN" w:bidi="ar-SA"/>
              </w:rPr>
              <w:t>14.6</w:t>
            </w:r>
          </w:p>
        </w:tc>
        <w:tc>
          <w:tcPr>
            <w:tcW w:w="864" w:type="pct"/>
            <w:vMerge w:val="restart"/>
            <w:noWrap w:val="0"/>
            <w:vAlign w:val="center"/>
          </w:tcPr>
          <w:p>
            <w:pPr>
              <w:spacing w:line="320" w:lineRule="exact"/>
              <w:ind w:firstLine="0" w:firstLineChars="0"/>
              <w:jc w:val="center"/>
              <w:rPr>
                <w:rFonts w:hint="default" w:eastAsia="宋体"/>
                <w:bCs/>
                <w:color w:val="000000"/>
                <w:sz w:val="21"/>
                <w:szCs w:val="21"/>
                <w:lang w:val="en-US" w:eastAsia="zh-CN"/>
              </w:rPr>
            </w:pPr>
            <w:r>
              <w:rPr>
                <w:rFonts w:hint="eastAsia" w:eastAsia="宋体"/>
                <w:bCs/>
                <w:color w:val="000000"/>
                <w:sz w:val="21"/>
                <w:szCs w:val="21"/>
                <w:lang w:val="en-US"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2" w:type="pct"/>
            <w:vMerge w:val="continue"/>
            <w:noWrap w:val="0"/>
            <w:vAlign w:val="center"/>
          </w:tcPr>
          <w:p>
            <w:pPr>
              <w:spacing w:line="320" w:lineRule="exact"/>
              <w:ind w:firstLine="0" w:firstLineChars="0"/>
              <w:jc w:val="center"/>
              <w:rPr>
                <w:bCs/>
                <w:color w:val="000000"/>
                <w:sz w:val="21"/>
                <w:szCs w:val="21"/>
              </w:rPr>
            </w:pPr>
          </w:p>
        </w:tc>
        <w:tc>
          <w:tcPr>
            <w:tcW w:w="1218" w:type="pct"/>
            <w:noWrap w:val="0"/>
            <w:vAlign w:val="center"/>
          </w:tcPr>
          <w:p>
            <w:pPr>
              <w:spacing w:line="320" w:lineRule="exact"/>
              <w:ind w:firstLine="0" w:firstLineChars="0"/>
              <w:jc w:val="center"/>
              <w:rPr>
                <w:bCs/>
                <w:color w:val="000000"/>
                <w:sz w:val="21"/>
                <w:szCs w:val="21"/>
              </w:rPr>
            </w:pPr>
            <w:r>
              <w:rPr>
                <w:bCs/>
                <w:color w:val="000000"/>
                <w:sz w:val="21"/>
                <w:szCs w:val="21"/>
              </w:rPr>
              <w:t>NH</w:t>
            </w:r>
            <w:r>
              <w:rPr>
                <w:bCs/>
                <w:color w:val="000000"/>
                <w:sz w:val="21"/>
                <w:szCs w:val="21"/>
                <w:vertAlign w:val="subscript"/>
              </w:rPr>
              <w:t>3</w:t>
            </w:r>
            <w:r>
              <w:rPr>
                <w:bCs/>
                <w:color w:val="000000"/>
                <w:sz w:val="21"/>
                <w:szCs w:val="21"/>
              </w:rPr>
              <w:t>-N</w:t>
            </w:r>
          </w:p>
        </w:tc>
        <w:tc>
          <w:tcPr>
            <w:tcW w:w="655" w:type="pct"/>
            <w:noWrap w:val="0"/>
            <w:vAlign w:val="center"/>
          </w:tcPr>
          <w:p>
            <w:pPr>
              <w:spacing w:line="320" w:lineRule="exact"/>
              <w:ind w:firstLine="0" w:firstLineChars="0"/>
              <w:jc w:val="center"/>
              <w:rPr>
                <w:bCs/>
                <w:color w:val="000000"/>
                <w:sz w:val="21"/>
                <w:szCs w:val="21"/>
              </w:rPr>
            </w:pPr>
            <w:r>
              <w:rPr>
                <w:bCs/>
                <w:color w:val="000000"/>
                <w:sz w:val="21"/>
                <w:szCs w:val="21"/>
              </w:rPr>
              <w:t>t/a</w:t>
            </w:r>
          </w:p>
        </w:tc>
        <w:tc>
          <w:tcPr>
            <w:tcW w:w="1729" w:type="pct"/>
            <w:noWrap w:val="0"/>
            <w:vAlign w:val="center"/>
          </w:tcPr>
          <w:p>
            <w:pPr>
              <w:adjustRightInd w:val="0"/>
              <w:snapToGrid w:val="0"/>
              <w:spacing w:line="300" w:lineRule="exact"/>
              <w:ind w:firstLine="0" w:firstLineChars="0"/>
              <w:jc w:val="center"/>
              <w:textAlignment w:val="baseline"/>
              <w:rPr>
                <w:rFonts w:hint="default" w:ascii="Times New Roman" w:hAnsi="Times New Roman"/>
                <w:kern w:val="0"/>
                <w:sz w:val="21"/>
                <w:szCs w:val="21"/>
                <w:lang w:val="en-US" w:eastAsia="zh-CN" w:bidi="ar-SA"/>
              </w:rPr>
            </w:pPr>
            <w:r>
              <w:rPr>
                <w:rFonts w:hint="eastAsia"/>
                <w:kern w:val="0"/>
                <w:sz w:val="21"/>
                <w:szCs w:val="21"/>
                <w:lang w:val="en-US" w:eastAsia="zh-CN" w:bidi="ar-SA"/>
              </w:rPr>
              <w:t>1.095</w:t>
            </w:r>
          </w:p>
        </w:tc>
        <w:tc>
          <w:tcPr>
            <w:tcW w:w="864" w:type="pct"/>
            <w:vMerge w:val="continue"/>
            <w:noWrap w:val="0"/>
            <w:vAlign w:val="center"/>
          </w:tcPr>
          <w:p>
            <w:pPr>
              <w:spacing w:line="320" w:lineRule="exact"/>
              <w:ind w:firstLine="0" w:firstLineChars="0"/>
              <w:jc w:val="center"/>
              <w:rPr>
                <w:rFonts w:hint="default" w:eastAsia="宋体"/>
                <w:bCs/>
                <w:color w:val="000000"/>
                <w:sz w:val="21"/>
                <w:szCs w:val="21"/>
                <w:lang w:val="en-US" w:eastAsia="zh-CN"/>
              </w:rPr>
            </w:pPr>
          </w:p>
        </w:tc>
      </w:tr>
    </w:tbl>
    <w:p>
      <w:pPr>
        <w:ind w:firstLine="0" w:firstLineChars="0"/>
      </w:pPr>
    </w:p>
    <w:p>
      <w:pPr>
        <w:ind w:firstLine="0" w:firstLineChars="0"/>
        <w:rPr>
          <w:color w:val="000000"/>
          <w:sz w:val="24"/>
          <w:szCs w:val="24"/>
        </w:rPr>
        <w:sectPr>
          <w:pgSz w:w="11906" w:h="16838"/>
          <w:pgMar w:top="1134" w:right="1417" w:bottom="1134" w:left="1417" w:header="850" w:footer="850" w:gutter="0"/>
          <w:pgBorders>
            <w:top w:val="none" w:sz="0" w:space="0"/>
            <w:left w:val="none" w:sz="0" w:space="0"/>
            <w:bottom w:val="none" w:sz="0" w:space="0"/>
            <w:right w:val="none" w:sz="0" w:space="0"/>
          </w:pgBorders>
          <w:pgNumType w:fmt="decimal"/>
          <w:cols w:space="720" w:num="1"/>
          <w:docGrid w:type="lines" w:linePitch="416" w:charSpace="0"/>
        </w:sectPr>
      </w:pPr>
    </w:p>
    <w:p>
      <w:pPr>
        <w:ind w:firstLine="0" w:firstLineChars="0"/>
        <w:outlineLvl w:val="0"/>
        <w:rPr>
          <w:b/>
          <w:sz w:val="32"/>
          <w:szCs w:val="32"/>
        </w:rPr>
      </w:pPr>
      <w:bookmarkStart w:id="88" w:name="_Toc3714"/>
      <w:r>
        <w:rPr>
          <w:b/>
          <w:sz w:val="32"/>
          <w:szCs w:val="32"/>
        </w:rPr>
        <w:t>7验收监测内容</w:t>
      </w:r>
      <w:bookmarkEnd w:id="88"/>
    </w:p>
    <w:p>
      <w:pPr>
        <w:pStyle w:val="5"/>
        <w:keepLines w:val="0"/>
        <w:numPr>
          <w:ilvl w:val="1"/>
          <w:numId w:val="0"/>
        </w:numPr>
        <w:tabs>
          <w:tab w:val="left" w:pos="1134"/>
        </w:tabs>
        <w:adjustRightInd/>
        <w:textAlignment w:val="auto"/>
        <w:rPr>
          <w:bCs/>
          <w:szCs w:val="30"/>
        </w:rPr>
      </w:pPr>
      <w:bookmarkStart w:id="89" w:name="_Toc3597"/>
      <w:r>
        <w:rPr>
          <w:bCs/>
          <w:szCs w:val="30"/>
        </w:rPr>
        <w:t>7.1废水监测内容</w:t>
      </w:r>
      <w:bookmarkEnd w:id="89"/>
    </w:p>
    <w:p>
      <w:pPr>
        <w:ind w:firstLine="480"/>
        <w:rPr>
          <w:color w:val="000000"/>
          <w:sz w:val="24"/>
        </w:rPr>
      </w:pPr>
      <w:r>
        <w:rPr>
          <w:color w:val="000000"/>
          <w:sz w:val="24"/>
        </w:rPr>
        <w:t>项目废水排放监测内容见表7-1。</w:t>
      </w:r>
    </w:p>
    <w:p>
      <w:pPr>
        <w:widowControl/>
        <w:tabs>
          <w:tab w:val="left" w:pos="1230"/>
        </w:tabs>
        <w:wordWrap w:val="0"/>
        <w:topLinePunct/>
        <w:spacing w:line="240" w:lineRule="auto"/>
        <w:ind w:firstLine="0" w:firstLineChars="0"/>
        <w:jc w:val="center"/>
        <w:rPr>
          <w:b/>
          <w:sz w:val="21"/>
          <w:szCs w:val="21"/>
        </w:rPr>
      </w:pPr>
      <w:r>
        <w:rPr>
          <w:b/>
          <w:sz w:val="21"/>
          <w:szCs w:val="21"/>
        </w:rPr>
        <w:t>表7-1  废水排放监测内容</w:t>
      </w:r>
    </w:p>
    <w:tbl>
      <w:tblPr>
        <w:tblStyle w:val="19"/>
        <w:tblW w:w="0" w:type="auto"/>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775"/>
        <w:gridCol w:w="4571"/>
        <w:gridCol w:w="185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7" w:type="dxa"/>
            <w:noWrap w:val="0"/>
            <w:vAlign w:val="center"/>
          </w:tcPr>
          <w:p>
            <w:pPr>
              <w:pStyle w:val="29"/>
              <w:rPr>
                <w:b/>
                <w:bCs/>
              </w:rPr>
            </w:pPr>
            <w:r>
              <w:rPr>
                <w:b/>
                <w:bCs/>
              </w:rPr>
              <w:t>点位编号</w:t>
            </w:r>
          </w:p>
        </w:tc>
        <w:tc>
          <w:tcPr>
            <w:tcW w:w="1775" w:type="dxa"/>
            <w:noWrap w:val="0"/>
            <w:vAlign w:val="center"/>
          </w:tcPr>
          <w:p>
            <w:pPr>
              <w:pStyle w:val="29"/>
              <w:rPr>
                <w:b/>
                <w:bCs/>
              </w:rPr>
            </w:pPr>
            <w:r>
              <w:rPr>
                <w:b/>
                <w:bCs/>
              </w:rPr>
              <w:t>监测点位名称</w:t>
            </w:r>
          </w:p>
        </w:tc>
        <w:tc>
          <w:tcPr>
            <w:tcW w:w="4571" w:type="dxa"/>
            <w:noWrap w:val="0"/>
            <w:vAlign w:val="center"/>
          </w:tcPr>
          <w:p>
            <w:pPr>
              <w:pStyle w:val="29"/>
              <w:rPr>
                <w:b/>
                <w:bCs/>
              </w:rPr>
            </w:pPr>
            <w:r>
              <w:rPr>
                <w:b/>
                <w:bCs/>
              </w:rPr>
              <w:t>监测项目</w:t>
            </w:r>
          </w:p>
        </w:tc>
        <w:tc>
          <w:tcPr>
            <w:tcW w:w="1855" w:type="dxa"/>
            <w:noWrap w:val="0"/>
            <w:vAlign w:val="center"/>
          </w:tcPr>
          <w:p>
            <w:pPr>
              <w:pStyle w:val="29"/>
              <w:rPr>
                <w:b/>
                <w:bCs/>
              </w:rPr>
            </w:pPr>
            <w:r>
              <w:rPr>
                <w:b/>
                <w:bCs/>
              </w:rPr>
              <w:t>监测时间、频次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7" w:type="dxa"/>
            <w:noWrap w:val="0"/>
            <w:vAlign w:val="center"/>
          </w:tcPr>
          <w:p>
            <w:pPr>
              <w:pStyle w:val="29"/>
            </w:pPr>
            <w:r>
              <w:t>W1</w:t>
            </w:r>
          </w:p>
        </w:tc>
        <w:tc>
          <w:tcPr>
            <w:tcW w:w="1775" w:type="dxa"/>
            <w:noWrap w:val="0"/>
            <w:vAlign w:val="center"/>
          </w:tcPr>
          <w:p>
            <w:pPr>
              <w:pStyle w:val="29"/>
            </w:pPr>
            <w:r>
              <w:t>污水处理</w:t>
            </w:r>
            <w:r>
              <w:rPr>
                <w:rFonts w:hint="eastAsia"/>
              </w:rPr>
              <w:t>厂</w:t>
            </w:r>
            <w:r>
              <w:t>进口</w:t>
            </w:r>
          </w:p>
        </w:tc>
        <w:tc>
          <w:tcPr>
            <w:tcW w:w="4571" w:type="dxa"/>
            <w:noWrap w:val="0"/>
            <w:vAlign w:val="center"/>
          </w:tcPr>
          <w:p>
            <w:pPr>
              <w:pStyle w:val="29"/>
              <w:jc w:val="both"/>
              <w:rPr>
                <w:rFonts w:hint="eastAsia" w:eastAsia="宋体"/>
                <w:highlight w:val="none"/>
                <w:lang w:eastAsia="zh-CN"/>
              </w:rPr>
            </w:pPr>
            <w:r>
              <w:rPr>
                <w:rFonts w:hint="eastAsia" w:eastAsia="宋体"/>
                <w:highlight w:val="none"/>
                <w:lang w:eastAsia="zh-CN"/>
              </w:rPr>
              <w:t>pH、化学需氧量、五日生化需氧量、氨氮、总磷、总氮、悬浮物、阴离子表面活性剂、石油类、动植物油、色度、六价铬、氟化物、总铬、总汞、总镉、总砷、总铅、烷基汞</w:t>
            </w:r>
          </w:p>
        </w:tc>
        <w:tc>
          <w:tcPr>
            <w:tcW w:w="1855" w:type="dxa"/>
            <w:noWrap w:val="0"/>
            <w:vAlign w:val="center"/>
          </w:tcPr>
          <w:p>
            <w:pPr>
              <w:pStyle w:val="29"/>
            </w:pPr>
            <w:r>
              <w:t>连续监测2天，每天监测4次。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7" w:type="dxa"/>
            <w:noWrap w:val="0"/>
            <w:vAlign w:val="center"/>
          </w:tcPr>
          <w:p>
            <w:pPr>
              <w:pStyle w:val="29"/>
            </w:pPr>
            <w:r>
              <w:t>W2</w:t>
            </w:r>
          </w:p>
        </w:tc>
        <w:tc>
          <w:tcPr>
            <w:tcW w:w="1775" w:type="dxa"/>
            <w:noWrap w:val="0"/>
            <w:vAlign w:val="center"/>
          </w:tcPr>
          <w:p>
            <w:pPr>
              <w:pStyle w:val="29"/>
            </w:pPr>
            <w:r>
              <w:t>污水处理</w:t>
            </w:r>
            <w:r>
              <w:rPr>
                <w:rFonts w:hint="eastAsia"/>
              </w:rPr>
              <w:t>厂</w:t>
            </w:r>
            <w:r>
              <w:t>排口</w:t>
            </w:r>
          </w:p>
        </w:tc>
        <w:tc>
          <w:tcPr>
            <w:tcW w:w="4571" w:type="dxa"/>
            <w:noWrap w:val="0"/>
            <w:vAlign w:val="center"/>
          </w:tcPr>
          <w:p>
            <w:pPr>
              <w:pStyle w:val="29"/>
              <w:jc w:val="both"/>
              <w:rPr>
                <w:rFonts w:hint="eastAsia" w:eastAsia="宋体"/>
                <w:highlight w:val="none"/>
                <w:lang w:eastAsia="zh-CN"/>
              </w:rPr>
            </w:pPr>
            <w:r>
              <w:rPr>
                <w:rFonts w:hint="eastAsia" w:eastAsia="宋体"/>
                <w:highlight w:val="none"/>
                <w:lang w:eastAsia="zh-CN"/>
              </w:rPr>
              <w:t>pH、化学需氧量、五日生化需氧量、氨氮、总磷、总氮、悬浮物、阴离子表面活性剂、石油类、动植物油、色度、六价铬、氟化物、总铬、总汞、总镉、总砷、总铅、粪大肠菌群、烷基汞</w:t>
            </w:r>
          </w:p>
        </w:tc>
        <w:tc>
          <w:tcPr>
            <w:tcW w:w="1855" w:type="dxa"/>
            <w:noWrap w:val="0"/>
            <w:vAlign w:val="center"/>
          </w:tcPr>
          <w:p>
            <w:pPr>
              <w:pStyle w:val="29"/>
            </w:pPr>
            <w:r>
              <w:t>连续监测2天，每天监测4次。</w:t>
            </w:r>
          </w:p>
        </w:tc>
      </w:tr>
    </w:tbl>
    <w:p>
      <w:pPr>
        <w:pStyle w:val="5"/>
        <w:keepLines w:val="0"/>
        <w:numPr>
          <w:ilvl w:val="1"/>
          <w:numId w:val="0"/>
        </w:numPr>
        <w:tabs>
          <w:tab w:val="left" w:pos="1134"/>
        </w:tabs>
        <w:adjustRightInd/>
        <w:textAlignment w:val="auto"/>
        <w:rPr>
          <w:bCs/>
          <w:szCs w:val="30"/>
        </w:rPr>
      </w:pPr>
      <w:bookmarkStart w:id="90" w:name="_Toc16103"/>
      <w:bookmarkStart w:id="91" w:name="_Toc11684"/>
      <w:bookmarkStart w:id="92" w:name="_Toc10481"/>
      <w:bookmarkStart w:id="93" w:name="_Toc519171339"/>
      <w:bookmarkStart w:id="94" w:name="_Toc2545"/>
      <w:bookmarkStart w:id="95" w:name="_Toc441769807"/>
      <w:bookmarkStart w:id="96" w:name="_Toc24365"/>
      <w:bookmarkStart w:id="97" w:name="_Toc28234"/>
      <w:bookmarkStart w:id="98" w:name="_Toc17764"/>
      <w:r>
        <w:rPr>
          <w:bCs/>
          <w:szCs w:val="30"/>
        </w:rPr>
        <w:t>7.2废气监测内容</w:t>
      </w:r>
      <w:bookmarkEnd w:id="90"/>
    </w:p>
    <w:p>
      <w:pPr>
        <w:ind w:firstLine="480"/>
        <w:rPr>
          <w:sz w:val="24"/>
          <w:szCs w:val="21"/>
        </w:rPr>
      </w:pPr>
      <w:r>
        <w:rPr>
          <w:sz w:val="24"/>
          <w:szCs w:val="21"/>
        </w:rPr>
        <w:t>项目废气（有组织）排放监测内容见表7-2。</w:t>
      </w:r>
    </w:p>
    <w:p>
      <w:pPr>
        <w:spacing w:line="240" w:lineRule="auto"/>
        <w:ind w:firstLine="0" w:firstLineChars="0"/>
        <w:jc w:val="center"/>
        <w:rPr>
          <w:b/>
          <w:bCs/>
          <w:sz w:val="21"/>
          <w:szCs w:val="21"/>
        </w:rPr>
      </w:pPr>
      <w:r>
        <w:rPr>
          <w:b/>
          <w:bCs/>
          <w:sz w:val="21"/>
          <w:szCs w:val="21"/>
        </w:rPr>
        <w:t>表7-2  废气（有组织）监测内容</w:t>
      </w:r>
    </w:p>
    <w:tbl>
      <w:tblPr>
        <w:tblStyle w:val="19"/>
        <w:tblW w:w="0" w:type="auto"/>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1346"/>
        <w:gridCol w:w="2344"/>
        <w:gridCol w:w="2535"/>
        <w:gridCol w:w="167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8" w:type="dxa"/>
            <w:noWrap w:val="0"/>
            <w:vAlign w:val="center"/>
          </w:tcPr>
          <w:p>
            <w:pPr>
              <w:pStyle w:val="29"/>
              <w:rPr>
                <w:b/>
                <w:bCs/>
              </w:rPr>
            </w:pPr>
            <w:r>
              <w:rPr>
                <w:b/>
                <w:bCs/>
              </w:rPr>
              <w:t>监测类别</w:t>
            </w:r>
          </w:p>
        </w:tc>
        <w:tc>
          <w:tcPr>
            <w:tcW w:w="1346" w:type="dxa"/>
            <w:noWrap w:val="0"/>
            <w:vAlign w:val="center"/>
          </w:tcPr>
          <w:p>
            <w:pPr>
              <w:pStyle w:val="29"/>
              <w:rPr>
                <w:b/>
                <w:bCs/>
              </w:rPr>
            </w:pPr>
            <w:r>
              <w:rPr>
                <w:b/>
                <w:bCs/>
              </w:rPr>
              <w:t>点位编号</w:t>
            </w:r>
          </w:p>
        </w:tc>
        <w:tc>
          <w:tcPr>
            <w:tcW w:w="2344" w:type="dxa"/>
            <w:noWrap w:val="0"/>
            <w:vAlign w:val="center"/>
          </w:tcPr>
          <w:p>
            <w:pPr>
              <w:pStyle w:val="29"/>
              <w:rPr>
                <w:b/>
                <w:bCs/>
              </w:rPr>
            </w:pPr>
            <w:r>
              <w:rPr>
                <w:b/>
                <w:bCs/>
              </w:rPr>
              <w:t>点位名称</w:t>
            </w:r>
          </w:p>
        </w:tc>
        <w:tc>
          <w:tcPr>
            <w:tcW w:w="2535" w:type="dxa"/>
            <w:noWrap w:val="0"/>
            <w:vAlign w:val="center"/>
          </w:tcPr>
          <w:p>
            <w:pPr>
              <w:pStyle w:val="29"/>
              <w:rPr>
                <w:b/>
                <w:bCs/>
              </w:rPr>
            </w:pPr>
            <w:r>
              <w:rPr>
                <w:b/>
                <w:bCs/>
              </w:rPr>
              <w:t>监测项目</w:t>
            </w:r>
          </w:p>
        </w:tc>
        <w:tc>
          <w:tcPr>
            <w:tcW w:w="1675" w:type="dxa"/>
            <w:noWrap w:val="0"/>
            <w:vAlign w:val="center"/>
          </w:tcPr>
          <w:p>
            <w:pPr>
              <w:pStyle w:val="29"/>
              <w:rPr>
                <w:b/>
                <w:bCs/>
              </w:rPr>
            </w:pPr>
            <w:r>
              <w:rPr>
                <w:b/>
                <w:bCs/>
              </w:rPr>
              <w:t>监测频次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8" w:type="dxa"/>
            <w:noWrap w:val="0"/>
            <w:vAlign w:val="center"/>
          </w:tcPr>
          <w:p>
            <w:pPr>
              <w:pStyle w:val="29"/>
            </w:pPr>
            <w:r>
              <w:t>废气</w:t>
            </w:r>
          </w:p>
          <w:p>
            <w:pPr>
              <w:pStyle w:val="29"/>
            </w:pPr>
            <w:r>
              <w:t>（有组织）</w:t>
            </w:r>
          </w:p>
        </w:tc>
        <w:tc>
          <w:tcPr>
            <w:tcW w:w="1346" w:type="dxa"/>
            <w:noWrap w:val="0"/>
            <w:vAlign w:val="center"/>
          </w:tcPr>
          <w:p>
            <w:pPr>
              <w:pStyle w:val="29"/>
            </w:pPr>
            <w:r>
              <w:t>F1</w:t>
            </w:r>
          </w:p>
        </w:tc>
        <w:tc>
          <w:tcPr>
            <w:tcW w:w="2344" w:type="dxa"/>
            <w:noWrap w:val="0"/>
            <w:vAlign w:val="center"/>
          </w:tcPr>
          <w:p>
            <w:pPr>
              <w:pStyle w:val="29"/>
            </w:pPr>
            <w:r>
              <w:rPr>
                <w:rFonts w:hint="eastAsia"/>
              </w:rPr>
              <w:t>生物除臭滤池排气筒</w:t>
            </w:r>
          </w:p>
        </w:tc>
        <w:tc>
          <w:tcPr>
            <w:tcW w:w="2535" w:type="dxa"/>
            <w:noWrap w:val="0"/>
            <w:vAlign w:val="center"/>
          </w:tcPr>
          <w:p>
            <w:pPr>
              <w:pStyle w:val="29"/>
            </w:pPr>
            <w:r>
              <w:t>氨、硫化氢、臭气浓度</w:t>
            </w:r>
          </w:p>
        </w:tc>
        <w:tc>
          <w:tcPr>
            <w:tcW w:w="1675" w:type="dxa"/>
            <w:noWrap w:val="0"/>
            <w:vAlign w:val="center"/>
          </w:tcPr>
          <w:p>
            <w:pPr>
              <w:pStyle w:val="29"/>
            </w:pPr>
            <w:r>
              <w:t>连续监测2天，每天监测3次。</w:t>
            </w:r>
          </w:p>
        </w:tc>
      </w:tr>
    </w:tbl>
    <w:p>
      <w:pPr>
        <w:ind w:firstLine="480"/>
        <w:rPr>
          <w:sz w:val="24"/>
          <w:szCs w:val="21"/>
        </w:rPr>
      </w:pPr>
      <w:r>
        <w:rPr>
          <w:sz w:val="24"/>
          <w:szCs w:val="21"/>
        </w:rPr>
        <w:t>项目废气（无组织）排放监测内容见表7-3。</w:t>
      </w:r>
    </w:p>
    <w:p>
      <w:pPr>
        <w:spacing w:line="240" w:lineRule="auto"/>
        <w:ind w:firstLine="0" w:firstLineChars="0"/>
        <w:jc w:val="center"/>
        <w:rPr>
          <w:b/>
          <w:bCs/>
          <w:sz w:val="21"/>
          <w:szCs w:val="21"/>
        </w:rPr>
      </w:pPr>
      <w:r>
        <w:rPr>
          <w:b/>
          <w:bCs/>
          <w:sz w:val="21"/>
          <w:szCs w:val="21"/>
        </w:rPr>
        <w:t>表7-3  废气（无组织）监测内容</w:t>
      </w:r>
    </w:p>
    <w:tbl>
      <w:tblPr>
        <w:tblStyle w:val="19"/>
        <w:tblW w:w="0" w:type="auto"/>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91"/>
        <w:gridCol w:w="1143"/>
        <w:gridCol w:w="2674"/>
        <w:gridCol w:w="1987"/>
        <w:gridCol w:w="189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1" w:type="dxa"/>
            <w:noWrap w:val="0"/>
            <w:vAlign w:val="center"/>
          </w:tcPr>
          <w:p>
            <w:pPr>
              <w:pStyle w:val="29"/>
              <w:rPr>
                <w:b/>
                <w:bCs/>
              </w:rPr>
            </w:pPr>
            <w:r>
              <w:rPr>
                <w:b/>
                <w:bCs/>
              </w:rPr>
              <w:t>监测类别</w:t>
            </w:r>
          </w:p>
        </w:tc>
        <w:tc>
          <w:tcPr>
            <w:tcW w:w="1143" w:type="dxa"/>
            <w:noWrap w:val="0"/>
            <w:vAlign w:val="center"/>
          </w:tcPr>
          <w:p>
            <w:pPr>
              <w:pStyle w:val="29"/>
              <w:rPr>
                <w:b/>
                <w:bCs/>
              </w:rPr>
            </w:pPr>
            <w:r>
              <w:rPr>
                <w:b/>
                <w:bCs/>
              </w:rPr>
              <w:t>点位编号</w:t>
            </w:r>
          </w:p>
        </w:tc>
        <w:tc>
          <w:tcPr>
            <w:tcW w:w="2674" w:type="dxa"/>
            <w:noWrap w:val="0"/>
            <w:vAlign w:val="center"/>
          </w:tcPr>
          <w:p>
            <w:pPr>
              <w:pStyle w:val="29"/>
              <w:rPr>
                <w:b/>
                <w:bCs/>
              </w:rPr>
            </w:pPr>
            <w:r>
              <w:rPr>
                <w:b/>
                <w:bCs/>
              </w:rPr>
              <w:t>点位名称</w:t>
            </w:r>
          </w:p>
        </w:tc>
        <w:tc>
          <w:tcPr>
            <w:tcW w:w="1987" w:type="dxa"/>
            <w:noWrap w:val="0"/>
            <w:vAlign w:val="center"/>
          </w:tcPr>
          <w:p>
            <w:pPr>
              <w:pStyle w:val="29"/>
              <w:rPr>
                <w:b/>
                <w:bCs/>
              </w:rPr>
            </w:pPr>
            <w:r>
              <w:rPr>
                <w:b/>
                <w:bCs/>
              </w:rPr>
              <w:t>监测项目</w:t>
            </w:r>
          </w:p>
        </w:tc>
        <w:tc>
          <w:tcPr>
            <w:tcW w:w="1893" w:type="dxa"/>
            <w:noWrap w:val="0"/>
            <w:vAlign w:val="center"/>
          </w:tcPr>
          <w:p>
            <w:pPr>
              <w:pStyle w:val="29"/>
              <w:rPr>
                <w:b/>
                <w:bCs/>
              </w:rPr>
            </w:pPr>
            <w:r>
              <w:rPr>
                <w:b/>
                <w:bCs/>
              </w:rPr>
              <w:t>监测频次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1" w:type="dxa"/>
            <w:vMerge w:val="restart"/>
            <w:noWrap w:val="0"/>
            <w:vAlign w:val="center"/>
          </w:tcPr>
          <w:p>
            <w:pPr>
              <w:pStyle w:val="29"/>
            </w:pPr>
            <w:r>
              <w:t>废气</w:t>
            </w:r>
          </w:p>
          <w:p>
            <w:pPr>
              <w:pStyle w:val="29"/>
            </w:pPr>
            <w:r>
              <w:t>（无组织）</w:t>
            </w:r>
          </w:p>
        </w:tc>
        <w:tc>
          <w:tcPr>
            <w:tcW w:w="1143" w:type="dxa"/>
            <w:noWrap w:val="0"/>
            <w:vAlign w:val="center"/>
          </w:tcPr>
          <w:p>
            <w:pPr>
              <w:pStyle w:val="29"/>
            </w:pPr>
            <w:r>
              <w:t>K1</w:t>
            </w:r>
          </w:p>
        </w:tc>
        <w:tc>
          <w:tcPr>
            <w:tcW w:w="2674" w:type="dxa"/>
            <w:noWrap w:val="0"/>
            <w:vAlign w:val="center"/>
          </w:tcPr>
          <w:p>
            <w:pPr>
              <w:spacing w:line="240" w:lineRule="auto"/>
              <w:ind w:firstLine="0" w:firstLineChars="0"/>
              <w:jc w:val="center"/>
              <w:rPr>
                <w:rFonts w:hint="default" w:ascii="Times New Roman" w:hAnsi="Times New Roman"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污染源上风向</w:t>
            </w:r>
          </w:p>
        </w:tc>
        <w:tc>
          <w:tcPr>
            <w:tcW w:w="1987" w:type="dxa"/>
            <w:vMerge w:val="restart"/>
            <w:noWrap w:val="0"/>
            <w:vAlign w:val="center"/>
          </w:tcPr>
          <w:p>
            <w:pPr>
              <w:pStyle w:val="29"/>
            </w:pPr>
            <w:r>
              <w:t>氨、硫化氢、臭气浓度</w:t>
            </w:r>
          </w:p>
        </w:tc>
        <w:tc>
          <w:tcPr>
            <w:tcW w:w="1893" w:type="dxa"/>
            <w:vMerge w:val="restart"/>
            <w:noWrap w:val="0"/>
            <w:vAlign w:val="center"/>
          </w:tcPr>
          <w:p>
            <w:pPr>
              <w:pStyle w:val="29"/>
            </w:pPr>
            <w:r>
              <w:t>连续监测2天，</w:t>
            </w:r>
          </w:p>
          <w:p>
            <w:pPr>
              <w:pStyle w:val="29"/>
            </w:pPr>
            <w:r>
              <w:t>每天监测4次。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1" w:type="dxa"/>
            <w:vMerge w:val="continue"/>
            <w:noWrap w:val="0"/>
            <w:vAlign w:val="center"/>
          </w:tcPr>
          <w:p>
            <w:pPr>
              <w:pStyle w:val="29"/>
            </w:pPr>
          </w:p>
        </w:tc>
        <w:tc>
          <w:tcPr>
            <w:tcW w:w="1143" w:type="dxa"/>
            <w:noWrap w:val="0"/>
            <w:vAlign w:val="center"/>
          </w:tcPr>
          <w:p>
            <w:pPr>
              <w:pStyle w:val="29"/>
            </w:pPr>
            <w:r>
              <w:t>K2</w:t>
            </w:r>
          </w:p>
        </w:tc>
        <w:tc>
          <w:tcPr>
            <w:tcW w:w="2674" w:type="dxa"/>
            <w:noWrap w:val="0"/>
            <w:vAlign w:val="center"/>
          </w:tcPr>
          <w:p>
            <w:pPr>
              <w:spacing w:line="240" w:lineRule="auto"/>
              <w:ind w:firstLine="0" w:firstLineChars="0"/>
              <w:jc w:val="center"/>
              <w:rPr>
                <w:rFonts w:hint="default" w:ascii="Times New Roman" w:hAnsi="Times New Roman"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污染源下风向</w:t>
            </w:r>
          </w:p>
        </w:tc>
        <w:tc>
          <w:tcPr>
            <w:tcW w:w="1987" w:type="dxa"/>
            <w:vMerge w:val="continue"/>
            <w:noWrap w:val="0"/>
            <w:vAlign w:val="center"/>
          </w:tcPr>
          <w:p>
            <w:pPr>
              <w:pStyle w:val="29"/>
            </w:pPr>
          </w:p>
        </w:tc>
        <w:tc>
          <w:tcPr>
            <w:tcW w:w="1893" w:type="dxa"/>
            <w:vMerge w:val="continue"/>
            <w:noWrap w:val="0"/>
            <w:vAlign w:val="center"/>
          </w:tcPr>
          <w:p>
            <w:pPr>
              <w:pStyle w:val="29"/>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1" w:type="dxa"/>
            <w:vMerge w:val="continue"/>
            <w:noWrap w:val="0"/>
            <w:vAlign w:val="center"/>
          </w:tcPr>
          <w:p>
            <w:pPr>
              <w:pStyle w:val="29"/>
            </w:pPr>
          </w:p>
        </w:tc>
        <w:tc>
          <w:tcPr>
            <w:tcW w:w="1143" w:type="dxa"/>
            <w:noWrap w:val="0"/>
            <w:vAlign w:val="center"/>
          </w:tcPr>
          <w:p>
            <w:pPr>
              <w:pStyle w:val="29"/>
            </w:pPr>
            <w:r>
              <w:t>K3</w:t>
            </w:r>
          </w:p>
        </w:tc>
        <w:tc>
          <w:tcPr>
            <w:tcW w:w="2674" w:type="dxa"/>
            <w:noWrap w:val="0"/>
            <w:vAlign w:val="center"/>
          </w:tcPr>
          <w:p>
            <w:pPr>
              <w:spacing w:line="240" w:lineRule="auto"/>
              <w:ind w:firstLine="0" w:firstLineChars="0"/>
              <w:jc w:val="center"/>
              <w:rPr>
                <w:rFonts w:hint="eastAsia" w:ascii="Times New Roman" w:hAnsi="Times New Roman"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污染源下风向</w:t>
            </w:r>
          </w:p>
        </w:tc>
        <w:tc>
          <w:tcPr>
            <w:tcW w:w="1987" w:type="dxa"/>
            <w:vMerge w:val="continue"/>
            <w:noWrap w:val="0"/>
            <w:vAlign w:val="center"/>
          </w:tcPr>
          <w:p>
            <w:pPr>
              <w:pStyle w:val="29"/>
            </w:pPr>
          </w:p>
        </w:tc>
        <w:tc>
          <w:tcPr>
            <w:tcW w:w="1893" w:type="dxa"/>
            <w:vMerge w:val="continue"/>
            <w:noWrap w:val="0"/>
            <w:vAlign w:val="center"/>
          </w:tcPr>
          <w:p>
            <w:pPr>
              <w:pStyle w:val="29"/>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1" w:type="dxa"/>
            <w:vMerge w:val="continue"/>
            <w:noWrap w:val="0"/>
            <w:vAlign w:val="center"/>
          </w:tcPr>
          <w:p>
            <w:pPr>
              <w:pStyle w:val="29"/>
            </w:pPr>
          </w:p>
        </w:tc>
        <w:tc>
          <w:tcPr>
            <w:tcW w:w="1143" w:type="dxa"/>
            <w:noWrap w:val="0"/>
            <w:vAlign w:val="center"/>
          </w:tcPr>
          <w:p>
            <w:pPr>
              <w:pStyle w:val="29"/>
            </w:pPr>
            <w:r>
              <w:t>K4</w:t>
            </w:r>
          </w:p>
        </w:tc>
        <w:tc>
          <w:tcPr>
            <w:tcW w:w="2674" w:type="dxa"/>
            <w:noWrap w:val="0"/>
            <w:vAlign w:val="center"/>
          </w:tcPr>
          <w:p>
            <w:pPr>
              <w:spacing w:line="240" w:lineRule="auto"/>
              <w:ind w:firstLine="0" w:firstLineChars="0"/>
              <w:jc w:val="center"/>
              <w:rPr>
                <w:rFonts w:hint="eastAsia" w:ascii="Times New Roman" w:hAnsi="Times New Roman"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污染源下风向</w:t>
            </w:r>
          </w:p>
        </w:tc>
        <w:tc>
          <w:tcPr>
            <w:tcW w:w="1987" w:type="dxa"/>
            <w:vMerge w:val="continue"/>
            <w:noWrap w:val="0"/>
            <w:vAlign w:val="center"/>
          </w:tcPr>
          <w:p>
            <w:pPr>
              <w:pStyle w:val="29"/>
            </w:pPr>
          </w:p>
        </w:tc>
        <w:tc>
          <w:tcPr>
            <w:tcW w:w="1893" w:type="dxa"/>
            <w:vMerge w:val="continue"/>
            <w:noWrap w:val="0"/>
            <w:vAlign w:val="center"/>
          </w:tcPr>
          <w:p>
            <w:pPr>
              <w:pStyle w:val="29"/>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91" w:type="dxa"/>
            <w:vMerge w:val="continue"/>
            <w:noWrap w:val="0"/>
            <w:vAlign w:val="center"/>
          </w:tcPr>
          <w:p>
            <w:pPr>
              <w:pStyle w:val="29"/>
            </w:pPr>
          </w:p>
        </w:tc>
        <w:tc>
          <w:tcPr>
            <w:tcW w:w="1143" w:type="dxa"/>
            <w:noWrap w:val="0"/>
            <w:vAlign w:val="center"/>
          </w:tcPr>
          <w:p>
            <w:pPr>
              <w:pStyle w:val="29"/>
            </w:pPr>
            <w:r>
              <w:t>K5</w:t>
            </w:r>
          </w:p>
        </w:tc>
        <w:tc>
          <w:tcPr>
            <w:tcW w:w="2674" w:type="dxa"/>
            <w:noWrap w:val="0"/>
            <w:vAlign w:val="center"/>
          </w:tcPr>
          <w:p>
            <w:pPr>
              <w:spacing w:line="240" w:lineRule="auto"/>
              <w:ind w:firstLine="0" w:firstLineChars="0"/>
              <w:jc w:val="center"/>
              <w:rPr>
                <w:rFonts w:hint="default" w:ascii="Times New Roman" w:hAnsi="Times New Roman"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生物除臭滤池附近</w:t>
            </w:r>
          </w:p>
        </w:tc>
        <w:tc>
          <w:tcPr>
            <w:tcW w:w="1987" w:type="dxa"/>
            <w:noWrap w:val="0"/>
            <w:vAlign w:val="center"/>
          </w:tcPr>
          <w:p>
            <w:pPr>
              <w:pStyle w:val="29"/>
            </w:pPr>
            <w:r>
              <w:t>甲烷</w:t>
            </w:r>
          </w:p>
        </w:tc>
        <w:tc>
          <w:tcPr>
            <w:tcW w:w="1893" w:type="dxa"/>
            <w:vMerge w:val="continue"/>
            <w:noWrap w:val="0"/>
            <w:vAlign w:val="center"/>
          </w:tcPr>
          <w:p>
            <w:pPr>
              <w:pStyle w:val="29"/>
            </w:pPr>
          </w:p>
        </w:tc>
      </w:tr>
    </w:tbl>
    <w:p>
      <w:pPr>
        <w:pStyle w:val="5"/>
        <w:keepLines w:val="0"/>
        <w:numPr>
          <w:ilvl w:val="1"/>
          <w:numId w:val="0"/>
        </w:numPr>
        <w:tabs>
          <w:tab w:val="left" w:pos="1134"/>
        </w:tabs>
        <w:adjustRightInd/>
        <w:textAlignment w:val="auto"/>
        <w:rPr>
          <w:bCs/>
          <w:szCs w:val="30"/>
        </w:rPr>
      </w:pPr>
      <w:bookmarkStart w:id="99" w:name="_Toc11546"/>
      <w:r>
        <w:rPr>
          <w:bCs/>
          <w:szCs w:val="30"/>
        </w:rPr>
        <w:t>7.3噪声</w:t>
      </w:r>
      <w:bookmarkEnd w:id="91"/>
      <w:bookmarkEnd w:id="92"/>
      <w:bookmarkEnd w:id="93"/>
      <w:r>
        <w:rPr>
          <w:bCs/>
          <w:szCs w:val="30"/>
        </w:rPr>
        <w:t>监测内容</w:t>
      </w:r>
      <w:bookmarkEnd w:id="99"/>
    </w:p>
    <w:p>
      <w:pPr>
        <w:wordWrap w:val="0"/>
        <w:topLinePunct/>
        <w:ind w:firstLine="480"/>
        <w:rPr>
          <w:color w:val="000000"/>
          <w:sz w:val="24"/>
          <w:szCs w:val="24"/>
        </w:rPr>
      </w:pPr>
      <w:r>
        <w:rPr>
          <w:color w:val="000000"/>
          <w:sz w:val="24"/>
          <w:szCs w:val="24"/>
        </w:rPr>
        <w:t>项目噪声监测内容见表7-4；</w:t>
      </w:r>
      <w:bookmarkEnd w:id="94"/>
    </w:p>
    <w:p>
      <w:pPr>
        <w:widowControl/>
        <w:tabs>
          <w:tab w:val="left" w:pos="1230"/>
        </w:tabs>
        <w:wordWrap w:val="0"/>
        <w:topLinePunct/>
        <w:spacing w:line="240" w:lineRule="auto"/>
        <w:ind w:firstLine="0" w:firstLineChars="0"/>
        <w:jc w:val="center"/>
        <w:rPr>
          <w:b/>
          <w:bCs/>
          <w:sz w:val="21"/>
          <w:szCs w:val="21"/>
        </w:rPr>
      </w:pPr>
    </w:p>
    <w:p>
      <w:pPr>
        <w:widowControl/>
        <w:tabs>
          <w:tab w:val="left" w:pos="1230"/>
        </w:tabs>
        <w:wordWrap w:val="0"/>
        <w:topLinePunct/>
        <w:spacing w:line="240" w:lineRule="auto"/>
        <w:ind w:firstLine="0" w:firstLineChars="0"/>
        <w:jc w:val="center"/>
        <w:rPr>
          <w:b/>
          <w:bCs/>
          <w:kern w:val="44"/>
          <w:sz w:val="32"/>
          <w:szCs w:val="32"/>
        </w:rPr>
      </w:pPr>
      <w:r>
        <w:rPr>
          <w:b/>
          <w:bCs/>
          <w:sz w:val="21"/>
          <w:szCs w:val="21"/>
        </w:rPr>
        <w:t>表7-4  噪声监测内容</w:t>
      </w:r>
    </w:p>
    <w:tbl>
      <w:tblPr>
        <w:tblStyle w:val="19"/>
        <w:tblW w:w="0" w:type="auto"/>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5"/>
        <w:gridCol w:w="2755"/>
        <w:gridCol w:w="2401"/>
        <w:gridCol w:w="251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5" w:type="dxa"/>
            <w:noWrap w:val="0"/>
            <w:vAlign w:val="center"/>
          </w:tcPr>
          <w:p>
            <w:pPr>
              <w:pStyle w:val="29"/>
              <w:rPr>
                <w:b/>
                <w:bCs/>
              </w:rPr>
            </w:pPr>
            <w:r>
              <w:rPr>
                <w:b/>
                <w:bCs/>
              </w:rPr>
              <w:t>点位编号</w:t>
            </w:r>
          </w:p>
        </w:tc>
        <w:tc>
          <w:tcPr>
            <w:tcW w:w="2755" w:type="dxa"/>
            <w:noWrap w:val="0"/>
            <w:vAlign w:val="center"/>
          </w:tcPr>
          <w:p>
            <w:pPr>
              <w:pStyle w:val="29"/>
              <w:rPr>
                <w:b/>
                <w:bCs/>
              </w:rPr>
            </w:pPr>
            <w:r>
              <w:rPr>
                <w:b/>
                <w:bCs/>
              </w:rPr>
              <w:t>监测点位名称</w:t>
            </w:r>
          </w:p>
        </w:tc>
        <w:tc>
          <w:tcPr>
            <w:tcW w:w="2401" w:type="dxa"/>
            <w:noWrap w:val="0"/>
            <w:vAlign w:val="center"/>
          </w:tcPr>
          <w:p>
            <w:pPr>
              <w:pStyle w:val="29"/>
              <w:rPr>
                <w:b/>
                <w:bCs/>
              </w:rPr>
            </w:pPr>
            <w:r>
              <w:rPr>
                <w:b/>
                <w:bCs/>
              </w:rPr>
              <w:t>监测项目</w:t>
            </w:r>
          </w:p>
        </w:tc>
        <w:tc>
          <w:tcPr>
            <w:tcW w:w="2517" w:type="dxa"/>
            <w:noWrap w:val="0"/>
            <w:vAlign w:val="center"/>
          </w:tcPr>
          <w:p>
            <w:pPr>
              <w:pStyle w:val="29"/>
              <w:rPr>
                <w:b/>
                <w:bCs/>
              </w:rPr>
            </w:pPr>
            <w:r>
              <w:rPr>
                <w:b/>
                <w:bCs/>
              </w:rPr>
              <w:t>监测时间、频次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5" w:type="dxa"/>
            <w:noWrap w:val="0"/>
            <w:vAlign w:val="center"/>
          </w:tcPr>
          <w:p>
            <w:pPr>
              <w:pStyle w:val="29"/>
            </w:pPr>
            <w:r>
              <w:t>N1</w:t>
            </w:r>
          </w:p>
        </w:tc>
        <w:tc>
          <w:tcPr>
            <w:tcW w:w="2755" w:type="dxa"/>
            <w:noWrap w:val="0"/>
            <w:vAlign w:val="center"/>
          </w:tcPr>
          <w:p>
            <w:pPr>
              <w:pStyle w:val="29"/>
              <w:bidi w:val="0"/>
              <w:rPr>
                <w:rFonts w:hint="default"/>
                <w:lang w:val="en-US" w:eastAsia="zh-CN"/>
              </w:rPr>
            </w:pPr>
            <w:r>
              <w:rPr>
                <w:rFonts w:hint="eastAsia"/>
                <w:lang w:val="en-US" w:eastAsia="zh-CN"/>
              </w:rPr>
              <w:t>项目东侧厂界外1m处</w:t>
            </w:r>
          </w:p>
        </w:tc>
        <w:tc>
          <w:tcPr>
            <w:tcW w:w="2401" w:type="dxa"/>
            <w:vMerge w:val="restart"/>
            <w:noWrap w:val="0"/>
            <w:vAlign w:val="center"/>
          </w:tcPr>
          <w:p>
            <w:pPr>
              <w:pStyle w:val="29"/>
            </w:pPr>
            <w:r>
              <w:t>工业企业厂界环境噪声</w:t>
            </w:r>
          </w:p>
        </w:tc>
        <w:tc>
          <w:tcPr>
            <w:tcW w:w="2517" w:type="dxa"/>
            <w:vMerge w:val="restart"/>
            <w:noWrap w:val="0"/>
            <w:vAlign w:val="center"/>
          </w:tcPr>
          <w:p>
            <w:pPr>
              <w:pStyle w:val="29"/>
            </w:pPr>
            <w:r>
              <w:t>连续监测2天，每天昼间、夜间各监测</w:t>
            </w:r>
            <w:r>
              <w:rPr>
                <w:rFonts w:hint="eastAsia"/>
                <w:lang w:val="en-US" w:eastAsia="zh-CN"/>
              </w:rPr>
              <w:t>1</w:t>
            </w:r>
            <w:r>
              <w:t>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5" w:type="dxa"/>
            <w:noWrap w:val="0"/>
            <w:vAlign w:val="center"/>
          </w:tcPr>
          <w:p>
            <w:pPr>
              <w:pStyle w:val="29"/>
            </w:pPr>
            <w:r>
              <w:t>N2</w:t>
            </w:r>
          </w:p>
        </w:tc>
        <w:tc>
          <w:tcPr>
            <w:tcW w:w="2755" w:type="dxa"/>
            <w:noWrap w:val="0"/>
            <w:vAlign w:val="center"/>
          </w:tcPr>
          <w:p>
            <w:pPr>
              <w:pStyle w:val="29"/>
              <w:bidi w:val="0"/>
              <w:rPr>
                <w:rFonts w:hint="eastAsia"/>
                <w:lang w:val="en-US" w:eastAsia="zh-CN"/>
              </w:rPr>
            </w:pPr>
            <w:r>
              <w:rPr>
                <w:rFonts w:hint="eastAsia"/>
                <w:lang w:val="en-US" w:eastAsia="zh-CN"/>
              </w:rPr>
              <w:t>项目南侧厂界外1m处</w:t>
            </w:r>
          </w:p>
        </w:tc>
        <w:tc>
          <w:tcPr>
            <w:tcW w:w="2401" w:type="dxa"/>
            <w:vMerge w:val="continue"/>
            <w:noWrap w:val="0"/>
            <w:vAlign w:val="center"/>
          </w:tcPr>
          <w:p>
            <w:pPr>
              <w:pStyle w:val="29"/>
            </w:pPr>
          </w:p>
        </w:tc>
        <w:tc>
          <w:tcPr>
            <w:tcW w:w="2517" w:type="dxa"/>
            <w:vMerge w:val="continue"/>
            <w:noWrap w:val="0"/>
            <w:vAlign w:val="center"/>
          </w:tcPr>
          <w:p>
            <w:pPr>
              <w:pStyle w:val="29"/>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5" w:type="dxa"/>
            <w:noWrap w:val="0"/>
            <w:vAlign w:val="center"/>
          </w:tcPr>
          <w:p>
            <w:pPr>
              <w:pStyle w:val="29"/>
            </w:pPr>
            <w:r>
              <w:t>N3</w:t>
            </w:r>
          </w:p>
        </w:tc>
        <w:tc>
          <w:tcPr>
            <w:tcW w:w="2755" w:type="dxa"/>
            <w:noWrap w:val="0"/>
            <w:vAlign w:val="center"/>
          </w:tcPr>
          <w:p>
            <w:pPr>
              <w:pStyle w:val="29"/>
              <w:bidi w:val="0"/>
              <w:rPr>
                <w:rFonts w:hint="eastAsia"/>
                <w:lang w:val="en-US" w:eastAsia="zh-CN"/>
              </w:rPr>
            </w:pPr>
            <w:r>
              <w:rPr>
                <w:rFonts w:hint="eastAsia"/>
                <w:lang w:val="en-US" w:eastAsia="zh-CN"/>
              </w:rPr>
              <w:t>项目西侧厂界外1m处</w:t>
            </w:r>
          </w:p>
        </w:tc>
        <w:tc>
          <w:tcPr>
            <w:tcW w:w="2401" w:type="dxa"/>
            <w:vMerge w:val="continue"/>
            <w:noWrap w:val="0"/>
            <w:vAlign w:val="center"/>
          </w:tcPr>
          <w:p>
            <w:pPr>
              <w:pStyle w:val="29"/>
            </w:pPr>
          </w:p>
        </w:tc>
        <w:tc>
          <w:tcPr>
            <w:tcW w:w="2517" w:type="dxa"/>
            <w:vMerge w:val="continue"/>
            <w:noWrap w:val="0"/>
            <w:vAlign w:val="center"/>
          </w:tcPr>
          <w:p>
            <w:pPr>
              <w:pStyle w:val="29"/>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5" w:type="dxa"/>
            <w:noWrap w:val="0"/>
            <w:vAlign w:val="center"/>
          </w:tcPr>
          <w:p>
            <w:pPr>
              <w:pStyle w:val="29"/>
            </w:pPr>
            <w:r>
              <w:t>N4</w:t>
            </w:r>
          </w:p>
        </w:tc>
        <w:tc>
          <w:tcPr>
            <w:tcW w:w="2755" w:type="dxa"/>
            <w:noWrap w:val="0"/>
            <w:vAlign w:val="center"/>
          </w:tcPr>
          <w:p>
            <w:pPr>
              <w:pStyle w:val="29"/>
              <w:bidi w:val="0"/>
              <w:rPr>
                <w:rFonts w:hint="eastAsia"/>
                <w:lang w:val="en-US" w:eastAsia="zh-CN"/>
              </w:rPr>
            </w:pPr>
            <w:r>
              <w:rPr>
                <w:rFonts w:hint="eastAsia"/>
                <w:lang w:val="en-US" w:eastAsia="zh-CN"/>
              </w:rPr>
              <w:t>项目北侧厂界外1m处</w:t>
            </w:r>
          </w:p>
        </w:tc>
        <w:tc>
          <w:tcPr>
            <w:tcW w:w="2401" w:type="dxa"/>
            <w:vMerge w:val="continue"/>
            <w:noWrap w:val="0"/>
            <w:vAlign w:val="center"/>
          </w:tcPr>
          <w:p>
            <w:pPr>
              <w:pStyle w:val="29"/>
            </w:pPr>
          </w:p>
        </w:tc>
        <w:tc>
          <w:tcPr>
            <w:tcW w:w="2517" w:type="dxa"/>
            <w:vMerge w:val="continue"/>
            <w:noWrap w:val="0"/>
            <w:vAlign w:val="center"/>
          </w:tcPr>
          <w:p>
            <w:pPr>
              <w:pStyle w:val="29"/>
            </w:pPr>
          </w:p>
        </w:tc>
      </w:tr>
    </w:tbl>
    <w:p>
      <w:pPr>
        <w:pStyle w:val="5"/>
        <w:keepLines w:val="0"/>
        <w:numPr>
          <w:ilvl w:val="1"/>
          <w:numId w:val="0"/>
        </w:numPr>
        <w:tabs>
          <w:tab w:val="left" w:pos="1134"/>
        </w:tabs>
        <w:adjustRightInd/>
        <w:textAlignment w:val="auto"/>
        <w:rPr>
          <w:bCs/>
          <w:szCs w:val="30"/>
        </w:rPr>
      </w:pPr>
      <w:bookmarkStart w:id="100" w:name="_Toc13081"/>
      <w:bookmarkStart w:id="101" w:name="_Toc29355"/>
      <w:r>
        <w:rPr>
          <w:bCs/>
          <w:szCs w:val="30"/>
        </w:rPr>
        <w:t>7.4固体废物</w:t>
      </w:r>
      <w:bookmarkEnd w:id="100"/>
      <w:r>
        <w:rPr>
          <w:bCs/>
          <w:szCs w:val="30"/>
        </w:rPr>
        <w:t>监测内容</w:t>
      </w:r>
      <w:bookmarkEnd w:id="101"/>
    </w:p>
    <w:p>
      <w:pPr>
        <w:wordWrap w:val="0"/>
        <w:topLinePunct/>
        <w:ind w:firstLine="480"/>
        <w:rPr>
          <w:color w:val="000000"/>
          <w:sz w:val="24"/>
          <w:szCs w:val="24"/>
        </w:rPr>
      </w:pPr>
      <w:r>
        <w:rPr>
          <w:color w:val="000000"/>
          <w:sz w:val="24"/>
          <w:szCs w:val="24"/>
        </w:rPr>
        <w:t>本项目脱水污泥监测内容见表7-5。</w:t>
      </w:r>
    </w:p>
    <w:p>
      <w:pPr>
        <w:wordWrap w:val="0"/>
        <w:topLinePunct/>
        <w:spacing w:line="240" w:lineRule="auto"/>
        <w:ind w:firstLine="0" w:firstLineChars="0"/>
        <w:jc w:val="center"/>
        <w:rPr>
          <w:b/>
          <w:sz w:val="21"/>
          <w:szCs w:val="21"/>
        </w:rPr>
      </w:pPr>
      <w:r>
        <w:rPr>
          <w:b/>
          <w:sz w:val="21"/>
          <w:szCs w:val="21"/>
        </w:rPr>
        <w:t>表7-5  固体废物监测内容</w:t>
      </w:r>
    </w:p>
    <w:tbl>
      <w:tblPr>
        <w:tblStyle w:val="19"/>
        <w:tblW w:w="0" w:type="auto"/>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1302"/>
        <w:gridCol w:w="2056"/>
        <w:gridCol w:w="1529"/>
        <w:gridCol w:w="297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0" w:type="dxa"/>
            <w:noWrap w:val="0"/>
            <w:vAlign w:val="center"/>
          </w:tcPr>
          <w:p>
            <w:pPr>
              <w:spacing w:line="300" w:lineRule="exact"/>
              <w:ind w:firstLine="0" w:firstLineChars="0"/>
              <w:jc w:val="center"/>
              <w:rPr>
                <w:b/>
                <w:bCs/>
                <w:sz w:val="21"/>
                <w:szCs w:val="21"/>
              </w:rPr>
            </w:pPr>
            <w:r>
              <w:rPr>
                <w:b/>
                <w:bCs/>
                <w:sz w:val="21"/>
                <w:szCs w:val="21"/>
              </w:rPr>
              <w:t>监测类别</w:t>
            </w:r>
          </w:p>
        </w:tc>
        <w:tc>
          <w:tcPr>
            <w:tcW w:w="1302" w:type="dxa"/>
            <w:noWrap w:val="0"/>
            <w:vAlign w:val="center"/>
          </w:tcPr>
          <w:p>
            <w:pPr>
              <w:spacing w:line="300" w:lineRule="exact"/>
              <w:ind w:firstLine="0" w:firstLineChars="0"/>
              <w:jc w:val="center"/>
              <w:rPr>
                <w:b/>
                <w:bCs/>
                <w:sz w:val="21"/>
                <w:szCs w:val="21"/>
              </w:rPr>
            </w:pPr>
            <w:r>
              <w:rPr>
                <w:b/>
                <w:bCs/>
                <w:sz w:val="21"/>
                <w:szCs w:val="21"/>
              </w:rPr>
              <w:t>点位编号</w:t>
            </w:r>
          </w:p>
        </w:tc>
        <w:tc>
          <w:tcPr>
            <w:tcW w:w="2056" w:type="dxa"/>
            <w:noWrap w:val="0"/>
            <w:vAlign w:val="center"/>
          </w:tcPr>
          <w:p>
            <w:pPr>
              <w:spacing w:line="300" w:lineRule="exact"/>
              <w:ind w:firstLine="0" w:firstLineChars="0"/>
              <w:jc w:val="center"/>
              <w:rPr>
                <w:b/>
                <w:bCs/>
                <w:sz w:val="21"/>
                <w:szCs w:val="21"/>
              </w:rPr>
            </w:pPr>
            <w:r>
              <w:rPr>
                <w:b/>
                <w:bCs/>
                <w:sz w:val="21"/>
                <w:szCs w:val="21"/>
              </w:rPr>
              <w:t>点位名称</w:t>
            </w:r>
          </w:p>
        </w:tc>
        <w:tc>
          <w:tcPr>
            <w:tcW w:w="1529" w:type="dxa"/>
            <w:noWrap w:val="0"/>
            <w:vAlign w:val="center"/>
          </w:tcPr>
          <w:p>
            <w:pPr>
              <w:spacing w:line="300" w:lineRule="exact"/>
              <w:ind w:firstLine="0" w:firstLineChars="0"/>
              <w:jc w:val="center"/>
              <w:rPr>
                <w:b/>
                <w:bCs/>
                <w:sz w:val="21"/>
                <w:szCs w:val="21"/>
              </w:rPr>
            </w:pPr>
            <w:r>
              <w:rPr>
                <w:b/>
                <w:bCs/>
                <w:sz w:val="21"/>
                <w:szCs w:val="21"/>
              </w:rPr>
              <w:t>监测项目</w:t>
            </w:r>
          </w:p>
        </w:tc>
        <w:tc>
          <w:tcPr>
            <w:tcW w:w="2971" w:type="dxa"/>
            <w:noWrap w:val="0"/>
            <w:vAlign w:val="center"/>
          </w:tcPr>
          <w:p>
            <w:pPr>
              <w:spacing w:line="300" w:lineRule="exact"/>
              <w:ind w:firstLine="0" w:firstLineChars="0"/>
              <w:jc w:val="center"/>
              <w:rPr>
                <w:b/>
                <w:bCs/>
                <w:sz w:val="21"/>
                <w:szCs w:val="21"/>
              </w:rPr>
            </w:pPr>
            <w:r>
              <w:rPr>
                <w:b/>
                <w:bCs/>
                <w:sz w:val="21"/>
                <w:szCs w:val="21"/>
              </w:rPr>
              <w:t>监测频次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430" w:type="dxa"/>
            <w:noWrap w:val="0"/>
            <w:vAlign w:val="center"/>
          </w:tcPr>
          <w:p>
            <w:pPr>
              <w:spacing w:line="300" w:lineRule="exact"/>
              <w:ind w:firstLine="0" w:firstLineChars="0"/>
              <w:jc w:val="center"/>
              <w:rPr>
                <w:sz w:val="21"/>
                <w:szCs w:val="21"/>
              </w:rPr>
            </w:pPr>
            <w:r>
              <w:rPr>
                <w:sz w:val="21"/>
                <w:szCs w:val="21"/>
              </w:rPr>
              <w:t>污泥</w:t>
            </w:r>
          </w:p>
        </w:tc>
        <w:tc>
          <w:tcPr>
            <w:tcW w:w="1302" w:type="dxa"/>
            <w:noWrap w:val="0"/>
            <w:vAlign w:val="center"/>
          </w:tcPr>
          <w:p>
            <w:pPr>
              <w:spacing w:line="300" w:lineRule="exact"/>
              <w:ind w:firstLine="0" w:firstLineChars="0"/>
              <w:jc w:val="center"/>
              <w:rPr>
                <w:sz w:val="21"/>
                <w:szCs w:val="21"/>
              </w:rPr>
            </w:pPr>
            <w:r>
              <w:rPr>
                <w:sz w:val="21"/>
                <w:szCs w:val="21"/>
              </w:rPr>
              <w:t>T1</w:t>
            </w:r>
          </w:p>
        </w:tc>
        <w:tc>
          <w:tcPr>
            <w:tcW w:w="2056" w:type="dxa"/>
            <w:noWrap w:val="0"/>
            <w:vAlign w:val="center"/>
          </w:tcPr>
          <w:p>
            <w:pPr>
              <w:spacing w:line="300" w:lineRule="exact"/>
              <w:ind w:firstLine="0" w:firstLineChars="0"/>
              <w:jc w:val="center"/>
              <w:rPr>
                <w:rFonts w:hint="eastAsia"/>
                <w:sz w:val="21"/>
                <w:szCs w:val="21"/>
              </w:rPr>
            </w:pPr>
            <w:r>
              <w:rPr>
                <w:rFonts w:hint="eastAsia"/>
                <w:sz w:val="21"/>
                <w:szCs w:val="21"/>
              </w:rPr>
              <w:t>污泥脱水间</w:t>
            </w:r>
          </w:p>
        </w:tc>
        <w:tc>
          <w:tcPr>
            <w:tcW w:w="1529" w:type="dxa"/>
            <w:noWrap w:val="0"/>
            <w:vAlign w:val="center"/>
          </w:tcPr>
          <w:p>
            <w:pPr>
              <w:spacing w:line="300" w:lineRule="exact"/>
              <w:ind w:firstLine="0" w:firstLineChars="0"/>
              <w:jc w:val="center"/>
              <w:rPr>
                <w:sz w:val="21"/>
                <w:szCs w:val="21"/>
              </w:rPr>
            </w:pPr>
            <w:r>
              <w:rPr>
                <w:sz w:val="21"/>
                <w:szCs w:val="21"/>
              </w:rPr>
              <w:t>含水率</w:t>
            </w:r>
          </w:p>
        </w:tc>
        <w:tc>
          <w:tcPr>
            <w:tcW w:w="2971" w:type="dxa"/>
            <w:noWrap w:val="0"/>
            <w:vAlign w:val="center"/>
          </w:tcPr>
          <w:p>
            <w:pPr>
              <w:spacing w:line="300" w:lineRule="exact"/>
              <w:ind w:firstLine="0" w:firstLineChars="0"/>
              <w:jc w:val="center"/>
              <w:rPr>
                <w:sz w:val="21"/>
                <w:szCs w:val="21"/>
              </w:rPr>
            </w:pPr>
            <w:r>
              <w:rPr>
                <w:rFonts w:hint="eastAsia"/>
                <w:sz w:val="21"/>
                <w:szCs w:val="21"/>
              </w:rPr>
              <w:t>连续监测2天，每天监测1次</w:t>
            </w:r>
          </w:p>
        </w:tc>
      </w:tr>
    </w:tbl>
    <w:p>
      <w:pPr>
        <w:pStyle w:val="5"/>
        <w:keepLines w:val="0"/>
        <w:numPr>
          <w:ilvl w:val="1"/>
          <w:numId w:val="0"/>
        </w:numPr>
        <w:tabs>
          <w:tab w:val="left" w:pos="1134"/>
        </w:tabs>
        <w:adjustRightInd/>
        <w:textAlignment w:val="auto"/>
        <w:rPr>
          <w:bCs/>
          <w:szCs w:val="30"/>
        </w:rPr>
      </w:pPr>
      <w:bookmarkStart w:id="102" w:name="_Toc31274"/>
      <w:r>
        <w:rPr>
          <w:bCs/>
          <w:szCs w:val="30"/>
        </w:rPr>
        <w:t>7.5监测点位图</w:t>
      </w:r>
      <w:bookmarkEnd w:id="102"/>
    </w:p>
    <w:p>
      <w:pPr>
        <w:wordWrap w:val="0"/>
        <w:topLinePunct/>
        <w:ind w:firstLine="480"/>
        <w:jc w:val="left"/>
        <w:rPr>
          <w:color w:val="000000"/>
          <w:sz w:val="24"/>
          <w:szCs w:val="24"/>
        </w:rPr>
      </w:pPr>
      <w:r>
        <w:rPr>
          <w:color w:val="000000"/>
          <w:sz w:val="24"/>
          <w:szCs w:val="24"/>
        </w:rPr>
        <w:t>本项目污染物监测点位见下图。</w:t>
      </w:r>
    </w:p>
    <w:p>
      <w:pPr>
        <w:pStyle w:val="28"/>
        <w:ind w:firstLine="0" w:firstLineChars="0"/>
        <w:jc w:val="both"/>
      </w:pPr>
      <w:r>
        <w:drawing>
          <wp:inline distT="0" distB="0" distL="114300" distR="114300">
            <wp:extent cx="5756275" cy="3685540"/>
            <wp:effectExtent l="0" t="0" r="15875" b="10160"/>
            <wp:docPr id="1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
                    <pic:cNvPicPr>
                      <a:picLocks noChangeAspect="1"/>
                    </pic:cNvPicPr>
                  </pic:nvPicPr>
                  <pic:blipFill>
                    <a:blip r:embed="rId40"/>
                    <a:stretch>
                      <a:fillRect/>
                    </a:stretch>
                  </pic:blipFill>
                  <pic:spPr>
                    <a:xfrm>
                      <a:off x="0" y="0"/>
                      <a:ext cx="5756275" cy="3685540"/>
                    </a:xfrm>
                    <a:prstGeom prst="rect">
                      <a:avLst/>
                    </a:prstGeom>
                    <a:noFill/>
                    <a:ln>
                      <a:noFill/>
                    </a:ln>
                  </pic:spPr>
                </pic:pic>
              </a:graphicData>
            </a:graphic>
          </wp:inline>
        </w:drawing>
      </w:r>
    </w:p>
    <w:p>
      <w:pPr>
        <w:pStyle w:val="28"/>
        <w:ind w:firstLine="482"/>
        <w:sectPr>
          <w:headerReference r:id="rId20" w:type="default"/>
          <w:footerReference r:id="rId21" w:type="default"/>
          <w:pgSz w:w="11906" w:h="16838"/>
          <w:pgMar w:top="1134" w:right="1417" w:bottom="1134" w:left="1417" w:header="850" w:footer="850" w:gutter="0"/>
          <w:pgBorders>
            <w:top w:val="none" w:sz="0" w:space="0"/>
            <w:left w:val="none" w:sz="0" w:space="0"/>
            <w:bottom w:val="none" w:sz="0" w:space="0"/>
            <w:right w:val="none" w:sz="0" w:space="0"/>
          </w:pgBorders>
          <w:pgNumType w:fmt="decimal"/>
          <w:cols w:space="720" w:num="1"/>
          <w:docGrid w:type="lines" w:linePitch="416" w:charSpace="0"/>
        </w:sectPr>
      </w:pPr>
      <w:r>
        <w:t>图7-1  监测点位图</w:t>
      </w:r>
    </w:p>
    <w:p>
      <w:pPr>
        <w:ind w:firstLine="0" w:firstLineChars="0"/>
        <w:outlineLvl w:val="0"/>
        <w:rPr>
          <w:b/>
          <w:sz w:val="32"/>
          <w:szCs w:val="32"/>
        </w:rPr>
      </w:pPr>
      <w:bookmarkStart w:id="103" w:name="_Toc266"/>
      <w:r>
        <w:rPr>
          <w:b/>
          <w:sz w:val="32"/>
          <w:szCs w:val="32"/>
        </w:rPr>
        <w:t>8质量控制和质量保证</w:t>
      </w:r>
      <w:bookmarkEnd w:id="103"/>
    </w:p>
    <w:p>
      <w:r>
        <w:t>为了确保监测数据的代表性、完整性、可靠性、准确性和精密性，对监测的全过程（包括布点、采样、样品贮运、实验室分析、数据处理等）进行质量控制。</w:t>
      </w:r>
    </w:p>
    <w:p>
      <w:r>
        <w:t>严格按照验收监测方案的要求开展监测工作。</w:t>
      </w:r>
    </w:p>
    <w:p>
      <w:r>
        <w:t>1、合理布设监测点，保证各监测点位布设的科学性和代表性；</w:t>
      </w:r>
    </w:p>
    <w:p>
      <w:r>
        <w:t>2、采样人员严格遵照采样技术规范进行采样工作，认真填写采样记录，按规定保存、运输样品；</w:t>
      </w:r>
    </w:p>
    <w:p>
      <w:r>
        <w:t>3、及时了解工况情况，确保监测过程中工况负荷满足验收要求；</w:t>
      </w:r>
    </w:p>
    <w:p>
      <w:r>
        <w:t>4、监测分析采用国家有关部门颁布的标准分析方法或推荐方法；监测人员经过考核合格并持有上岗证；所用监测仪器、量具均经过计量部门检定合格并在有效期内使用；</w:t>
      </w:r>
    </w:p>
    <w:p>
      <w:r>
        <w:t>5、现场采样和测试前，按照国家环保局发布的《环境监测质量管理技术导则》（HJ630-2011）的要求进行质量控制；</w:t>
      </w:r>
    </w:p>
    <w:p>
      <w:r>
        <w:t>6、水样、气样、噪声测定前校准仪器。以此对分析、测定结果进行质量控制；</w:t>
      </w:r>
    </w:p>
    <w:p>
      <w:r>
        <w:t>7、监测报告严格实行三级审核制度。</w:t>
      </w:r>
    </w:p>
    <w:p>
      <w:pPr>
        <w:keepNext/>
        <w:keepLines/>
        <w:tabs>
          <w:tab w:val="left" w:pos="5820"/>
        </w:tabs>
        <w:wordWrap w:val="0"/>
        <w:topLinePunct/>
        <w:adjustRightInd w:val="0"/>
        <w:ind w:firstLine="0" w:firstLineChars="0"/>
        <w:textAlignment w:val="baseline"/>
        <w:outlineLvl w:val="1"/>
        <w:rPr>
          <w:b/>
          <w:bCs/>
          <w:kern w:val="44"/>
          <w:sz w:val="30"/>
          <w:szCs w:val="30"/>
        </w:rPr>
      </w:pPr>
      <w:bookmarkStart w:id="104" w:name="_Toc519171341"/>
      <w:bookmarkStart w:id="105" w:name="_Toc25217"/>
      <w:bookmarkStart w:id="106" w:name="_Toc20465"/>
      <w:bookmarkStart w:id="107" w:name="_Toc13463"/>
      <w:bookmarkStart w:id="108" w:name="_Toc18762"/>
      <w:bookmarkStart w:id="109" w:name="_Toc5887"/>
      <w:bookmarkStart w:id="110" w:name="_Toc23955"/>
      <w:r>
        <w:rPr>
          <w:b/>
          <w:bCs/>
          <w:kern w:val="44"/>
          <w:sz w:val="30"/>
          <w:szCs w:val="30"/>
        </w:rPr>
        <w:t>8.</w:t>
      </w:r>
      <w:r>
        <w:rPr>
          <w:rFonts w:hint="eastAsia"/>
          <w:b/>
          <w:bCs/>
          <w:kern w:val="44"/>
          <w:sz w:val="30"/>
          <w:szCs w:val="30"/>
          <w:lang w:val="en-US" w:eastAsia="zh-CN"/>
        </w:rPr>
        <w:t>1</w:t>
      </w:r>
      <w:r>
        <w:rPr>
          <w:b/>
          <w:bCs/>
          <w:kern w:val="44"/>
          <w:sz w:val="30"/>
          <w:szCs w:val="30"/>
        </w:rPr>
        <w:t>人员资质</w:t>
      </w:r>
      <w:bookmarkEnd w:id="104"/>
      <w:bookmarkEnd w:id="105"/>
      <w:bookmarkEnd w:id="106"/>
      <w:bookmarkEnd w:id="107"/>
      <w:bookmarkEnd w:id="108"/>
      <w:bookmarkEnd w:id="109"/>
    </w:p>
    <w:bookmarkEnd w:id="110"/>
    <w:p>
      <w:bookmarkStart w:id="111" w:name="_Toc20133"/>
      <w:bookmarkStart w:id="112" w:name="_Toc11241"/>
      <w:r>
        <w:t>验收监测采样和测试的人员都经考核合格并持证上岗；监测数据和报告执行三级审核制度。</w:t>
      </w:r>
    </w:p>
    <w:bookmarkEnd w:id="111"/>
    <w:bookmarkEnd w:id="112"/>
    <w:p>
      <w:pPr>
        <w:ind w:firstLine="0" w:firstLineChars="0"/>
        <w:rPr>
          <w:b/>
          <w:sz w:val="32"/>
          <w:szCs w:val="32"/>
        </w:rPr>
        <w:sectPr>
          <w:pgSz w:w="11906" w:h="16838"/>
          <w:pgMar w:top="1134" w:right="1417" w:bottom="1134" w:left="1417" w:header="850" w:footer="850" w:gutter="0"/>
          <w:pgBorders>
            <w:top w:val="none" w:sz="0" w:space="0"/>
            <w:left w:val="none" w:sz="0" w:space="0"/>
            <w:bottom w:val="none" w:sz="0" w:space="0"/>
            <w:right w:val="none" w:sz="0" w:space="0"/>
          </w:pgBorders>
          <w:pgNumType w:fmt="decimal"/>
          <w:cols w:space="720" w:num="1"/>
          <w:docGrid w:type="lines" w:linePitch="416" w:charSpace="0"/>
        </w:sectPr>
      </w:pPr>
    </w:p>
    <w:p>
      <w:pPr>
        <w:keepNext/>
        <w:keepLines/>
        <w:tabs>
          <w:tab w:val="left" w:pos="5820"/>
        </w:tabs>
        <w:wordWrap w:val="0"/>
        <w:topLinePunct/>
        <w:adjustRightInd w:val="0"/>
        <w:ind w:firstLine="0" w:firstLineChars="0"/>
        <w:textAlignment w:val="baseline"/>
        <w:outlineLvl w:val="0"/>
        <w:rPr>
          <w:b/>
          <w:sz w:val="32"/>
          <w:szCs w:val="32"/>
        </w:rPr>
      </w:pPr>
      <w:bookmarkStart w:id="113" w:name="_Toc12617"/>
      <w:r>
        <w:rPr>
          <w:b/>
          <w:sz w:val="32"/>
          <w:szCs w:val="32"/>
        </w:rPr>
        <w:t>9.验收监测结果</w:t>
      </w:r>
      <w:bookmarkEnd w:id="113"/>
    </w:p>
    <w:p>
      <w:pPr>
        <w:pStyle w:val="5"/>
        <w:keepLines w:val="0"/>
        <w:numPr>
          <w:ilvl w:val="1"/>
          <w:numId w:val="0"/>
        </w:numPr>
        <w:tabs>
          <w:tab w:val="left" w:pos="1134"/>
        </w:tabs>
        <w:adjustRightInd/>
        <w:textAlignment w:val="auto"/>
        <w:rPr>
          <w:bCs/>
          <w:szCs w:val="30"/>
        </w:rPr>
      </w:pPr>
      <w:bookmarkStart w:id="114" w:name="_Toc519171345"/>
      <w:bookmarkStart w:id="115" w:name="_Toc11036"/>
      <w:bookmarkStart w:id="116" w:name="_Toc12315"/>
      <w:bookmarkStart w:id="117" w:name="_Toc2291"/>
      <w:bookmarkStart w:id="118" w:name="_Toc27768"/>
      <w:bookmarkStart w:id="119" w:name="_Toc29127"/>
      <w:bookmarkStart w:id="120" w:name="_Toc20632"/>
      <w:r>
        <w:rPr>
          <w:bCs/>
          <w:szCs w:val="30"/>
        </w:rPr>
        <w:t>9.1生产工况</w:t>
      </w:r>
      <w:bookmarkEnd w:id="114"/>
      <w:bookmarkEnd w:id="115"/>
      <w:bookmarkEnd w:id="116"/>
      <w:bookmarkEnd w:id="117"/>
      <w:bookmarkEnd w:id="118"/>
      <w:bookmarkEnd w:id="119"/>
      <w:bookmarkEnd w:id="120"/>
    </w:p>
    <w:p>
      <w:r>
        <w:t>项目验收监测期间，保证各类设备正常开启，各项环保设施正常运行。验收期间工况调查情况见表9-1。</w:t>
      </w:r>
    </w:p>
    <w:p>
      <w:pPr>
        <w:wordWrap w:val="0"/>
        <w:topLinePunct/>
        <w:spacing w:line="240" w:lineRule="auto"/>
        <w:ind w:firstLine="0" w:firstLineChars="0"/>
        <w:jc w:val="center"/>
        <w:rPr>
          <w:b/>
        </w:rPr>
      </w:pPr>
      <w:r>
        <w:rPr>
          <w:b/>
          <w:sz w:val="21"/>
          <w:szCs w:val="21"/>
        </w:rPr>
        <w:t>表9-1 验收监测工况负荷表</w:t>
      </w:r>
    </w:p>
    <w:tbl>
      <w:tblPr>
        <w:tblStyle w:val="19"/>
        <w:tblW w:w="0" w:type="auto"/>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1392"/>
        <w:gridCol w:w="2367"/>
        <w:gridCol w:w="2396"/>
        <w:gridCol w:w="162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trHeight w:val="454" w:hRule="atLeast"/>
          <w:jc w:val="center"/>
        </w:trPr>
        <w:tc>
          <w:tcPr>
            <w:tcW w:w="1508" w:type="dxa"/>
            <w:noWrap w:val="0"/>
            <w:vAlign w:val="center"/>
          </w:tcPr>
          <w:p>
            <w:pPr>
              <w:spacing w:line="300" w:lineRule="exact"/>
              <w:ind w:firstLine="0" w:firstLineChars="0"/>
              <w:jc w:val="center"/>
              <w:rPr>
                <w:b/>
                <w:sz w:val="21"/>
                <w:szCs w:val="21"/>
              </w:rPr>
            </w:pPr>
            <w:r>
              <w:rPr>
                <w:b/>
                <w:sz w:val="21"/>
                <w:szCs w:val="21"/>
              </w:rPr>
              <w:t>日期</w:t>
            </w:r>
          </w:p>
        </w:tc>
        <w:tc>
          <w:tcPr>
            <w:tcW w:w="1392" w:type="dxa"/>
            <w:noWrap w:val="0"/>
            <w:vAlign w:val="center"/>
          </w:tcPr>
          <w:p>
            <w:pPr>
              <w:spacing w:line="300" w:lineRule="exact"/>
              <w:ind w:firstLine="0" w:firstLineChars="0"/>
              <w:jc w:val="center"/>
              <w:rPr>
                <w:b/>
                <w:sz w:val="21"/>
                <w:szCs w:val="21"/>
              </w:rPr>
            </w:pPr>
            <w:r>
              <w:rPr>
                <w:b/>
                <w:sz w:val="21"/>
                <w:szCs w:val="21"/>
              </w:rPr>
              <w:t>原料</w:t>
            </w:r>
          </w:p>
        </w:tc>
        <w:tc>
          <w:tcPr>
            <w:tcW w:w="2367" w:type="dxa"/>
            <w:noWrap w:val="0"/>
            <w:vAlign w:val="center"/>
          </w:tcPr>
          <w:p>
            <w:pPr>
              <w:spacing w:line="300" w:lineRule="exact"/>
              <w:ind w:firstLine="0" w:firstLineChars="0"/>
              <w:jc w:val="center"/>
              <w:rPr>
                <w:b/>
                <w:sz w:val="21"/>
                <w:szCs w:val="21"/>
              </w:rPr>
            </w:pPr>
            <w:r>
              <w:rPr>
                <w:b/>
                <w:sz w:val="21"/>
                <w:szCs w:val="21"/>
              </w:rPr>
              <w:t>设计</w:t>
            </w:r>
            <w:r>
              <w:rPr>
                <w:rFonts w:hint="eastAsia"/>
                <w:b/>
                <w:sz w:val="21"/>
                <w:szCs w:val="21"/>
                <w:lang w:val="en-US" w:eastAsia="zh-CN"/>
              </w:rPr>
              <w:t>处理规模</w:t>
            </w:r>
            <w:r>
              <w:rPr>
                <w:b/>
                <w:sz w:val="21"/>
                <w:szCs w:val="21"/>
              </w:rPr>
              <w:t>（m</w:t>
            </w:r>
            <w:r>
              <w:rPr>
                <w:b/>
                <w:sz w:val="21"/>
                <w:szCs w:val="21"/>
                <w:vertAlign w:val="superscript"/>
              </w:rPr>
              <w:t>3</w:t>
            </w:r>
            <w:r>
              <w:rPr>
                <w:b/>
                <w:sz w:val="21"/>
                <w:szCs w:val="21"/>
              </w:rPr>
              <w:t>/d）</w:t>
            </w:r>
          </w:p>
        </w:tc>
        <w:tc>
          <w:tcPr>
            <w:tcW w:w="2396" w:type="dxa"/>
            <w:noWrap w:val="0"/>
            <w:vAlign w:val="center"/>
          </w:tcPr>
          <w:p>
            <w:pPr>
              <w:spacing w:line="300" w:lineRule="exact"/>
              <w:ind w:firstLine="0" w:firstLineChars="0"/>
              <w:jc w:val="center"/>
              <w:rPr>
                <w:b/>
                <w:sz w:val="21"/>
                <w:szCs w:val="21"/>
              </w:rPr>
            </w:pPr>
            <w:r>
              <w:rPr>
                <w:b/>
                <w:sz w:val="21"/>
                <w:szCs w:val="21"/>
              </w:rPr>
              <w:t>实际</w:t>
            </w:r>
            <w:r>
              <w:rPr>
                <w:rFonts w:hint="eastAsia"/>
                <w:b/>
                <w:sz w:val="21"/>
                <w:szCs w:val="21"/>
                <w:lang w:val="en-US" w:eastAsia="zh-CN"/>
              </w:rPr>
              <w:t>处理规模</w:t>
            </w:r>
            <w:r>
              <w:rPr>
                <w:b/>
                <w:sz w:val="21"/>
                <w:szCs w:val="21"/>
              </w:rPr>
              <w:t>（m</w:t>
            </w:r>
            <w:r>
              <w:rPr>
                <w:b/>
                <w:sz w:val="21"/>
                <w:szCs w:val="21"/>
                <w:vertAlign w:val="superscript"/>
              </w:rPr>
              <w:t>3</w:t>
            </w:r>
            <w:r>
              <w:rPr>
                <w:b/>
                <w:sz w:val="21"/>
                <w:szCs w:val="21"/>
              </w:rPr>
              <w:t>/d）</w:t>
            </w:r>
          </w:p>
        </w:tc>
        <w:tc>
          <w:tcPr>
            <w:tcW w:w="1625" w:type="dxa"/>
            <w:noWrap w:val="0"/>
            <w:vAlign w:val="center"/>
          </w:tcPr>
          <w:p>
            <w:pPr>
              <w:spacing w:line="300" w:lineRule="exact"/>
              <w:ind w:firstLine="0" w:firstLineChars="0"/>
              <w:jc w:val="center"/>
              <w:rPr>
                <w:rFonts w:hint="eastAsia"/>
                <w:b/>
                <w:sz w:val="21"/>
                <w:szCs w:val="21"/>
              </w:rPr>
            </w:pPr>
            <w:r>
              <w:rPr>
                <w:b/>
                <w:sz w:val="21"/>
                <w:szCs w:val="21"/>
              </w:rPr>
              <w:t>工况负荷</w:t>
            </w:r>
            <w:r>
              <w:rPr>
                <w:rFonts w:hint="eastAsia"/>
                <w:b/>
                <w:sz w:val="21"/>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8" w:type="dxa"/>
            <w:noWrap w:val="0"/>
            <w:vAlign w:val="center"/>
          </w:tcPr>
          <w:p>
            <w:pPr>
              <w:spacing w:line="300" w:lineRule="exact"/>
              <w:ind w:firstLine="0" w:firstLineChars="0"/>
              <w:jc w:val="center"/>
              <w:rPr>
                <w:rFonts w:hint="default" w:eastAsia="宋体"/>
                <w:sz w:val="21"/>
                <w:szCs w:val="21"/>
                <w:lang w:val="en-US" w:eastAsia="zh-CN"/>
              </w:rPr>
            </w:pPr>
            <w:r>
              <w:rPr>
                <w:rFonts w:hint="eastAsia"/>
                <w:sz w:val="21"/>
                <w:szCs w:val="21"/>
                <w:lang w:val="en-US" w:eastAsia="zh-CN"/>
              </w:rPr>
              <w:t>2022-5-24</w:t>
            </w:r>
          </w:p>
        </w:tc>
        <w:tc>
          <w:tcPr>
            <w:tcW w:w="1392" w:type="dxa"/>
            <w:vMerge w:val="restart"/>
            <w:noWrap w:val="0"/>
            <w:vAlign w:val="center"/>
          </w:tcPr>
          <w:p>
            <w:pPr>
              <w:spacing w:line="300" w:lineRule="exact"/>
              <w:ind w:firstLine="0" w:firstLineChars="0"/>
              <w:jc w:val="center"/>
              <w:rPr>
                <w:rFonts w:hint="eastAsia" w:eastAsia="宋体"/>
                <w:sz w:val="21"/>
                <w:szCs w:val="21"/>
                <w:lang w:eastAsia="zh-CN"/>
              </w:rPr>
            </w:pPr>
            <w:r>
              <w:rPr>
                <w:rFonts w:hint="eastAsia"/>
                <w:sz w:val="21"/>
                <w:szCs w:val="21"/>
                <w:lang w:val="en-US" w:eastAsia="zh-CN"/>
              </w:rPr>
              <w:t>废水</w:t>
            </w:r>
          </w:p>
        </w:tc>
        <w:tc>
          <w:tcPr>
            <w:tcW w:w="2367" w:type="dxa"/>
            <w:vMerge w:val="restart"/>
            <w:noWrap w:val="0"/>
            <w:vAlign w:val="center"/>
          </w:tcPr>
          <w:p>
            <w:pPr>
              <w:spacing w:line="300" w:lineRule="exact"/>
              <w:ind w:firstLine="0" w:firstLineChars="0"/>
              <w:jc w:val="center"/>
              <w:rPr>
                <w:rFonts w:hint="default" w:eastAsia="宋体"/>
                <w:sz w:val="21"/>
                <w:szCs w:val="21"/>
                <w:lang w:val="en-US" w:eastAsia="zh-CN"/>
              </w:rPr>
            </w:pPr>
            <w:r>
              <w:rPr>
                <w:rFonts w:hint="eastAsia"/>
                <w:sz w:val="21"/>
                <w:szCs w:val="21"/>
                <w:lang w:val="en-US" w:eastAsia="zh-CN"/>
              </w:rPr>
              <w:t>1000</w:t>
            </w:r>
          </w:p>
        </w:tc>
        <w:tc>
          <w:tcPr>
            <w:tcW w:w="2396" w:type="dxa"/>
            <w:noWrap w:val="0"/>
            <w:vAlign w:val="center"/>
          </w:tcPr>
          <w:p>
            <w:pPr>
              <w:spacing w:line="300" w:lineRule="exact"/>
              <w:ind w:firstLine="0" w:firstLineChars="0"/>
              <w:jc w:val="center"/>
              <w:rPr>
                <w:rFonts w:hint="default" w:eastAsia="宋体"/>
                <w:sz w:val="21"/>
                <w:szCs w:val="21"/>
                <w:lang w:val="en-US" w:eastAsia="zh-CN"/>
              </w:rPr>
            </w:pPr>
            <w:r>
              <w:rPr>
                <w:rFonts w:hint="eastAsia"/>
                <w:sz w:val="21"/>
                <w:szCs w:val="21"/>
                <w:lang w:val="en-US" w:eastAsia="zh-CN"/>
              </w:rPr>
              <w:t>1066</w:t>
            </w:r>
          </w:p>
        </w:tc>
        <w:tc>
          <w:tcPr>
            <w:tcW w:w="1625" w:type="dxa"/>
            <w:noWrap w:val="0"/>
            <w:vAlign w:val="center"/>
          </w:tcPr>
          <w:p>
            <w:pPr>
              <w:spacing w:line="300" w:lineRule="exact"/>
              <w:ind w:firstLine="0" w:firstLineChars="0"/>
              <w:jc w:val="center"/>
              <w:rPr>
                <w:rFonts w:hint="default" w:eastAsia="宋体"/>
                <w:sz w:val="21"/>
                <w:szCs w:val="21"/>
                <w:lang w:val="en-US" w:eastAsia="zh-CN"/>
              </w:rPr>
            </w:pPr>
            <w:r>
              <w:rPr>
                <w:rFonts w:hint="eastAsia"/>
                <w:sz w:val="21"/>
                <w:szCs w:val="21"/>
                <w:lang w:val="en-US" w:eastAsia="zh-CN"/>
              </w:rPr>
              <w:t>106.6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8" w:type="dxa"/>
            <w:noWrap w:val="0"/>
            <w:vAlign w:val="center"/>
          </w:tcPr>
          <w:p>
            <w:pPr>
              <w:spacing w:line="300" w:lineRule="exact"/>
              <w:ind w:firstLine="0" w:firstLineChars="0"/>
              <w:jc w:val="center"/>
              <w:rPr>
                <w:rFonts w:hint="default" w:eastAsia="宋体"/>
                <w:sz w:val="21"/>
                <w:szCs w:val="21"/>
                <w:lang w:val="en-US" w:eastAsia="zh-CN"/>
              </w:rPr>
            </w:pPr>
            <w:r>
              <w:rPr>
                <w:rFonts w:hint="eastAsia"/>
                <w:sz w:val="21"/>
                <w:szCs w:val="21"/>
                <w:lang w:val="en-US" w:eastAsia="zh-CN"/>
              </w:rPr>
              <w:t>2022-5-25</w:t>
            </w:r>
          </w:p>
        </w:tc>
        <w:tc>
          <w:tcPr>
            <w:tcW w:w="1392" w:type="dxa"/>
            <w:vMerge w:val="continue"/>
            <w:noWrap w:val="0"/>
            <w:vAlign w:val="center"/>
          </w:tcPr>
          <w:p>
            <w:pPr>
              <w:spacing w:line="300" w:lineRule="exact"/>
              <w:ind w:firstLine="0" w:firstLineChars="0"/>
              <w:jc w:val="center"/>
              <w:rPr>
                <w:sz w:val="21"/>
                <w:szCs w:val="21"/>
              </w:rPr>
            </w:pPr>
          </w:p>
        </w:tc>
        <w:tc>
          <w:tcPr>
            <w:tcW w:w="2367" w:type="dxa"/>
            <w:vMerge w:val="continue"/>
            <w:noWrap w:val="0"/>
            <w:vAlign w:val="center"/>
          </w:tcPr>
          <w:p>
            <w:pPr>
              <w:spacing w:line="300" w:lineRule="exact"/>
              <w:ind w:firstLine="0" w:firstLineChars="0"/>
              <w:jc w:val="center"/>
              <w:rPr>
                <w:sz w:val="21"/>
                <w:szCs w:val="21"/>
              </w:rPr>
            </w:pPr>
          </w:p>
        </w:tc>
        <w:tc>
          <w:tcPr>
            <w:tcW w:w="2396" w:type="dxa"/>
            <w:noWrap w:val="0"/>
            <w:vAlign w:val="center"/>
          </w:tcPr>
          <w:p>
            <w:pPr>
              <w:spacing w:line="300" w:lineRule="exact"/>
              <w:ind w:firstLine="0" w:firstLineChars="0"/>
              <w:jc w:val="center"/>
              <w:rPr>
                <w:rFonts w:hint="default" w:eastAsia="宋体"/>
                <w:sz w:val="21"/>
                <w:szCs w:val="21"/>
                <w:lang w:val="en-US" w:eastAsia="zh-CN"/>
              </w:rPr>
            </w:pPr>
            <w:r>
              <w:rPr>
                <w:rFonts w:hint="eastAsia"/>
                <w:sz w:val="21"/>
                <w:szCs w:val="21"/>
                <w:lang w:val="en-US" w:eastAsia="zh-CN"/>
              </w:rPr>
              <w:t>795</w:t>
            </w:r>
          </w:p>
        </w:tc>
        <w:tc>
          <w:tcPr>
            <w:tcW w:w="1625" w:type="dxa"/>
            <w:noWrap w:val="0"/>
            <w:vAlign w:val="center"/>
          </w:tcPr>
          <w:p>
            <w:pPr>
              <w:spacing w:line="300" w:lineRule="exact"/>
              <w:ind w:firstLine="0" w:firstLineChars="0"/>
              <w:jc w:val="center"/>
              <w:rPr>
                <w:rFonts w:hint="default" w:eastAsia="宋体"/>
                <w:sz w:val="21"/>
                <w:szCs w:val="21"/>
                <w:lang w:val="en-US" w:eastAsia="zh-CN"/>
              </w:rPr>
            </w:pPr>
            <w:r>
              <w:rPr>
                <w:rFonts w:hint="eastAsia"/>
                <w:sz w:val="21"/>
                <w:szCs w:val="21"/>
                <w:lang w:val="en-US" w:eastAsia="zh-CN"/>
              </w:rPr>
              <w:t>79.5</w:t>
            </w:r>
          </w:p>
        </w:tc>
      </w:tr>
    </w:tbl>
    <w:p>
      <w:bookmarkStart w:id="121" w:name="_Toc519171346"/>
      <w:bookmarkStart w:id="122" w:name="_Toc12011"/>
      <w:r>
        <w:t>验收监测期间，项目正常运行，满足验收监测工况的要求，工况证明</w:t>
      </w:r>
      <w:r>
        <w:rPr>
          <w:rFonts w:hint="eastAsia"/>
        </w:rPr>
        <w:t>及工况核查表</w:t>
      </w:r>
      <w:r>
        <w:t>详见附件10。</w:t>
      </w:r>
    </w:p>
    <w:bookmarkEnd w:id="121"/>
    <w:bookmarkEnd w:id="122"/>
    <w:p>
      <w:pPr>
        <w:pStyle w:val="5"/>
        <w:keepLines w:val="0"/>
        <w:numPr>
          <w:ilvl w:val="1"/>
          <w:numId w:val="0"/>
        </w:numPr>
        <w:tabs>
          <w:tab w:val="left" w:pos="1134"/>
        </w:tabs>
        <w:adjustRightInd/>
        <w:textAlignment w:val="auto"/>
        <w:rPr>
          <w:bCs/>
          <w:szCs w:val="30"/>
        </w:rPr>
      </w:pPr>
      <w:bookmarkStart w:id="123" w:name="_Toc3089"/>
      <w:r>
        <w:rPr>
          <w:bCs/>
          <w:szCs w:val="30"/>
        </w:rPr>
        <w:t>9.2环保设施运行效果</w:t>
      </w:r>
      <w:bookmarkEnd w:id="123"/>
    </w:p>
    <w:p>
      <w:pPr>
        <w:pStyle w:val="6"/>
        <w:wordWrap w:val="0"/>
        <w:topLinePunct/>
        <w:jc w:val="both"/>
        <w:rPr>
          <w:kern w:val="2"/>
          <w:szCs w:val="28"/>
        </w:rPr>
      </w:pPr>
      <w:r>
        <w:rPr>
          <w:kern w:val="2"/>
          <w:szCs w:val="28"/>
        </w:rPr>
        <w:t>9.2.1环保设施处理效率监测结果</w:t>
      </w:r>
    </w:p>
    <w:p>
      <w:r>
        <w:t>治理设施主要污染物处理效率见表9-2。</w:t>
      </w:r>
    </w:p>
    <w:p>
      <w:pPr>
        <w:pStyle w:val="28"/>
        <w:ind w:firstLine="482"/>
      </w:pPr>
      <w:r>
        <w:t xml:space="preserve">表9-2  </w:t>
      </w:r>
      <w:r>
        <w:rPr>
          <w:rFonts w:hint="eastAsia"/>
          <w:lang w:val="en-US" w:eastAsia="zh-CN"/>
        </w:rPr>
        <w:t>主要污染物</w:t>
      </w:r>
      <w:r>
        <w:t>处理效率</w:t>
      </w:r>
    </w:p>
    <w:tbl>
      <w:tblPr>
        <w:tblStyle w:val="19"/>
        <w:tblW w:w="0" w:type="auto"/>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2955"/>
        <w:gridCol w:w="3075"/>
        <w:gridCol w:w="175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8" w:type="dxa"/>
            <w:noWrap w:val="0"/>
            <w:vAlign w:val="center"/>
          </w:tcPr>
          <w:p>
            <w:pPr>
              <w:spacing w:line="300" w:lineRule="exact"/>
              <w:ind w:firstLine="0" w:firstLineChars="0"/>
              <w:jc w:val="center"/>
              <w:rPr>
                <w:b/>
                <w:color w:val="000000"/>
                <w:sz w:val="21"/>
                <w:szCs w:val="21"/>
              </w:rPr>
            </w:pPr>
            <w:r>
              <w:rPr>
                <w:b/>
                <w:color w:val="000000"/>
                <w:sz w:val="21"/>
                <w:szCs w:val="21"/>
              </w:rPr>
              <w:t>项目</w:t>
            </w:r>
          </w:p>
        </w:tc>
        <w:tc>
          <w:tcPr>
            <w:tcW w:w="2955" w:type="dxa"/>
            <w:noWrap w:val="0"/>
            <w:vAlign w:val="center"/>
          </w:tcPr>
          <w:p>
            <w:pPr>
              <w:spacing w:line="300" w:lineRule="exact"/>
              <w:ind w:firstLine="0" w:firstLineChars="0"/>
              <w:jc w:val="center"/>
              <w:rPr>
                <w:rFonts w:hint="eastAsia"/>
                <w:b/>
                <w:color w:val="000000"/>
                <w:sz w:val="21"/>
                <w:szCs w:val="21"/>
              </w:rPr>
            </w:pPr>
            <w:r>
              <w:rPr>
                <w:b/>
                <w:color w:val="000000"/>
                <w:sz w:val="21"/>
                <w:szCs w:val="21"/>
              </w:rPr>
              <w:t>进水日均浓度</w:t>
            </w:r>
            <w:r>
              <w:rPr>
                <w:rFonts w:hint="eastAsia"/>
                <w:b/>
                <w:color w:val="000000"/>
                <w:sz w:val="21"/>
                <w:szCs w:val="21"/>
              </w:rPr>
              <w:t>（mg/L）</w:t>
            </w:r>
          </w:p>
        </w:tc>
        <w:tc>
          <w:tcPr>
            <w:tcW w:w="3075" w:type="dxa"/>
            <w:noWrap w:val="0"/>
            <w:vAlign w:val="center"/>
          </w:tcPr>
          <w:p>
            <w:pPr>
              <w:spacing w:line="300" w:lineRule="exact"/>
              <w:ind w:firstLine="0" w:firstLineChars="0"/>
              <w:jc w:val="center"/>
              <w:rPr>
                <w:b/>
                <w:color w:val="000000"/>
                <w:sz w:val="21"/>
                <w:szCs w:val="21"/>
              </w:rPr>
            </w:pPr>
            <w:r>
              <w:rPr>
                <w:b/>
                <w:color w:val="000000"/>
                <w:sz w:val="21"/>
                <w:szCs w:val="21"/>
              </w:rPr>
              <w:t>出水日均浓度（mg/L）</w:t>
            </w:r>
          </w:p>
        </w:tc>
        <w:tc>
          <w:tcPr>
            <w:tcW w:w="1750" w:type="dxa"/>
            <w:noWrap w:val="0"/>
            <w:vAlign w:val="center"/>
          </w:tcPr>
          <w:p>
            <w:pPr>
              <w:spacing w:line="300" w:lineRule="exact"/>
              <w:ind w:firstLine="0" w:firstLineChars="0"/>
              <w:jc w:val="center"/>
              <w:rPr>
                <w:rFonts w:hint="eastAsia"/>
                <w:b/>
                <w:color w:val="000000"/>
                <w:sz w:val="21"/>
                <w:szCs w:val="21"/>
              </w:rPr>
            </w:pPr>
            <w:r>
              <w:rPr>
                <w:b/>
                <w:color w:val="000000"/>
                <w:sz w:val="21"/>
                <w:szCs w:val="21"/>
              </w:rPr>
              <w:t>处理效率</w:t>
            </w:r>
            <w:r>
              <w:rPr>
                <w:rFonts w:hint="eastAsia"/>
                <w:b/>
                <w:color w:val="000000"/>
                <w:sz w:val="21"/>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8" w:type="dxa"/>
            <w:noWrap w:val="0"/>
            <w:vAlign w:val="center"/>
          </w:tcPr>
          <w:p>
            <w:pPr>
              <w:spacing w:line="300" w:lineRule="exact"/>
              <w:ind w:firstLine="0" w:firstLineChars="0"/>
              <w:jc w:val="center"/>
              <w:rPr>
                <w:color w:val="000000"/>
                <w:sz w:val="21"/>
                <w:szCs w:val="21"/>
              </w:rPr>
            </w:pPr>
            <w:r>
              <w:rPr>
                <w:color w:val="000000"/>
                <w:sz w:val="21"/>
                <w:szCs w:val="21"/>
              </w:rPr>
              <w:t>化学需氧量</w:t>
            </w:r>
          </w:p>
        </w:tc>
        <w:tc>
          <w:tcPr>
            <w:tcW w:w="2955" w:type="dxa"/>
            <w:noWrap w:val="0"/>
            <w:vAlign w:val="center"/>
          </w:tcPr>
          <w:p>
            <w:pPr>
              <w:spacing w:line="300" w:lineRule="exact"/>
              <w:ind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160.38</w:t>
            </w:r>
          </w:p>
        </w:tc>
        <w:tc>
          <w:tcPr>
            <w:tcW w:w="3075" w:type="dxa"/>
            <w:noWrap w:val="0"/>
            <w:vAlign w:val="center"/>
          </w:tcPr>
          <w:p>
            <w:pPr>
              <w:spacing w:line="300" w:lineRule="exact"/>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27.95</w:t>
            </w:r>
          </w:p>
        </w:tc>
        <w:tc>
          <w:tcPr>
            <w:tcW w:w="1750" w:type="dxa"/>
            <w:noWrap w:val="0"/>
            <w:vAlign w:val="center"/>
          </w:tcPr>
          <w:p>
            <w:pPr>
              <w:spacing w:line="300" w:lineRule="exact"/>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82.57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8" w:type="dxa"/>
            <w:noWrap w:val="0"/>
            <w:vAlign w:val="center"/>
          </w:tcPr>
          <w:p>
            <w:pPr>
              <w:spacing w:line="300" w:lineRule="exact"/>
              <w:ind w:firstLine="0" w:firstLineChars="0"/>
              <w:jc w:val="center"/>
              <w:rPr>
                <w:color w:val="000000"/>
                <w:sz w:val="21"/>
                <w:szCs w:val="21"/>
              </w:rPr>
            </w:pPr>
            <w:r>
              <w:rPr>
                <w:color w:val="000000"/>
                <w:sz w:val="21"/>
                <w:szCs w:val="21"/>
              </w:rPr>
              <w:t>氨氮</w:t>
            </w:r>
          </w:p>
        </w:tc>
        <w:tc>
          <w:tcPr>
            <w:tcW w:w="2955" w:type="dxa"/>
            <w:noWrap w:val="0"/>
            <w:vAlign w:val="center"/>
          </w:tcPr>
          <w:p>
            <w:pPr>
              <w:spacing w:line="300" w:lineRule="exact"/>
              <w:ind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18.65</w:t>
            </w:r>
          </w:p>
        </w:tc>
        <w:tc>
          <w:tcPr>
            <w:tcW w:w="3075" w:type="dxa"/>
            <w:noWrap w:val="0"/>
            <w:vAlign w:val="center"/>
          </w:tcPr>
          <w:p>
            <w:pPr>
              <w:spacing w:line="300" w:lineRule="exact"/>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1.05</w:t>
            </w:r>
          </w:p>
        </w:tc>
        <w:tc>
          <w:tcPr>
            <w:tcW w:w="1750" w:type="dxa"/>
            <w:noWrap w:val="0"/>
            <w:vAlign w:val="center"/>
          </w:tcPr>
          <w:p>
            <w:pPr>
              <w:spacing w:line="300" w:lineRule="exact"/>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94.37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8" w:type="dxa"/>
            <w:noWrap w:val="0"/>
            <w:vAlign w:val="center"/>
          </w:tcPr>
          <w:p>
            <w:pPr>
              <w:spacing w:line="300" w:lineRule="exact"/>
              <w:ind w:firstLine="0" w:firstLineChars="0"/>
              <w:jc w:val="center"/>
              <w:rPr>
                <w:color w:val="000000"/>
                <w:sz w:val="21"/>
                <w:szCs w:val="21"/>
              </w:rPr>
            </w:pPr>
            <w:r>
              <w:rPr>
                <w:color w:val="000000"/>
                <w:sz w:val="21"/>
                <w:szCs w:val="21"/>
              </w:rPr>
              <w:t>总磷</w:t>
            </w:r>
          </w:p>
        </w:tc>
        <w:tc>
          <w:tcPr>
            <w:tcW w:w="2955" w:type="dxa"/>
            <w:noWrap w:val="0"/>
            <w:vAlign w:val="center"/>
          </w:tcPr>
          <w:p>
            <w:pPr>
              <w:spacing w:line="300" w:lineRule="exact"/>
              <w:ind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0.22</w:t>
            </w:r>
          </w:p>
        </w:tc>
        <w:tc>
          <w:tcPr>
            <w:tcW w:w="3075" w:type="dxa"/>
            <w:noWrap w:val="0"/>
            <w:vAlign w:val="center"/>
          </w:tcPr>
          <w:p>
            <w:pPr>
              <w:spacing w:line="300" w:lineRule="exact"/>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0.11</w:t>
            </w:r>
          </w:p>
        </w:tc>
        <w:tc>
          <w:tcPr>
            <w:tcW w:w="1750" w:type="dxa"/>
            <w:noWrap w:val="0"/>
            <w:vAlign w:val="center"/>
          </w:tcPr>
          <w:p>
            <w:pPr>
              <w:spacing w:line="300" w:lineRule="exact"/>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50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8" w:type="dxa"/>
            <w:noWrap w:val="0"/>
            <w:vAlign w:val="center"/>
          </w:tcPr>
          <w:p>
            <w:pPr>
              <w:spacing w:line="300" w:lineRule="exact"/>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总氮</w:t>
            </w:r>
          </w:p>
        </w:tc>
        <w:tc>
          <w:tcPr>
            <w:tcW w:w="2955" w:type="dxa"/>
            <w:noWrap w:val="0"/>
            <w:vAlign w:val="center"/>
          </w:tcPr>
          <w:p>
            <w:pPr>
              <w:spacing w:line="300" w:lineRule="exact"/>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34.04</w:t>
            </w:r>
          </w:p>
        </w:tc>
        <w:tc>
          <w:tcPr>
            <w:tcW w:w="3075" w:type="dxa"/>
            <w:noWrap w:val="0"/>
            <w:vAlign w:val="center"/>
          </w:tcPr>
          <w:p>
            <w:pPr>
              <w:spacing w:line="300" w:lineRule="exact"/>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2.38</w:t>
            </w:r>
          </w:p>
        </w:tc>
        <w:tc>
          <w:tcPr>
            <w:tcW w:w="1750" w:type="dxa"/>
            <w:noWrap w:val="0"/>
            <w:vAlign w:val="center"/>
          </w:tcPr>
          <w:p>
            <w:pPr>
              <w:spacing w:line="300" w:lineRule="exact"/>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93.01</w:t>
            </w:r>
          </w:p>
        </w:tc>
      </w:tr>
    </w:tbl>
    <w:p>
      <w:pPr>
        <w:spacing w:line="300" w:lineRule="exact"/>
        <w:ind w:firstLine="0" w:firstLineChars="0"/>
        <w:rPr>
          <w:bCs/>
          <w:sz w:val="21"/>
          <w:szCs w:val="21"/>
        </w:rPr>
      </w:pPr>
      <w:r>
        <w:rPr>
          <w:bCs/>
          <w:sz w:val="21"/>
          <w:szCs w:val="21"/>
        </w:rPr>
        <w:t>备注：处理效率=（进水日均浓度－出水日均浓度）/进水日均浓度</w:t>
      </w:r>
      <w:r>
        <w:rPr>
          <w:rFonts w:hint="eastAsia"/>
          <w:bCs/>
          <w:sz w:val="21"/>
          <w:szCs w:val="21"/>
        </w:rPr>
        <w:t>×100%</w:t>
      </w:r>
      <w:r>
        <w:rPr>
          <w:bCs/>
          <w:sz w:val="21"/>
          <w:szCs w:val="21"/>
        </w:rPr>
        <w:t>。</w:t>
      </w:r>
    </w:p>
    <w:p>
      <w:pPr>
        <w:pStyle w:val="6"/>
        <w:wordWrap w:val="0"/>
        <w:topLinePunct/>
        <w:jc w:val="both"/>
        <w:rPr>
          <w:kern w:val="2"/>
          <w:szCs w:val="28"/>
        </w:rPr>
      </w:pPr>
      <w:r>
        <w:rPr>
          <w:kern w:val="2"/>
          <w:szCs w:val="28"/>
        </w:rPr>
        <w:t>9.2.2污染物排放监测结果</w:t>
      </w:r>
    </w:p>
    <w:p>
      <w:pPr>
        <w:pStyle w:val="7"/>
        <w:numPr>
          <w:ilvl w:val="0"/>
          <w:numId w:val="0"/>
        </w:numPr>
      </w:pPr>
      <w:r>
        <w:t>9.2.2.1废水</w:t>
      </w:r>
    </w:p>
    <w:p>
      <w:r>
        <w:t>项目进水水质监测结果见表9-3；</w:t>
      </w:r>
    </w:p>
    <w:p>
      <w:pPr>
        <w:widowControl/>
        <w:tabs>
          <w:tab w:val="left" w:pos="1230"/>
        </w:tabs>
        <w:wordWrap w:val="0"/>
        <w:topLinePunct/>
        <w:spacing w:line="240" w:lineRule="auto"/>
        <w:ind w:firstLine="0" w:firstLineChars="0"/>
        <w:jc w:val="center"/>
        <w:rPr>
          <w:b/>
          <w:color w:val="000000"/>
          <w:sz w:val="21"/>
          <w:szCs w:val="21"/>
        </w:rPr>
      </w:pPr>
    </w:p>
    <w:p>
      <w:pPr>
        <w:widowControl/>
        <w:tabs>
          <w:tab w:val="left" w:pos="1230"/>
        </w:tabs>
        <w:wordWrap w:val="0"/>
        <w:topLinePunct/>
        <w:spacing w:line="240" w:lineRule="auto"/>
        <w:ind w:firstLine="0" w:firstLineChars="0"/>
        <w:jc w:val="center"/>
        <w:rPr>
          <w:b/>
          <w:color w:val="000000"/>
          <w:sz w:val="21"/>
          <w:szCs w:val="21"/>
        </w:rPr>
      </w:pPr>
    </w:p>
    <w:p>
      <w:pPr>
        <w:widowControl/>
        <w:tabs>
          <w:tab w:val="left" w:pos="1230"/>
        </w:tabs>
        <w:wordWrap w:val="0"/>
        <w:topLinePunct/>
        <w:spacing w:line="240" w:lineRule="auto"/>
        <w:ind w:firstLine="0" w:firstLineChars="0"/>
        <w:jc w:val="center"/>
        <w:rPr>
          <w:b/>
          <w:color w:val="000000"/>
          <w:sz w:val="21"/>
          <w:szCs w:val="21"/>
        </w:rPr>
      </w:pPr>
    </w:p>
    <w:p>
      <w:pPr>
        <w:widowControl/>
        <w:tabs>
          <w:tab w:val="left" w:pos="1230"/>
        </w:tabs>
        <w:wordWrap w:val="0"/>
        <w:topLinePunct/>
        <w:spacing w:line="240" w:lineRule="auto"/>
        <w:ind w:firstLine="0" w:firstLineChars="0"/>
        <w:jc w:val="center"/>
        <w:rPr>
          <w:b/>
          <w:color w:val="000000"/>
          <w:sz w:val="21"/>
          <w:szCs w:val="21"/>
        </w:rPr>
      </w:pPr>
    </w:p>
    <w:p>
      <w:pPr>
        <w:widowControl/>
        <w:tabs>
          <w:tab w:val="left" w:pos="1230"/>
        </w:tabs>
        <w:wordWrap w:val="0"/>
        <w:topLinePunct/>
        <w:spacing w:line="240" w:lineRule="auto"/>
        <w:ind w:firstLine="0" w:firstLineChars="0"/>
        <w:jc w:val="center"/>
        <w:rPr>
          <w:b/>
          <w:color w:val="000000"/>
          <w:sz w:val="21"/>
          <w:szCs w:val="21"/>
        </w:rPr>
      </w:pPr>
    </w:p>
    <w:p>
      <w:pPr>
        <w:widowControl/>
        <w:tabs>
          <w:tab w:val="left" w:pos="1230"/>
        </w:tabs>
        <w:wordWrap w:val="0"/>
        <w:topLinePunct/>
        <w:spacing w:line="240" w:lineRule="auto"/>
        <w:ind w:firstLine="0" w:firstLineChars="0"/>
        <w:jc w:val="center"/>
        <w:rPr>
          <w:b/>
          <w:color w:val="000000"/>
          <w:sz w:val="21"/>
          <w:szCs w:val="21"/>
        </w:rPr>
      </w:pPr>
      <w:r>
        <w:rPr>
          <w:b/>
          <w:color w:val="000000"/>
          <w:sz w:val="21"/>
          <w:szCs w:val="21"/>
        </w:rPr>
        <w:t>表9-3  污水处理厂进水水质监测结果</w:t>
      </w:r>
    </w:p>
    <w:tbl>
      <w:tblPr>
        <w:tblStyle w:val="19"/>
        <w:tblW w:w="4998"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180"/>
        <w:gridCol w:w="1838"/>
        <w:gridCol w:w="1146"/>
        <w:gridCol w:w="1146"/>
        <w:gridCol w:w="1146"/>
        <w:gridCol w:w="1152"/>
        <w:gridCol w:w="99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66" w:type="pct"/>
            <w:vMerge w:val="restart"/>
            <w:noWrap w:val="0"/>
            <w:vAlign w:val="center"/>
          </w:tcPr>
          <w:p>
            <w:pPr>
              <w:pStyle w:val="29"/>
              <w:bidi w:val="0"/>
              <w:rPr>
                <w:b/>
                <w:bCs/>
              </w:rPr>
            </w:pPr>
            <w:r>
              <w:rPr>
                <w:b/>
                <w:bCs/>
              </w:rPr>
              <w:t>点位编号</w:t>
            </w:r>
          </w:p>
        </w:tc>
        <w:tc>
          <w:tcPr>
            <w:tcW w:w="635" w:type="pct"/>
            <w:vMerge w:val="restart"/>
            <w:noWrap w:val="0"/>
            <w:vAlign w:val="center"/>
          </w:tcPr>
          <w:p>
            <w:pPr>
              <w:pStyle w:val="29"/>
              <w:bidi w:val="0"/>
              <w:rPr>
                <w:b/>
                <w:bCs/>
              </w:rPr>
            </w:pPr>
            <w:r>
              <w:rPr>
                <w:b/>
                <w:bCs/>
              </w:rPr>
              <w:t>监测日期</w:t>
            </w:r>
          </w:p>
        </w:tc>
        <w:tc>
          <w:tcPr>
            <w:tcW w:w="989" w:type="pct"/>
            <w:vMerge w:val="restart"/>
            <w:noWrap w:val="0"/>
            <w:vAlign w:val="center"/>
          </w:tcPr>
          <w:p>
            <w:pPr>
              <w:pStyle w:val="29"/>
              <w:bidi w:val="0"/>
              <w:rPr>
                <w:b/>
                <w:bCs/>
              </w:rPr>
            </w:pPr>
            <w:r>
              <w:rPr>
                <w:b/>
                <w:bCs/>
              </w:rPr>
              <w:t>监测项目</w:t>
            </w:r>
          </w:p>
        </w:tc>
        <w:tc>
          <w:tcPr>
            <w:tcW w:w="2471" w:type="pct"/>
            <w:gridSpan w:val="4"/>
            <w:noWrap w:val="0"/>
            <w:vAlign w:val="center"/>
          </w:tcPr>
          <w:p>
            <w:pPr>
              <w:pStyle w:val="29"/>
              <w:bidi w:val="0"/>
              <w:rPr>
                <w:b/>
                <w:bCs/>
              </w:rPr>
            </w:pPr>
            <w:r>
              <w:rPr>
                <w:b/>
                <w:bCs/>
              </w:rPr>
              <w:t>监测结果</w:t>
            </w:r>
          </w:p>
        </w:tc>
        <w:tc>
          <w:tcPr>
            <w:tcW w:w="536" w:type="pct"/>
            <w:vMerge w:val="restart"/>
            <w:noWrap w:val="0"/>
            <w:vAlign w:val="center"/>
          </w:tcPr>
          <w:p>
            <w:pPr>
              <w:pStyle w:val="29"/>
              <w:bidi w:val="0"/>
              <w:rPr>
                <w:b/>
                <w:bCs/>
              </w:rPr>
            </w:pPr>
            <w:r>
              <w:rPr>
                <w:b/>
                <w:bCs/>
              </w:rPr>
              <w:t>单位</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66" w:type="pct"/>
            <w:vMerge w:val="continue"/>
            <w:noWrap w:val="0"/>
            <w:vAlign w:val="center"/>
          </w:tcPr>
          <w:p>
            <w:pPr>
              <w:pStyle w:val="29"/>
              <w:bidi w:val="0"/>
              <w:rPr>
                <w:b/>
                <w:bCs/>
              </w:rPr>
            </w:pPr>
          </w:p>
        </w:tc>
        <w:tc>
          <w:tcPr>
            <w:tcW w:w="635" w:type="pct"/>
            <w:vMerge w:val="continue"/>
            <w:noWrap w:val="0"/>
            <w:vAlign w:val="center"/>
          </w:tcPr>
          <w:p>
            <w:pPr>
              <w:pStyle w:val="29"/>
              <w:bidi w:val="0"/>
              <w:rPr>
                <w:b/>
                <w:bCs/>
              </w:rPr>
            </w:pPr>
          </w:p>
        </w:tc>
        <w:tc>
          <w:tcPr>
            <w:tcW w:w="989" w:type="pct"/>
            <w:vMerge w:val="continue"/>
            <w:noWrap w:val="0"/>
            <w:vAlign w:val="center"/>
          </w:tcPr>
          <w:p>
            <w:pPr>
              <w:pStyle w:val="29"/>
              <w:bidi w:val="0"/>
              <w:rPr>
                <w:b/>
                <w:bCs/>
              </w:rPr>
            </w:pPr>
          </w:p>
        </w:tc>
        <w:tc>
          <w:tcPr>
            <w:tcW w:w="617" w:type="pct"/>
            <w:noWrap w:val="0"/>
            <w:vAlign w:val="center"/>
          </w:tcPr>
          <w:p>
            <w:pPr>
              <w:pStyle w:val="29"/>
              <w:bidi w:val="0"/>
              <w:rPr>
                <w:b/>
                <w:bCs/>
              </w:rPr>
            </w:pPr>
            <w:r>
              <w:rPr>
                <w:b/>
                <w:bCs/>
              </w:rPr>
              <w:t>第一次</w:t>
            </w:r>
          </w:p>
        </w:tc>
        <w:tc>
          <w:tcPr>
            <w:tcW w:w="617" w:type="pct"/>
            <w:noWrap w:val="0"/>
            <w:vAlign w:val="center"/>
          </w:tcPr>
          <w:p>
            <w:pPr>
              <w:pStyle w:val="29"/>
              <w:bidi w:val="0"/>
              <w:rPr>
                <w:b/>
                <w:bCs/>
              </w:rPr>
            </w:pPr>
            <w:r>
              <w:rPr>
                <w:b/>
                <w:bCs/>
              </w:rPr>
              <w:t>第二次</w:t>
            </w:r>
          </w:p>
        </w:tc>
        <w:tc>
          <w:tcPr>
            <w:tcW w:w="617" w:type="pct"/>
            <w:noWrap w:val="0"/>
            <w:vAlign w:val="center"/>
          </w:tcPr>
          <w:p>
            <w:pPr>
              <w:pStyle w:val="29"/>
              <w:bidi w:val="0"/>
              <w:rPr>
                <w:b/>
                <w:bCs/>
              </w:rPr>
            </w:pPr>
            <w:r>
              <w:rPr>
                <w:b/>
                <w:bCs/>
              </w:rPr>
              <w:t>第三次</w:t>
            </w:r>
          </w:p>
        </w:tc>
        <w:tc>
          <w:tcPr>
            <w:tcW w:w="620" w:type="pct"/>
            <w:noWrap w:val="0"/>
            <w:vAlign w:val="center"/>
          </w:tcPr>
          <w:p>
            <w:pPr>
              <w:pStyle w:val="29"/>
              <w:bidi w:val="0"/>
              <w:rPr>
                <w:b/>
                <w:bCs/>
              </w:rPr>
            </w:pPr>
            <w:r>
              <w:rPr>
                <w:b/>
                <w:bCs/>
              </w:rPr>
              <w:t>第四次</w:t>
            </w:r>
          </w:p>
        </w:tc>
        <w:tc>
          <w:tcPr>
            <w:tcW w:w="536" w:type="pct"/>
            <w:vMerge w:val="continue"/>
            <w:noWrap w:val="0"/>
            <w:vAlign w:val="center"/>
          </w:tcPr>
          <w:p>
            <w:pPr>
              <w:pStyle w:val="29"/>
              <w:bidi w:val="0"/>
              <w:rPr>
                <w:b/>
                <w:bCs/>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restart"/>
            <w:noWrap w:val="0"/>
            <w:vAlign w:val="center"/>
          </w:tcPr>
          <w:p>
            <w:pPr>
              <w:pStyle w:val="29"/>
              <w:bidi w:val="0"/>
            </w:pPr>
            <w:r>
              <w:t>W1</w:t>
            </w:r>
          </w:p>
        </w:tc>
        <w:tc>
          <w:tcPr>
            <w:tcW w:w="635" w:type="pct"/>
            <w:vMerge w:val="restart"/>
            <w:noWrap w:val="0"/>
            <w:vAlign w:val="center"/>
          </w:tcPr>
          <w:p>
            <w:pPr>
              <w:pStyle w:val="29"/>
              <w:bidi w:val="0"/>
              <w:rPr>
                <w:rFonts w:hint="default"/>
                <w:lang w:val="en-US" w:eastAsia="zh-CN"/>
              </w:rPr>
            </w:pPr>
            <w:r>
              <w:rPr>
                <w:rFonts w:hint="eastAsia"/>
                <w:lang w:val="en-US" w:eastAsia="zh-CN"/>
              </w:rPr>
              <w:t>2022-5-24</w:t>
            </w:r>
          </w:p>
        </w:tc>
        <w:tc>
          <w:tcPr>
            <w:tcW w:w="989" w:type="pct"/>
            <w:noWrap w:val="0"/>
            <w:vAlign w:val="center"/>
          </w:tcPr>
          <w:p>
            <w:pPr>
              <w:pStyle w:val="29"/>
              <w:bidi w:val="0"/>
              <w:rPr>
                <w:rFonts w:hint="default"/>
                <w:lang w:val="en-US" w:eastAsia="zh-CN"/>
              </w:rPr>
            </w:pPr>
            <w:r>
              <w:rPr>
                <w:rFonts w:hint="default"/>
                <w:lang w:val="en-US"/>
              </w:rPr>
              <w:t>pH</w:t>
            </w:r>
          </w:p>
        </w:tc>
        <w:tc>
          <w:tcPr>
            <w:tcW w:w="617" w:type="pct"/>
            <w:noWrap w:val="0"/>
            <w:vAlign w:val="center"/>
          </w:tcPr>
          <w:p>
            <w:pPr>
              <w:pStyle w:val="29"/>
              <w:bidi w:val="0"/>
              <w:rPr>
                <w:rFonts w:hint="default"/>
                <w:lang w:val="en-US" w:eastAsia="zh-CN"/>
              </w:rPr>
            </w:pPr>
            <w:r>
              <w:rPr>
                <w:rFonts w:hint="eastAsia"/>
                <w:lang w:val="en-US" w:eastAsia="zh-CN"/>
              </w:rPr>
              <w:t>7.4</w:t>
            </w:r>
          </w:p>
        </w:tc>
        <w:tc>
          <w:tcPr>
            <w:tcW w:w="617" w:type="pct"/>
            <w:noWrap w:val="0"/>
            <w:vAlign w:val="center"/>
          </w:tcPr>
          <w:p>
            <w:pPr>
              <w:pStyle w:val="29"/>
              <w:bidi w:val="0"/>
              <w:rPr>
                <w:rFonts w:hint="default"/>
                <w:lang w:val="en-US" w:eastAsia="zh-CN"/>
              </w:rPr>
            </w:pPr>
            <w:r>
              <w:rPr>
                <w:rFonts w:hint="eastAsia"/>
                <w:lang w:val="en-US" w:eastAsia="zh-CN"/>
              </w:rPr>
              <w:t>7.4</w:t>
            </w:r>
          </w:p>
        </w:tc>
        <w:tc>
          <w:tcPr>
            <w:tcW w:w="617" w:type="pct"/>
            <w:noWrap w:val="0"/>
            <w:vAlign w:val="center"/>
          </w:tcPr>
          <w:p>
            <w:pPr>
              <w:pStyle w:val="29"/>
              <w:bidi w:val="0"/>
              <w:rPr>
                <w:rFonts w:hint="default"/>
                <w:lang w:val="en-US" w:eastAsia="zh-CN"/>
              </w:rPr>
            </w:pPr>
            <w:r>
              <w:rPr>
                <w:rFonts w:hint="eastAsia"/>
                <w:lang w:val="en-US" w:eastAsia="zh-CN"/>
              </w:rPr>
              <w:t>7.5</w:t>
            </w:r>
          </w:p>
        </w:tc>
        <w:tc>
          <w:tcPr>
            <w:tcW w:w="620" w:type="pct"/>
            <w:noWrap w:val="0"/>
            <w:vAlign w:val="center"/>
          </w:tcPr>
          <w:p>
            <w:pPr>
              <w:pStyle w:val="29"/>
              <w:bidi w:val="0"/>
              <w:rPr>
                <w:rFonts w:hint="default"/>
                <w:lang w:val="en-US" w:eastAsia="zh-CN"/>
              </w:rPr>
            </w:pPr>
            <w:r>
              <w:rPr>
                <w:rFonts w:hint="eastAsia"/>
                <w:lang w:val="en-US" w:eastAsia="zh-CN"/>
              </w:rPr>
              <w:t>7.4</w:t>
            </w:r>
          </w:p>
        </w:tc>
        <w:tc>
          <w:tcPr>
            <w:tcW w:w="536" w:type="pct"/>
            <w:noWrap w:val="0"/>
            <w:vAlign w:val="center"/>
          </w:tcPr>
          <w:p>
            <w:pPr>
              <w:pStyle w:val="29"/>
              <w:bidi w:val="0"/>
              <w:rPr>
                <w:lang w:val="en-US" w:eastAsia="zh-CN"/>
              </w:rPr>
            </w:pPr>
            <w:r>
              <w:rPr>
                <w:rFonts w:hint="eastAsia"/>
                <w:lang w:val="en-US"/>
              </w:rPr>
              <w:t>无量纲</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center"/>
          </w:tcPr>
          <w:p>
            <w:pPr>
              <w:pStyle w:val="29"/>
              <w:bidi w:val="0"/>
            </w:pPr>
          </w:p>
        </w:tc>
        <w:tc>
          <w:tcPr>
            <w:tcW w:w="635" w:type="pct"/>
            <w:vMerge w:val="continue"/>
            <w:noWrap w:val="0"/>
            <w:vAlign w:val="center"/>
          </w:tcPr>
          <w:p>
            <w:pPr>
              <w:pStyle w:val="29"/>
              <w:bidi w:val="0"/>
            </w:pPr>
          </w:p>
        </w:tc>
        <w:tc>
          <w:tcPr>
            <w:tcW w:w="989" w:type="pct"/>
            <w:noWrap w:val="0"/>
            <w:vAlign w:val="center"/>
          </w:tcPr>
          <w:p>
            <w:pPr>
              <w:pStyle w:val="29"/>
              <w:bidi w:val="0"/>
              <w:rPr>
                <w:rFonts w:hint="default"/>
                <w:lang w:val="en-US" w:eastAsia="zh-CN"/>
              </w:rPr>
            </w:pPr>
            <w:r>
              <w:rPr>
                <w:rFonts w:hint="eastAsia"/>
                <w:lang w:val="en-US"/>
              </w:rPr>
              <w:t>化学需氧量</w:t>
            </w:r>
          </w:p>
        </w:tc>
        <w:tc>
          <w:tcPr>
            <w:tcW w:w="617" w:type="pct"/>
            <w:noWrap w:val="0"/>
            <w:vAlign w:val="center"/>
          </w:tcPr>
          <w:p>
            <w:pPr>
              <w:pStyle w:val="29"/>
              <w:bidi w:val="0"/>
              <w:rPr>
                <w:rFonts w:hint="default"/>
                <w:lang w:val="en-US" w:eastAsia="zh-CN"/>
              </w:rPr>
            </w:pPr>
            <w:r>
              <w:rPr>
                <w:rFonts w:hint="eastAsia"/>
                <w:lang w:val="en-US" w:eastAsia="zh-CN"/>
              </w:rPr>
              <w:t>160</w:t>
            </w:r>
          </w:p>
        </w:tc>
        <w:tc>
          <w:tcPr>
            <w:tcW w:w="617" w:type="pct"/>
            <w:noWrap w:val="0"/>
            <w:vAlign w:val="center"/>
          </w:tcPr>
          <w:p>
            <w:pPr>
              <w:pStyle w:val="29"/>
              <w:bidi w:val="0"/>
              <w:rPr>
                <w:rFonts w:hint="default"/>
                <w:lang w:val="en-US" w:eastAsia="zh-CN"/>
              </w:rPr>
            </w:pPr>
            <w:r>
              <w:rPr>
                <w:rFonts w:hint="eastAsia"/>
                <w:lang w:val="en-US" w:eastAsia="zh-CN"/>
              </w:rPr>
              <w:t>161</w:t>
            </w:r>
          </w:p>
        </w:tc>
        <w:tc>
          <w:tcPr>
            <w:tcW w:w="617" w:type="pct"/>
            <w:noWrap w:val="0"/>
            <w:vAlign w:val="center"/>
          </w:tcPr>
          <w:p>
            <w:pPr>
              <w:pStyle w:val="29"/>
              <w:bidi w:val="0"/>
              <w:rPr>
                <w:rFonts w:hint="default"/>
                <w:lang w:val="en-US" w:eastAsia="zh-CN"/>
              </w:rPr>
            </w:pPr>
            <w:r>
              <w:rPr>
                <w:rFonts w:hint="eastAsia"/>
                <w:lang w:val="en-US" w:eastAsia="zh-CN"/>
              </w:rPr>
              <w:t>159</w:t>
            </w:r>
          </w:p>
        </w:tc>
        <w:tc>
          <w:tcPr>
            <w:tcW w:w="620" w:type="pct"/>
            <w:noWrap w:val="0"/>
            <w:vAlign w:val="center"/>
          </w:tcPr>
          <w:p>
            <w:pPr>
              <w:pStyle w:val="29"/>
              <w:bidi w:val="0"/>
              <w:rPr>
                <w:rFonts w:hint="default"/>
                <w:lang w:val="en-US" w:eastAsia="zh-CN"/>
              </w:rPr>
            </w:pPr>
            <w:r>
              <w:rPr>
                <w:rFonts w:hint="eastAsia"/>
                <w:lang w:val="en-US" w:eastAsia="zh-CN"/>
              </w:rPr>
              <w:t>161</w:t>
            </w:r>
          </w:p>
        </w:tc>
        <w:tc>
          <w:tcPr>
            <w:tcW w:w="536" w:type="pct"/>
            <w:noWrap w:val="0"/>
            <w:vAlign w:val="center"/>
          </w:tcPr>
          <w:p>
            <w:pPr>
              <w:pStyle w:val="29"/>
              <w:bidi w:val="0"/>
              <w:rPr>
                <w:lang w:val="en-US" w:eastAsia="zh-CN"/>
              </w:rPr>
            </w:pPr>
            <w:r>
              <w:rPr>
                <w:rFonts w:hint="eastAsia"/>
                <w:lang w:val="en-US"/>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center"/>
          </w:tcPr>
          <w:p>
            <w:pPr>
              <w:pStyle w:val="29"/>
              <w:bidi w:val="0"/>
            </w:pPr>
          </w:p>
        </w:tc>
        <w:tc>
          <w:tcPr>
            <w:tcW w:w="635" w:type="pct"/>
            <w:vMerge w:val="continue"/>
            <w:noWrap w:val="0"/>
            <w:vAlign w:val="center"/>
          </w:tcPr>
          <w:p>
            <w:pPr>
              <w:pStyle w:val="29"/>
              <w:bidi w:val="0"/>
            </w:pPr>
          </w:p>
        </w:tc>
        <w:tc>
          <w:tcPr>
            <w:tcW w:w="989" w:type="pct"/>
            <w:noWrap w:val="0"/>
            <w:vAlign w:val="center"/>
          </w:tcPr>
          <w:p>
            <w:pPr>
              <w:pStyle w:val="29"/>
              <w:bidi w:val="0"/>
              <w:rPr>
                <w:rFonts w:hint="default"/>
                <w:lang w:val="en-US" w:eastAsia="zh-CN"/>
              </w:rPr>
            </w:pPr>
            <w:r>
              <w:rPr>
                <w:rFonts w:hint="eastAsia"/>
                <w:lang w:val="en-US"/>
              </w:rPr>
              <w:t>五日生化需氧量</w:t>
            </w:r>
          </w:p>
        </w:tc>
        <w:tc>
          <w:tcPr>
            <w:tcW w:w="617" w:type="pct"/>
            <w:noWrap w:val="0"/>
            <w:vAlign w:val="center"/>
          </w:tcPr>
          <w:p>
            <w:pPr>
              <w:pStyle w:val="29"/>
              <w:bidi w:val="0"/>
              <w:rPr>
                <w:rFonts w:hint="default"/>
                <w:lang w:val="en-US" w:eastAsia="zh-CN"/>
              </w:rPr>
            </w:pPr>
            <w:r>
              <w:rPr>
                <w:rFonts w:hint="eastAsia"/>
                <w:lang w:val="en-US" w:eastAsia="zh-CN"/>
              </w:rPr>
              <w:t>50.3</w:t>
            </w:r>
          </w:p>
        </w:tc>
        <w:tc>
          <w:tcPr>
            <w:tcW w:w="617" w:type="pct"/>
            <w:noWrap w:val="0"/>
            <w:vAlign w:val="center"/>
          </w:tcPr>
          <w:p>
            <w:pPr>
              <w:pStyle w:val="29"/>
              <w:bidi w:val="0"/>
              <w:rPr>
                <w:rFonts w:hint="default"/>
                <w:lang w:val="en-US" w:eastAsia="zh-CN"/>
              </w:rPr>
            </w:pPr>
            <w:r>
              <w:rPr>
                <w:rFonts w:hint="eastAsia"/>
                <w:lang w:val="en-US" w:eastAsia="zh-CN"/>
              </w:rPr>
              <w:t>55.3</w:t>
            </w:r>
          </w:p>
        </w:tc>
        <w:tc>
          <w:tcPr>
            <w:tcW w:w="617" w:type="pct"/>
            <w:noWrap w:val="0"/>
            <w:vAlign w:val="center"/>
          </w:tcPr>
          <w:p>
            <w:pPr>
              <w:pStyle w:val="29"/>
              <w:bidi w:val="0"/>
              <w:rPr>
                <w:rFonts w:hint="default"/>
                <w:lang w:val="en-US" w:eastAsia="zh-CN"/>
              </w:rPr>
            </w:pPr>
            <w:r>
              <w:rPr>
                <w:rFonts w:hint="eastAsia"/>
                <w:lang w:val="en-US" w:eastAsia="zh-CN"/>
              </w:rPr>
              <w:t>55.3</w:t>
            </w:r>
          </w:p>
        </w:tc>
        <w:tc>
          <w:tcPr>
            <w:tcW w:w="620" w:type="pct"/>
            <w:noWrap w:val="0"/>
            <w:vAlign w:val="center"/>
          </w:tcPr>
          <w:p>
            <w:pPr>
              <w:pStyle w:val="29"/>
              <w:bidi w:val="0"/>
              <w:rPr>
                <w:rFonts w:hint="default"/>
                <w:lang w:val="en-US" w:eastAsia="zh-CN"/>
              </w:rPr>
            </w:pPr>
            <w:r>
              <w:rPr>
                <w:rFonts w:hint="eastAsia"/>
                <w:lang w:val="en-US" w:eastAsia="zh-CN"/>
              </w:rPr>
              <w:t>60.3</w:t>
            </w:r>
          </w:p>
        </w:tc>
        <w:tc>
          <w:tcPr>
            <w:tcW w:w="536" w:type="pct"/>
            <w:noWrap w:val="0"/>
            <w:vAlign w:val="center"/>
          </w:tcPr>
          <w:p>
            <w:pPr>
              <w:pStyle w:val="29"/>
              <w:bidi w:val="0"/>
              <w:rPr>
                <w:lang w:val="en-US" w:eastAsia="zh-CN"/>
              </w:rPr>
            </w:pPr>
            <w:r>
              <w:rPr>
                <w:rFonts w:hint="eastAsia"/>
                <w:lang w:val="en-US"/>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center"/>
          </w:tcPr>
          <w:p>
            <w:pPr>
              <w:pStyle w:val="29"/>
              <w:bidi w:val="0"/>
            </w:pPr>
          </w:p>
        </w:tc>
        <w:tc>
          <w:tcPr>
            <w:tcW w:w="635" w:type="pct"/>
            <w:vMerge w:val="continue"/>
            <w:noWrap w:val="0"/>
            <w:vAlign w:val="center"/>
          </w:tcPr>
          <w:p>
            <w:pPr>
              <w:pStyle w:val="29"/>
              <w:bidi w:val="0"/>
            </w:pPr>
          </w:p>
        </w:tc>
        <w:tc>
          <w:tcPr>
            <w:tcW w:w="989" w:type="pct"/>
            <w:noWrap w:val="0"/>
            <w:vAlign w:val="center"/>
          </w:tcPr>
          <w:p>
            <w:pPr>
              <w:pStyle w:val="29"/>
              <w:bidi w:val="0"/>
              <w:rPr>
                <w:lang w:val="en-US" w:eastAsia="zh-CN"/>
              </w:rPr>
            </w:pPr>
            <w:r>
              <w:rPr>
                <w:lang w:val="en-US"/>
              </w:rPr>
              <w:t>氨氮</w:t>
            </w:r>
          </w:p>
        </w:tc>
        <w:tc>
          <w:tcPr>
            <w:tcW w:w="617" w:type="pct"/>
            <w:noWrap w:val="0"/>
            <w:vAlign w:val="center"/>
          </w:tcPr>
          <w:p>
            <w:pPr>
              <w:pStyle w:val="29"/>
              <w:bidi w:val="0"/>
              <w:rPr>
                <w:rFonts w:hint="default"/>
                <w:lang w:val="en-US" w:eastAsia="zh-CN"/>
              </w:rPr>
            </w:pPr>
            <w:r>
              <w:rPr>
                <w:rFonts w:hint="eastAsia"/>
                <w:lang w:val="en-US" w:eastAsia="zh-CN"/>
              </w:rPr>
              <w:t>18.4</w:t>
            </w:r>
          </w:p>
        </w:tc>
        <w:tc>
          <w:tcPr>
            <w:tcW w:w="617" w:type="pct"/>
            <w:noWrap w:val="0"/>
            <w:vAlign w:val="center"/>
          </w:tcPr>
          <w:p>
            <w:pPr>
              <w:pStyle w:val="29"/>
              <w:bidi w:val="0"/>
              <w:rPr>
                <w:rFonts w:hint="default"/>
                <w:lang w:val="en-US" w:eastAsia="zh-CN"/>
              </w:rPr>
            </w:pPr>
            <w:r>
              <w:rPr>
                <w:rFonts w:hint="eastAsia"/>
                <w:lang w:val="en-US" w:eastAsia="zh-CN"/>
              </w:rPr>
              <w:t>18.3</w:t>
            </w:r>
          </w:p>
        </w:tc>
        <w:tc>
          <w:tcPr>
            <w:tcW w:w="617" w:type="pct"/>
            <w:noWrap w:val="0"/>
            <w:vAlign w:val="center"/>
          </w:tcPr>
          <w:p>
            <w:pPr>
              <w:pStyle w:val="29"/>
              <w:bidi w:val="0"/>
              <w:rPr>
                <w:rFonts w:hint="default"/>
                <w:lang w:val="en-US" w:eastAsia="zh-CN"/>
              </w:rPr>
            </w:pPr>
            <w:r>
              <w:rPr>
                <w:rFonts w:hint="eastAsia"/>
                <w:lang w:val="en-US" w:eastAsia="zh-CN"/>
              </w:rPr>
              <w:t>18.5</w:t>
            </w:r>
          </w:p>
        </w:tc>
        <w:tc>
          <w:tcPr>
            <w:tcW w:w="620" w:type="pct"/>
            <w:noWrap w:val="0"/>
            <w:vAlign w:val="center"/>
          </w:tcPr>
          <w:p>
            <w:pPr>
              <w:pStyle w:val="29"/>
              <w:bidi w:val="0"/>
              <w:rPr>
                <w:rFonts w:hint="default"/>
                <w:lang w:val="en-US" w:eastAsia="zh-CN"/>
              </w:rPr>
            </w:pPr>
            <w:r>
              <w:rPr>
                <w:rFonts w:hint="eastAsia"/>
                <w:lang w:val="en-US" w:eastAsia="zh-CN"/>
              </w:rPr>
              <w:t>18.7</w:t>
            </w:r>
          </w:p>
        </w:tc>
        <w:tc>
          <w:tcPr>
            <w:tcW w:w="536" w:type="pct"/>
            <w:noWrap w:val="0"/>
            <w:vAlign w:val="center"/>
          </w:tcPr>
          <w:p>
            <w:pPr>
              <w:pStyle w:val="29"/>
              <w:bidi w:val="0"/>
              <w:rPr>
                <w:lang w:val="en-US" w:eastAsia="zh-CN"/>
              </w:rPr>
            </w:pPr>
            <w:r>
              <w:rPr>
                <w:rFonts w:hint="eastAsia"/>
                <w:lang w:val="en-US"/>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center"/>
          </w:tcPr>
          <w:p>
            <w:pPr>
              <w:pStyle w:val="29"/>
              <w:bidi w:val="0"/>
            </w:pPr>
          </w:p>
        </w:tc>
        <w:tc>
          <w:tcPr>
            <w:tcW w:w="635" w:type="pct"/>
            <w:vMerge w:val="continue"/>
            <w:noWrap w:val="0"/>
            <w:vAlign w:val="center"/>
          </w:tcPr>
          <w:p>
            <w:pPr>
              <w:pStyle w:val="29"/>
              <w:bidi w:val="0"/>
            </w:pPr>
          </w:p>
        </w:tc>
        <w:tc>
          <w:tcPr>
            <w:tcW w:w="989" w:type="pct"/>
            <w:noWrap w:val="0"/>
            <w:vAlign w:val="center"/>
          </w:tcPr>
          <w:p>
            <w:pPr>
              <w:pStyle w:val="29"/>
              <w:bidi w:val="0"/>
              <w:rPr>
                <w:rFonts w:hint="eastAsia"/>
                <w:lang w:val="en-US" w:eastAsia="zh-CN"/>
              </w:rPr>
            </w:pPr>
            <w:r>
              <w:rPr>
                <w:rFonts w:hint="default"/>
                <w:lang w:val="en-US" w:eastAsia="zh-CN"/>
              </w:rPr>
              <w:t>总磷</w:t>
            </w:r>
          </w:p>
        </w:tc>
        <w:tc>
          <w:tcPr>
            <w:tcW w:w="617" w:type="pct"/>
            <w:noWrap w:val="0"/>
            <w:vAlign w:val="center"/>
          </w:tcPr>
          <w:p>
            <w:pPr>
              <w:pStyle w:val="29"/>
              <w:bidi w:val="0"/>
              <w:rPr>
                <w:rFonts w:hint="default"/>
                <w:lang w:val="en-US" w:eastAsia="zh-CN"/>
              </w:rPr>
            </w:pPr>
            <w:r>
              <w:rPr>
                <w:rFonts w:hint="eastAsia"/>
                <w:lang w:val="en-US" w:eastAsia="zh-CN"/>
              </w:rPr>
              <w:t>0.22</w:t>
            </w:r>
          </w:p>
        </w:tc>
        <w:tc>
          <w:tcPr>
            <w:tcW w:w="617" w:type="pct"/>
            <w:noWrap w:val="0"/>
            <w:vAlign w:val="center"/>
          </w:tcPr>
          <w:p>
            <w:pPr>
              <w:pStyle w:val="29"/>
              <w:bidi w:val="0"/>
              <w:rPr>
                <w:rFonts w:hint="default"/>
                <w:lang w:val="en-US" w:eastAsia="zh-CN"/>
              </w:rPr>
            </w:pPr>
            <w:r>
              <w:rPr>
                <w:rFonts w:hint="eastAsia"/>
                <w:lang w:val="en-US" w:eastAsia="zh-CN"/>
              </w:rPr>
              <w:t>0.22</w:t>
            </w:r>
          </w:p>
        </w:tc>
        <w:tc>
          <w:tcPr>
            <w:tcW w:w="617" w:type="pct"/>
            <w:noWrap w:val="0"/>
            <w:vAlign w:val="center"/>
          </w:tcPr>
          <w:p>
            <w:pPr>
              <w:pStyle w:val="29"/>
              <w:bidi w:val="0"/>
              <w:rPr>
                <w:rFonts w:hint="default"/>
                <w:lang w:val="en-US" w:eastAsia="zh-CN"/>
              </w:rPr>
            </w:pPr>
            <w:r>
              <w:rPr>
                <w:rFonts w:hint="eastAsia"/>
                <w:lang w:val="en-US" w:eastAsia="zh-CN"/>
              </w:rPr>
              <w:t>0.22</w:t>
            </w:r>
          </w:p>
        </w:tc>
        <w:tc>
          <w:tcPr>
            <w:tcW w:w="620" w:type="pct"/>
            <w:noWrap w:val="0"/>
            <w:vAlign w:val="center"/>
          </w:tcPr>
          <w:p>
            <w:pPr>
              <w:pStyle w:val="29"/>
              <w:bidi w:val="0"/>
              <w:rPr>
                <w:rFonts w:hint="default"/>
                <w:lang w:val="en-US" w:eastAsia="zh-CN"/>
              </w:rPr>
            </w:pPr>
            <w:r>
              <w:rPr>
                <w:rFonts w:hint="eastAsia"/>
                <w:lang w:val="en-US" w:eastAsia="zh-CN"/>
              </w:rPr>
              <w:t>0.22</w:t>
            </w:r>
          </w:p>
        </w:tc>
        <w:tc>
          <w:tcPr>
            <w:tcW w:w="536" w:type="pct"/>
            <w:noWrap w:val="0"/>
            <w:vAlign w:val="center"/>
          </w:tcPr>
          <w:p>
            <w:pPr>
              <w:pStyle w:val="29"/>
              <w:bidi w:val="0"/>
              <w:rPr>
                <w:rFonts w:hint="eastAsia"/>
                <w:lang w:val="en-US" w:eastAsia="zh-CN"/>
              </w:rPr>
            </w:pPr>
            <w:r>
              <w:rPr>
                <w:rFonts w:hint="eastAsia"/>
                <w:lang w:val="en-US" w:eastAsia="zh-CN"/>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center"/>
          </w:tcPr>
          <w:p>
            <w:pPr>
              <w:pStyle w:val="29"/>
              <w:bidi w:val="0"/>
            </w:pPr>
          </w:p>
        </w:tc>
        <w:tc>
          <w:tcPr>
            <w:tcW w:w="635" w:type="pct"/>
            <w:vMerge w:val="continue"/>
            <w:noWrap w:val="0"/>
            <w:vAlign w:val="center"/>
          </w:tcPr>
          <w:p>
            <w:pPr>
              <w:pStyle w:val="29"/>
              <w:bidi w:val="0"/>
            </w:pPr>
          </w:p>
        </w:tc>
        <w:tc>
          <w:tcPr>
            <w:tcW w:w="989" w:type="pct"/>
            <w:noWrap w:val="0"/>
            <w:vAlign w:val="center"/>
          </w:tcPr>
          <w:p>
            <w:pPr>
              <w:pStyle w:val="29"/>
              <w:bidi w:val="0"/>
              <w:rPr>
                <w:rFonts w:hint="eastAsia"/>
                <w:lang w:val="en-US" w:eastAsia="zh-CN"/>
              </w:rPr>
            </w:pPr>
            <w:r>
              <w:rPr>
                <w:rFonts w:hint="default"/>
                <w:lang w:val="en-US" w:eastAsia="zh-CN"/>
              </w:rPr>
              <w:t>悬浮物</w:t>
            </w:r>
          </w:p>
        </w:tc>
        <w:tc>
          <w:tcPr>
            <w:tcW w:w="617" w:type="pct"/>
            <w:noWrap w:val="0"/>
            <w:vAlign w:val="center"/>
          </w:tcPr>
          <w:p>
            <w:pPr>
              <w:pStyle w:val="29"/>
              <w:bidi w:val="0"/>
              <w:rPr>
                <w:rFonts w:hint="default"/>
                <w:lang w:val="en-US" w:eastAsia="zh-CN"/>
              </w:rPr>
            </w:pPr>
            <w:r>
              <w:rPr>
                <w:rFonts w:hint="eastAsia"/>
                <w:lang w:val="en-US" w:eastAsia="zh-CN"/>
              </w:rPr>
              <w:t>12</w:t>
            </w:r>
          </w:p>
        </w:tc>
        <w:tc>
          <w:tcPr>
            <w:tcW w:w="617" w:type="pct"/>
            <w:noWrap w:val="0"/>
            <w:vAlign w:val="center"/>
          </w:tcPr>
          <w:p>
            <w:pPr>
              <w:pStyle w:val="29"/>
              <w:bidi w:val="0"/>
              <w:rPr>
                <w:rFonts w:hint="default"/>
                <w:lang w:val="en-US" w:eastAsia="zh-CN"/>
              </w:rPr>
            </w:pPr>
            <w:r>
              <w:rPr>
                <w:rFonts w:hint="eastAsia"/>
                <w:lang w:val="en-US" w:eastAsia="zh-CN"/>
              </w:rPr>
              <w:t>14</w:t>
            </w:r>
          </w:p>
        </w:tc>
        <w:tc>
          <w:tcPr>
            <w:tcW w:w="617" w:type="pct"/>
            <w:noWrap w:val="0"/>
            <w:vAlign w:val="center"/>
          </w:tcPr>
          <w:p>
            <w:pPr>
              <w:pStyle w:val="29"/>
              <w:bidi w:val="0"/>
              <w:rPr>
                <w:rFonts w:hint="default"/>
                <w:lang w:val="en-US" w:eastAsia="zh-CN"/>
              </w:rPr>
            </w:pPr>
            <w:r>
              <w:rPr>
                <w:rFonts w:hint="eastAsia"/>
                <w:lang w:val="en-US" w:eastAsia="zh-CN"/>
              </w:rPr>
              <w:t>13</w:t>
            </w:r>
          </w:p>
        </w:tc>
        <w:tc>
          <w:tcPr>
            <w:tcW w:w="620" w:type="pct"/>
            <w:noWrap w:val="0"/>
            <w:vAlign w:val="center"/>
          </w:tcPr>
          <w:p>
            <w:pPr>
              <w:pStyle w:val="29"/>
              <w:bidi w:val="0"/>
              <w:rPr>
                <w:rFonts w:hint="default"/>
                <w:lang w:val="en-US" w:eastAsia="zh-CN"/>
              </w:rPr>
            </w:pPr>
            <w:r>
              <w:rPr>
                <w:rFonts w:hint="eastAsia"/>
                <w:lang w:val="en-US" w:eastAsia="zh-CN"/>
              </w:rPr>
              <w:t>14</w:t>
            </w:r>
          </w:p>
        </w:tc>
        <w:tc>
          <w:tcPr>
            <w:tcW w:w="536" w:type="pct"/>
            <w:noWrap w:val="0"/>
            <w:vAlign w:val="center"/>
          </w:tcPr>
          <w:p>
            <w:pPr>
              <w:pStyle w:val="29"/>
              <w:bidi w:val="0"/>
              <w:rPr>
                <w:rFonts w:hint="eastAsia"/>
                <w:lang w:val="en-US" w:eastAsia="zh-CN"/>
              </w:rPr>
            </w:pPr>
            <w:r>
              <w:rPr>
                <w:rFonts w:hint="eastAsia"/>
                <w:lang w:val="en-US" w:eastAsia="zh-CN"/>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center"/>
          </w:tcPr>
          <w:p>
            <w:pPr>
              <w:pStyle w:val="29"/>
              <w:bidi w:val="0"/>
            </w:pPr>
          </w:p>
        </w:tc>
        <w:tc>
          <w:tcPr>
            <w:tcW w:w="635" w:type="pct"/>
            <w:vMerge w:val="continue"/>
            <w:noWrap w:val="0"/>
            <w:vAlign w:val="center"/>
          </w:tcPr>
          <w:p>
            <w:pPr>
              <w:pStyle w:val="29"/>
              <w:bidi w:val="0"/>
            </w:pPr>
          </w:p>
        </w:tc>
        <w:tc>
          <w:tcPr>
            <w:tcW w:w="989" w:type="pct"/>
            <w:noWrap w:val="0"/>
            <w:vAlign w:val="center"/>
          </w:tcPr>
          <w:p>
            <w:pPr>
              <w:pStyle w:val="29"/>
              <w:bidi w:val="0"/>
              <w:rPr>
                <w:rFonts w:hint="eastAsia"/>
                <w:lang w:val="en-US" w:eastAsia="zh-CN"/>
              </w:rPr>
            </w:pPr>
            <w:r>
              <w:rPr>
                <w:rFonts w:hint="eastAsia"/>
                <w:lang w:val="en-US"/>
              </w:rPr>
              <w:t>总</w:t>
            </w:r>
            <w:r>
              <w:rPr>
                <w:rFonts w:hint="eastAsia"/>
                <w:lang w:val="en-US" w:eastAsia="zh-CN"/>
              </w:rPr>
              <w:t>氮</w:t>
            </w:r>
          </w:p>
        </w:tc>
        <w:tc>
          <w:tcPr>
            <w:tcW w:w="617" w:type="pct"/>
            <w:noWrap w:val="0"/>
            <w:vAlign w:val="center"/>
          </w:tcPr>
          <w:p>
            <w:pPr>
              <w:pStyle w:val="29"/>
              <w:bidi w:val="0"/>
              <w:rPr>
                <w:rFonts w:hint="default"/>
                <w:lang w:val="en-US" w:eastAsia="zh-CN"/>
              </w:rPr>
            </w:pPr>
            <w:r>
              <w:rPr>
                <w:rFonts w:hint="eastAsia"/>
                <w:lang w:val="en-US" w:eastAsia="zh-CN"/>
              </w:rPr>
              <w:t>34.2</w:t>
            </w:r>
          </w:p>
        </w:tc>
        <w:tc>
          <w:tcPr>
            <w:tcW w:w="617" w:type="pct"/>
            <w:noWrap w:val="0"/>
            <w:vAlign w:val="center"/>
          </w:tcPr>
          <w:p>
            <w:pPr>
              <w:pStyle w:val="29"/>
              <w:bidi w:val="0"/>
              <w:rPr>
                <w:rFonts w:hint="default"/>
                <w:lang w:val="en-US" w:eastAsia="zh-CN"/>
              </w:rPr>
            </w:pPr>
            <w:r>
              <w:rPr>
                <w:rFonts w:hint="eastAsia"/>
                <w:lang w:val="en-US" w:eastAsia="zh-CN"/>
              </w:rPr>
              <w:t>35.5</w:t>
            </w:r>
          </w:p>
        </w:tc>
        <w:tc>
          <w:tcPr>
            <w:tcW w:w="617" w:type="pct"/>
            <w:noWrap w:val="0"/>
            <w:vAlign w:val="center"/>
          </w:tcPr>
          <w:p>
            <w:pPr>
              <w:pStyle w:val="29"/>
              <w:bidi w:val="0"/>
              <w:rPr>
                <w:rFonts w:hint="default"/>
                <w:lang w:val="en-US" w:eastAsia="zh-CN"/>
              </w:rPr>
            </w:pPr>
            <w:r>
              <w:rPr>
                <w:rFonts w:hint="eastAsia"/>
                <w:lang w:val="en-US" w:eastAsia="zh-CN"/>
              </w:rPr>
              <w:t>34.9</w:t>
            </w:r>
          </w:p>
        </w:tc>
        <w:tc>
          <w:tcPr>
            <w:tcW w:w="620" w:type="pct"/>
            <w:noWrap w:val="0"/>
            <w:vAlign w:val="center"/>
          </w:tcPr>
          <w:p>
            <w:pPr>
              <w:pStyle w:val="29"/>
              <w:bidi w:val="0"/>
              <w:rPr>
                <w:rFonts w:hint="default"/>
                <w:lang w:val="en-US" w:eastAsia="zh-CN"/>
              </w:rPr>
            </w:pPr>
            <w:r>
              <w:rPr>
                <w:rFonts w:hint="eastAsia"/>
                <w:lang w:val="en-US" w:eastAsia="zh-CN"/>
              </w:rPr>
              <w:t>25.0</w:t>
            </w:r>
          </w:p>
        </w:tc>
        <w:tc>
          <w:tcPr>
            <w:tcW w:w="536" w:type="pct"/>
            <w:noWrap w:val="0"/>
            <w:vAlign w:val="center"/>
          </w:tcPr>
          <w:p>
            <w:pPr>
              <w:pStyle w:val="29"/>
              <w:bidi w:val="0"/>
              <w:rPr>
                <w:rFonts w:hint="eastAsia"/>
                <w:lang w:val="en-US" w:eastAsia="zh-CN"/>
              </w:rPr>
            </w:pPr>
            <w:r>
              <w:rPr>
                <w:rFonts w:hint="eastAsia"/>
                <w:lang w:val="en-US"/>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center"/>
          </w:tcPr>
          <w:p>
            <w:pPr>
              <w:pStyle w:val="29"/>
              <w:bidi w:val="0"/>
            </w:pPr>
          </w:p>
        </w:tc>
        <w:tc>
          <w:tcPr>
            <w:tcW w:w="635" w:type="pct"/>
            <w:vMerge w:val="continue"/>
            <w:noWrap w:val="0"/>
            <w:vAlign w:val="center"/>
          </w:tcPr>
          <w:p>
            <w:pPr>
              <w:pStyle w:val="29"/>
              <w:bidi w:val="0"/>
            </w:pPr>
          </w:p>
        </w:tc>
        <w:tc>
          <w:tcPr>
            <w:tcW w:w="989" w:type="pct"/>
            <w:noWrap w:val="0"/>
            <w:vAlign w:val="center"/>
          </w:tcPr>
          <w:p>
            <w:pPr>
              <w:pStyle w:val="29"/>
              <w:bidi w:val="0"/>
              <w:rPr>
                <w:rFonts w:hint="eastAsia"/>
                <w:lang w:val="en-US" w:eastAsia="zh-CN"/>
              </w:rPr>
            </w:pPr>
            <w:r>
              <w:rPr>
                <w:rFonts w:hint="default"/>
                <w:lang w:val="en-US" w:eastAsia="zh-CN"/>
              </w:rPr>
              <w:t>阴离子表面活性剂</w:t>
            </w:r>
          </w:p>
        </w:tc>
        <w:tc>
          <w:tcPr>
            <w:tcW w:w="617" w:type="pct"/>
            <w:noWrap w:val="0"/>
            <w:vAlign w:val="center"/>
          </w:tcPr>
          <w:p>
            <w:pPr>
              <w:pStyle w:val="29"/>
              <w:bidi w:val="0"/>
              <w:rPr>
                <w:rFonts w:hint="default"/>
                <w:lang w:val="en-US" w:eastAsia="zh-CN"/>
              </w:rPr>
            </w:pPr>
            <w:r>
              <w:rPr>
                <w:rFonts w:hint="eastAsia"/>
                <w:lang w:val="en-US" w:eastAsia="zh-CN"/>
              </w:rPr>
              <w:t>0.05L</w:t>
            </w:r>
          </w:p>
        </w:tc>
        <w:tc>
          <w:tcPr>
            <w:tcW w:w="617" w:type="pct"/>
            <w:noWrap w:val="0"/>
            <w:vAlign w:val="center"/>
          </w:tcPr>
          <w:p>
            <w:pPr>
              <w:pStyle w:val="29"/>
              <w:bidi w:val="0"/>
              <w:rPr>
                <w:rFonts w:hint="default"/>
                <w:lang w:val="en-US" w:eastAsia="zh-CN"/>
              </w:rPr>
            </w:pPr>
            <w:r>
              <w:rPr>
                <w:rFonts w:hint="eastAsia"/>
                <w:lang w:val="en-US" w:eastAsia="zh-CN"/>
              </w:rPr>
              <w:t>0.05L</w:t>
            </w:r>
          </w:p>
        </w:tc>
        <w:tc>
          <w:tcPr>
            <w:tcW w:w="617" w:type="pct"/>
            <w:noWrap w:val="0"/>
            <w:vAlign w:val="center"/>
          </w:tcPr>
          <w:p>
            <w:pPr>
              <w:pStyle w:val="29"/>
              <w:bidi w:val="0"/>
              <w:rPr>
                <w:rFonts w:hint="eastAsia"/>
                <w:lang w:val="en-US" w:eastAsia="zh-CN"/>
              </w:rPr>
            </w:pPr>
            <w:r>
              <w:rPr>
                <w:rFonts w:hint="eastAsia"/>
                <w:lang w:val="en-US" w:eastAsia="zh-CN"/>
              </w:rPr>
              <w:t>0.05L</w:t>
            </w:r>
          </w:p>
        </w:tc>
        <w:tc>
          <w:tcPr>
            <w:tcW w:w="620" w:type="pct"/>
            <w:noWrap w:val="0"/>
            <w:vAlign w:val="center"/>
          </w:tcPr>
          <w:p>
            <w:pPr>
              <w:pStyle w:val="29"/>
              <w:bidi w:val="0"/>
              <w:rPr>
                <w:rFonts w:hint="eastAsia"/>
                <w:lang w:val="en-US" w:eastAsia="zh-CN"/>
              </w:rPr>
            </w:pPr>
            <w:r>
              <w:rPr>
                <w:rFonts w:hint="eastAsia"/>
                <w:lang w:val="en-US" w:eastAsia="zh-CN"/>
              </w:rPr>
              <w:t>0.05L</w:t>
            </w:r>
          </w:p>
        </w:tc>
        <w:tc>
          <w:tcPr>
            <w:tcW w:w="536" w:type="pct"/>
            <w:noWrap w:val="0"/>
            <w:vAlign w:val="center"/>
          </w:tcPr>
          <w:p>
            <w:pPr>
              <w:pStyle w:val="29"/>
              <w:bidi w:val="0"/>
              <w:rPr>
                <w:rFonts w:hint="eastAsia"/>
                <w:lang w:val="en-US" w:eastAsia="zh-CN"/>
              </w:rPr>
            </w:pPr>
            <w:r>
              <w:rPr>
                <w:rFonts w:hint="eastAsia"/>
                <w:lang w:val="en-US"/>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center"/>
          </w:tcPr>
          <w:p>
            <w:pPr>
              <w:pStyle w:val="29"/>
              <w:bidi w:val="0"/>
            </w:pPr>
          </w:p>
        </w:tc>
        <w:tc>
          <w:tcPr>
            <w:tcW w:w="635" w:type="pct"/>
            <w:vMerge w:val="continue"/>
            <w:noWrap w:val="0"/>
            <w:vAlign w:val="center"/>
          </w:tcPr>
          <w:p>
            <w:pPr>
              <w:pStyle w:val="29"/>
              <w:bidi w:val="0"/>
            </w:pPr>
          </w:p>
        </w:tc>
        <w:tc>
          <w:tcPr>
            <w:tcW w:w="989" w:type="pct"/>
            <w:noWrap w:val="0"/>
            <w:vAlign w:val="center"/>
          </w:tcPr>
          <w:p>
            <w:pPr>
              <w:pStyle w:val="29"/>
              <w:bidi w:val="0"/>
              <w:rPr>
                <w:rFonts w:hint="eastAsia"/>
                <w:lang w:val="en-US" w:eastAsia="zh-CN"/>
              </w:rPr>
            </w:pPr>
            <w:r>
              <w:rPr>
                <w:rFonts w:hint="default"/>
                <w:lang w:val="en-US" w:eastAsia="zh-CN"/>
              </w:rPr>
              <w:t>动植物油</w:t>
            </w:r>
          </w:p>
        </w:tc>
        <w:tc>
          <w:tcPr>
            <w:tcW w:w="617" w:type="pct"/>
            <w:noWrap w:val="0"/>
            <w:vAlign w:val="center"/>
          </w:tcPr>
          <w:p>
            <w:pPr>
              <w:pStyle w:val="29"/>
              <w:bidi w:val="0"/>
              <w:rPr>
                <w:rFonts w:hint="default"/>
                <w:lang w:val="en-US" w:eastAsia="zh-CN"/>
              </w:rPr>
            </w:pPr>
            <w:r>
              <w:rPr>
                <w:rFonts w:hint="eastAsia"/>
                <w:lang w:val="en-US" w:eastAsia="zh-CN"/>
              </w:rPr>
              <w:t>1.53</w:t>
            </w:r>
          </w:p>
        </w:tc>
        <w:tc>
          <w:tcPr>
            <w:tcW w:w="617" w:type="pct"/>
            <w:noWrap w:val="0"/>
            <w:vAlign w:val="center"/>
          </w:tcPr>
          <w:p>
            <w:pPr>
              <w:pStyle w:val="29"/>
              <w:bidi w:val="0"/>
              <w:rPr>
                <w:rFonts w:hint="default"/>
                <w:lang w:val="en-US" w:eastAsia="zh-CN"/>
              </w:rPr>
            </w:pPr>
            <w:r>
              <w:rPr>
                <w:rFonts w:hint="eastAsia"/>
                <w:lang w:val="en-US" w:eastAsia="zh-CN"/>
              </w:rPr>
              <w:t>1.46</w:t>
            </w:r>
          </w:p>
        </w:tc>
        <w:tc>
          <w:tcPr>
            <w:tcW w:w="617" w:type="pct"/>
            <w:noWrap w:val="0"/>
            <w:vAlign w:val="center"/>
          </w:tcPr>
          <w:p>
            <w:pPr>
              <w:pStyle w:val="29"/>
              <w:bidi w:val="0"/>
              <w:rPr>
                <w:rFonts w:hint="default"/>
                <w:lang w:val="en-US" w:eastAsia="zh-CN"/>
              </w:rPr>
            </w:pPr>
            <w:r>
              <w:rPr>
                <w:rFonts w:hint="eastAsia"/>
                <w:lang w:val="en-US" w:eastAsia="zh-CN"/>
              </w:rPr>
              <w:t>1.47</w:t>
            </w:r>
          </w:p>
        </w:tc>
        <w:tc>
          <w:tcPr>
            <w:tcW w:w="620" w:type="pct"/>
            <w:noWrap w:val="0"/>
            <w:vAlign w:val="center"/>
          </w:tcPr>
          <w:p>
            <w:pPr>
              <w:pStyle w:val="29"/>
              <w:bidi w:val="0"/>
              <w:rPr>
                <w:rFonts w:hint="default"/>
                <w:lang w:val="en-US" w:eastAsia="zh-CN"/>
              </w:rPr>
            </w:pPr>
            <w:r>
              <w:rPr>
                <w:rFonts w:hint="eastAsia"/>
                <w:lang w:val="en-US" w:eastAsia="zh-CN"/>
              </w:rPr>
              <w:t>1.55</w:t>
            </w:r>
          </w:p>
        </w:tc>
        <w:tc>
          <w:tcPr>
            <w:tcW w:w="536" w:type="pct"/>
            <w:noWrap w:val="0"/>
            <w:vAlign w:val="center"/>
          </w:tcPr>
          <w:p>
            <w:pPr>
              <w:pStyle w:val="29"/>
              <w:bidi w:val="0"/>
              <w:rPr>
                <w:rFonts w:hint="eastAsia"/>
                <w:lang w:val="en-US" w:eastAsia="zh-CN"/>
              </w:rPr>
            </w:pPr>
            <w:r>
              <w:rPr>
                <w:rFonts w:hint="eastAsia"/>
                <w:lang w:val="en-US"/>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center"/>
          </w:tcPr>
          <w:p>
            <w:pPr>
              <w:pStyle w:val="29"/>
              <w:bidi w:val="0"/>
            </w:pPr>
          </w:p>
        </w:tc>
        <w:tc>
          <w:tcPr>
            <w:tcW w:w="635" w:type="pct"/>
            <w:vMerge w:val="continue"/>
            <w:noWrap w:val="0"/>
            <w:vAlign w:val="center"/>
          </w:tcPr>
          <w:p>
            <w:pPr>
              <w:pStyle w:val="29"/>
              <w:bidi w:val="0"/>
            </w:pPr>
          </w:p>
        </w:tc>
        <w:tc>
          <w:tcPr>
            <w:tcW w:w="989" w:type="pct"/>
            <w:noWrap w:val="0"/>
            <w:vAlign w:val="center"/>
          </w:tcPr>
          <w:p>
            <w:pPr>
              <w:pStyle w:val="29"/>
              <w:bidi w:val="0"/>
              <w:rPr>
                <w:rFonts w:hint="eastAsia"/>
                <w:lang w:val="en-US" w:eastAsia="zh-CN"/>
              </w:rPr>
            </w:pPr>
            <w:r>
              <w:rPr>
                <w:rFonts w:hint="default"/>
                <w:lang w:val="en-US" w:eastAsia="zh-CN"/>
              </w:rPr>
              <w:t>石油类</w:t>
            </w:r>
          </w:p>
        </w:tc>
        <w:tc>
          <w:tcPr>
            <w:tcW w:w="617" w:type="pct"/>
            <w:noWrap w:val="0"/>
            <w:vAlign w:val="center"/>
          </w:tcPr>
          <w:p>
            <w:pPr>
              <w:pStyle w:val="29"/>
              <w:bidi w:val="0"/>
              <w:rPr>
                <w:rFonts w:hint="default"/>
                <w:lang w:val="en-US" w:eastAsia="zh-CN"/>
              </w:rPr>
            </w:pPr>
            <w:r>
              <w:rPr>
                <w:rFonts w:hint="eastAsia"/>
                <w:lang w:val="en-US" w:eastAsia="zh-CN"/>
              </w:rPr>
              <w:t>1.25</w:t>
            </w:r>
          </w:p>
        </w:tc>
        <w:tc>
          <w:tcPr>
            <w:tcW w:w="617" w:type="pct"/>
            <w:noWrap w:val="0"/>
            <w:vAlign w:val="center"/>
          </w:tcPr>
          <w:p>
            <w:pPr>
              <w:pStyle w:val="29"/>
              <w:bidi w:val="0"/>
              <w:rPr>
                <w:rFonts w:hint="default"/>
                <w:lang w:val="en-US" w:eastAsia="zh-CN"/>
              </w:rPr>
            </w:pPr>
            <w:r>
              <w:rPr>
                <w:rFonts w:hint="eastAsia"/>
                <w:lang w:val="en-US" w:eastAsia="zh-CN"/>
              </w:rPr>
              <w:t>1.23</w:t>
            </w:r>
          </w:p>
        </w:tc>
        <w:tc>
          <w:tcPr>
            <w:tcW w:w="617" w:type="pct"/>
            <w:noWrap w:val="0"/>
            <w:vAlign w:val="center"/>
          </w:tcPr>
          <w:p>
            <w:pPr>
              <w:pStyle w:val="29"/>
              <w:bidi w:val="0"/>
              <w:rPr>
                <w:rFonts w:hint="default"/>
                <w:lang w:val="en-US" w:eastAsia="zh-CN"/>
              </w:rPr>
            </w:pPr>
            <w:r>
              <w:rPr>
                <w:rFonts w:hint="eastAsia"/>
                <w:lang w:val="en-US" w:eastAsia="zh-CN"/>
              </w:rPr>
              <w:t>1.19</w:t>
            </w:r>
          </w:p>
        </w:tc>
        <w:tc>
          <w:tcPr>
            <w:tcW w:w="620" w:type="pct"/>
            <w:noWrap w:val="0"/>
            <w:vAlign w:val="center"/>
          </w:tcPr>
          <w:p>
            <w:pPr>
              <w:pStyle w:val="29"/>
              <w:bidi w:val="0"/>
              <w:rPr>
                <w:rFonts w:hint="default"/>
                <w:lang w:val="en-US" w:eastAsia="zh-CN"/>
              </w:rPr>
            </w:pPr>
            <w:r>
              <w:rPr>
                <w:rFonts w:hint="eastAsia"/>
                <w:lang w:val="en-US" w:eastAsia="zh-CN"/>
              </w:rPr>
              <w:t>1.18</w:t>
            </w:r>
          </w:p>
        </w:tc>
        <w:tc>
          <w:tcPr>
            <w:tcW w:w="536" w:type="pct"/>
            <w:noWrap w:val="0"/>
            <w:vAlign w:val="center"/>
          </w:tcPr>
          <w:p>
            <w:pPr>
              <w:pStyle w:val="29"/>
              <w:bidi w:val="0"/>
              <w:rPr>
                <w:rFonts w:hint="eastAsia"/>
                <w:lang w:val="en-US" w:eastAsia="zh-CN"/>
              </w:rPr>
            </w:pPr>
            <w:r>
              <w:rPr>
                <w:rFonts w:hint="eastAsia"/>
                <w:lang w:val="en-US"/>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center"/>
          </w:tcPr>
          <w:p>
            <w:pPr>
              <w:pStyle w:val="29"/>
              <w:bidi w:val="0"/>
            </w:pPr>
          </w:p>
        </w:tc>
        <w:tc>
          <w:tcPr>
            <w:tcW w:w="635" w:type="pct"/>
            <w:vMerge w:val="continue"/>
            <w:noWrap w:val="0"/>
            <w:vAlign w:val="center"/>
          </w:tcPr>
          <w:p>
            <w:pPr>
              <w:pStyle w:val="29"/>
              <w:bidi w:val="0"/>
            </w:pPr>
          </w:p>
        </w:tc>
        <w:tc>
          <w:tcPr>
            <w:tcW w:w="989" w:type="pct"/>
            <w:noWrap w:val="0"/>
            <w:vAlign w:val="center"/>
          </w:tcPr>
          <w:p>
            <w:pPr>
              <w:pStyle w:val="29"/>
              <w:bidi w:val="0"/>
              <w:rPr>
                <w:rFonts w:hint="eastAsia"/>
                <w:lang w:val="en-US" w:eastAsia="zh-CN"/>
              </w:rPr>
            </w:pPr>
            <w:r>
              <w:rPr>
                <w:rFonts w:hint="default"/>
                <w:lang w:val="en-US" w:eastAsia="zh-CN"/>
              </w:rPr>
              <w:t>色度</w:t>
            </w:r>
          </w:p>
        </w:tc>
        <w:tc>
          <w:tcPr>
            <w:tcW w:w="617" w:type="pct"/>
            <w:noWrap w:val="0"/>
            <w:vAlign w:val="center"/>
          </w:tcPr>
          <w:p>
            <w:pPr>
              <w:pStyle w:val="29"/>
              <w:bidi w:val="0"/>
              <w:rPr>
                <w:rFonts w:hint="default"/>
                <w:lang w:val="en-US" w:eastAsia="zh-CN"/>
              </w:rPr>
            </w:pPr>
            <w:r>
              <w:rPr>
                <w:rFonts w:hint="eastAsia"/>
                <w:lang w:val="en-US" w:eastAsia="zh-CN"/>
              </w:rPr>
              <w:t>5</w:t>
            </w:r>
          </w:p>
        </w:tc>
        <w:tc>
          <w:tcPr>
            <w:tcW w:w="617" w:type="pct"/>
            <w:noWrap w:val="0"/>
            <w:vAlign w:val="center"/>
          </w:tcPr>
          <w:p>
            <w:pPr>
              <w:pStyle w:val="29"/>
              <w:bidi w:val="0"/>
              <w:rPr>
                <w:rFonts w:hint="default"/>
                <w:lang w:val="en-US" w:eastAsia="zh-CN"/>
              </w:rPr>
            </w:pPr>
            <w:r>
              <w:rPr>
                <w:rFonts w:hint="eastAsia"/>
                <w:lang w:val="en-US" w:eastAsia="zh-CN"/>
              </w:rPr>
              <w:t>5</w:t>
            </w:r>
          </w:p>
        </w:tc>
        <w:tc>
          <w:tcPr>
            <w:tcW w:w="617" w:type="pct"/>
            <w:noWrap w:val="0"/>
            <w:vAlign w:val="center"/>
          </w:tcPr>
          <w:p>
            <w:pPr>
              <w:pStyle w:val="29"/>
              <w:bidi w:val="0"/>
              <w:rPr>
                <w:rFonts w:hint="default"/>
                <w:lang w:val="en-US" w:eastAsia="zh-CN"/>
              </w:rPr>
            </w:pPr>
            <w:r>
              <w:rPr>
                <w:rFonts w:hint="eastAsia"/>
                <w:lang w:val="en-US" w:eastAsia="zh-CN"/>
              </w:rPr>
              <w:t>5</w:t>
            </w:r>
          </w:p>
        </w:tc>
        <w:tc>
          <w:tcPr>
            <w:tcW w:w="620" w:type="pct"/>
            <w:noWrap w:val="0"/>
            <w:vAlign w:val="center"/>
          </w:tcPr>
          <w:p>
            <w:pPr>
              <w:pStyle w:val="29"/>
              <w:bidi w:val="0"/>
              <w:rPr>
                <w:rFonts w:hint="default"/>
                <w:lang w:val="en-US" w:eastAsia="zh-CN"/>
              </w:rPr>
            </w:pPr>
            <w:r>
              <w:rPr>
                <w:rFonts w:hint="eastAsia"/>
                <w:lang w:val="en-US" w:eastAsia="zh-CN"/>
              </w:rPr>
              <w:t>5</w:t>
            </w:r>
          </w:p>
        </w:tc>
        <w:tc>
          <w:tcPr>
            <w:tcW w:w="536" w:type="pct"/>
            <w:noWrap w:val="0"/>
            <w:vAlign w:val="center"/>
          </w:tcPr>
          <w:p>
            <w:pPr>
              <w:pStyle w:val="29"/>
              <w:bidi w:val="0"/>
              <w:rPr>
                <w:rFonts w:hint="eastAsia"/>
                <w:lang w:val="en-US" w:eastAsia="zh-CN"/>
              </w:rPr>
            </w:pPr>
            <w:r>
              <w:rPr>
                <w:rFonts w:hint="eastAsia"/>
                <w:lang w:val="en-US" w:eastAsia="zh-CN"/>
              </w:rPr>
              <w:t>倍</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center"/>
          </w:tcPr>
          <w:p>
            <w:pPr>
              <w:pStyle w:val="29"/>
              <w:bidi w:val="0"/>
            </w:pPr>
          </w:p>
        </w:tc>
        <w:tc>
          <w:tcPr>
            <w:tcW w:w="635" w:type="pct"/>
            <w:vMerge w:val="continue"/>
            <w:noWrap w:val="0"/>
            <w:vAlign w:val="center"/>
          </w:tcPr>
          <w:p>
            <w:pPr>
              <w:pStyle w:val="29"/>
              <w:bidi w:val="0"/>
            </w:pPr>
          </w:p>
        </w:tc>
        <w:tc>
          <w:tcPr>
            <w:tcW w:w="989" w:type="pct"/>
            <w:noWrap w:val="0"/>
            <w:vAlign w:val="center"/>
          </w:tcPr>
          <w:p>
            <w:pPr>
              <w:pStyle w:val="29"/>
              <w:bidi w:val="0"/>
              <w:rPr>
                <w:rFonts w:hint="eastAsia"/>
                <w:lang w:val="en-US" w:eastAsia="zh-CN"/>
              </w:rPr>
            </w:pPr>
            <w:r>
              <w:rPr>
                <w:rFonts w:hint="default"/>
                <w:lang w:val="en-US"/>
              </w:rPr>
              <w:t>六价铬</w:t>
            </w:r>
          </w:p>
        </w:tc>
        <w:tc>
          <w:tcPr>
            <w:tcW w:w="617" w:type="pct"/>
            <w:noWrap w:val="0"/>
            <w:vAlign w:val="center"/>
          </w:tcPr>
          <w:p>
            <w:pPr>
              <w:pStyle w:val="29"/>
              <w:bidi w:val="0"/>
              <w:rPr>
                <w:rFonts w:hint="default"/>
                <w:lang w:val="en-US" w:eastAsia="zh-CN"/>
              </w:rPr>
            </w:pPr>
            <w:r>
              <w:rPr>
                <w:rFonts w:hint="eastAsia"/>
                <w:lang w:val="en-US" w:eastAsia="zh-CN"/>
              </w:rPr>
              <w:t>0.054</w:t>
            </w:r>
          </w:p>
        </w:tc>
        <w:tc>
          <w:tcPr>
            <w:tcW w:w="617" w:type="pct"/>
            <w:noWrap w:val="0"/>
            <w:vAlign w:val="center"/>
          </w:tcPr>
          <w:p>
            <w:pPr>
              <w:pStyle w:val="29"/>
              <w:bidi w:val="0"/>
              <w:rPr>
                <w:rFonts w:hint="default"/>
                <w:lang w:val="en-US" w:eastAsia="zh-CN"/>
              </w:rPr>
            </w:pPr>
            <w:r>
              <w:rPr>
                <w:rFonts w:hint="eastAsia"/>
                <w:lang w:val="en-US" w:eastAsia="zh-CN"/>
              </w:rPr>
              <w:t>0.052</w:t>
            </w:r>
          </w:p>
        </w:tc>
        <w:tc>
          <w:tcPr>
            <w:tcW w:w="617" w:type="pct"/>
            <w:noWrap w:val="0"/>
            <w:vAlign w:val="center"/>
          </w:tcPr>
          <w:p>
            <w:pPr>
              <w:pStyle w:val="29"/>
              <w:bidi w:val="0"/>
              <w:rPr>
                <w:rFonts w:hint="default"/>
                <w:lang w:val="en-US" w:eastAsia="zh-CN"/>
              </w:rPr>
            </w:pPr>
            <w:r>
              <w:rPr>
                <w:rFonts w:hint="eastAsia"/>
                <w:lang w:val="en-US" w:eastAsia="zh-CN"/>
              </w:rPr>
              <w:t>0.049</w:t>
            </w:r>
          </w:p>
        </w:tc>
        <w:tc>
          <w:tcPr>
            <w:tcW w:w="620" w:type="pct"/>
            <w:noWrap w:val="0"/>
            <w:vAlign w:val="center"/>
          </w:tcPr>
          <w:p>
            <w:pPr>
              <w:pStyle w:val="29"/>
              <w:bidi w:val="0"/>
              <w:rPr>
                <w:rFonts w:hint="default"/>
                <w:lang w:val="en-US" w:eastAsia="zh-CN"/>
              </w:rPr>
            </w:pPr>
            <w:r>
              <w:rPr>
                <w:rFonts w:hint="eastAsia"/>
                <w:lang w:val="en-US" w:eastAsia="zh-CN"/>
              </w:rPr>
              <w:t>0.049</w:t>
            </w:r>
          </w:p>
        </w:tc>
        <w:tc>
          <w:tcPr>
            <w:tcW w:w="536" w:type="pct"/>
            <w:noWrap w:val="0"/>
            <w:vAlign w:val="center"/>
          </w:tcPr>
          <w:p>
            <w:pPr>
              <w:pStyle w:val="29"/>
              <w:bidi w:val="0"/>
              <w:rPr>
                <w:rFonts w:hint="eastAsia"/>
                <w:lang w:val="en-US" w:eastAsia="zh-CN"/>
              </w:rPr>
            </w:pPr>
            <w:r>
              <w:rPr>
                <w:rFonts w:hint="eastAsia"/>
                <w:lang w:val="en-US"/>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center"/>
          </w:tcPr>
          <w:p>
            <w:pPr>
              <w:pStyle w:val="29"/>
              <w:bidi w:val="0"/>
            </w:pPr>
          </w:p>
        </w:tc>
        <w:tc>
          <w:tcPr>
            <w:tcW w:w="635" w:type="pct"/>
            <w:vMerge w:val="continue"/>
            <w:noWrap w:val="0"/>
            <w:vAlign w:val="center"/>
          </w:tcPr>
          <w:p>
            <w:pPr>
              <w:pStyle w:val="29"/>
              <w:bidi w:val="0"/>
            </w:pPr>
          </w:p>
        </w:tc>
        <w:tc>
          <w:tcPr>
            <w:tcW w:w="989" w:type="pct"/>
            <w:noWrap w:val="0"/>
            <w:vAlign w:val="center"/>
          </w:tcPr>
          <w:p>
            <w:pPr>
              <w:pStyle w:val="29"/>
              <w:bidi w:val="0"/>
              <w:rPr>
                <w:rFonts w:hint="eastAsia"/>
                <w:lang w:val="en-US" w:eastAsia="zh-CN"/>
              </w:rPr>
            </w:pPr>
            <w:r>
              <w:rPr>
                <w:rFonts w:hint="eastAsia"/>
                <w:lang w:val="en-US" w:eastAsia="zh-CN"/>
              </w:rPr>
              <w:t>氟化物</w:t>
            </w:r>
          </w:p>
        </w:tc>
        <w:tc>
          <w:tcPr>
            <w:tcW w:w="617" w:type="pct"/>
            <w:noWrap w:val="0"/>
            <w:vAlign w:val="center"/>
          </w:tcPr>
          <w:p>
            <w:pPr>
              <w:pStyle w:val="29"/>
              <w:bidi w:val="0"/>
              <w:rPr>
                <w:rFonts w:hint="default"/>
                <w:lang w:val="en-US" w:eastAsia="zh-CN"/>
              </w:rPr>
            </w:pPr>
            <w:r>
              <w:rPr>
                <w:rFonts w:hint="eastAsia"/>
                <w:lang w:val="en-US" w:eastAsia="zh-CN"/>
              </w:rPr>
              <w:t>0.209</w:t>
            </w:r>
          </w:p>
        </w:tc>
        <w:tc>
          <w:tcPr>
            <w:tcW w:w="617" w:type="pct"/>
            <w:noWrap w:val="0"/>
            <w:vAlign w:val="center"/>
          </w:tcPr>
          <w:p>
            <w:pPr>
              <w:pStyle w:val="29"/>
              <w:bidi w:val="0"/>
              <w:rPr>
                <w:rFonts w:hint="default"/>
                <w:lang w:val="en-US" w:eastAsia="zh-CN"/>
              </w:rPr>
            </w:pPr>
            <w:r>
              <w:rPr>
                <w:rFonts w:hint="eastAsia"/>
                <w:lang w:val="en-US" w:eastAsia="zh-CN"/>
              </w:rPr>
              <w:t>0.214</w:t>
            </w:r>
          </w:p>
        </w:tc>
        <w:tc>
          <w:tcPr>
            <w:tcW w:w="617" w:type="pct"/>
            <w:noWrap w:val="0"/>
            <w:vAlign w:val="center"/>
          </w:tcPr>
          <w:p>
            <w:pPr>
              <w:pStyle w:val="29"/>
              <w:bidi w:val="0"/>
              <w:rPr>
                <w:rFonts w:hint="default"/>
                <w:lang w:val="en-US" w:eastAsia="zh-CN"/>
              </w:rPr>
            </w:pPr>
            <w:r>
              <w:rPr>
                <w:rFonts w:hint="eastAsia"/>
                <w:lang w:val="en-US" w:eastAsia="zh-CN"/>
              </w:rPr>
              <w:t>0.213</w:t>
            </w:r>
          </w:p>
        </w:tc>
        <w:tc>
          <w:tcPr>
            <w:tcW w:w="620" w:type="pct"/>
            <w:noWrap w:val="0"/>
            <w:vAlign w:val="center"/>
          </w:tcPr>
          <w:p>
            <w:pPr>
              <w:pStyle w:val="29"/>
              <w:bidi w:val="0"/>
              <w:rPr>
                <w:rFonts w:hint="default"/>
                <w:lang w:val="en-US" w:eastAsia="zh-CN"/>
              </w:rPr>
            </w:pPr>
            <w:r>
              <w:rPr>
                <w:rFonts w:hint="eastAsia"/>
                <w:lang w:val="en-US" w:eastAsia="zh-CN"/>
              </w:rPr>
              <w:t>0.183</w:t>
            </w:r>
          </w:p>
        </w:tc>
        <w:tc>
          <w:tcPr>
            <w:tcW w:w="536" w:type="pct"/>
            <w:noWrap w:val="0"/>
            <w:vAlign w:val="center"/>
          </w:tcPr>
          <w:p>
            <w:pPr>
              <w:pStyle w:val="29"/>
              <w:bidi w:val="0"/>
              <w:rPr>
                <w:rFonts w:hint="eastAsia"/>
                <w:lang w:val="en-US" w:eastAsia="zh-CN"/>
              </w:rPr>
            </w:pPr>
            <w:r>
              <w:rPr>
                <w:rFonts w:hint="eastAsia"/>
                <w:lang w:val="en-US"/>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center"/>
          </w:tcPr>
          <w:p>
            <w:pPr>
              <w:pStyle w:val="29"/>
              <w:bidi w:val="0"/>
            </w:pPr>
          </w:p>
        </w:tc>
        <w:tc>
          <w:tcPr>
            <w:tcW w:w="635" w:type="pct"/>
            <w:vMerge w:val="continue"/>
            <w:noWrap w:val="0"/>
            <w:vAlign w:val="center"/>
          </w:tcPr>
          <w:p>
            <w:pPr>
              <w:pStyle w:val="29"/>
              <w:bidi w:val="0"/>
            </w:pPr>
          </w:p>
        </w:tc>
        <w:tc>
          <w:tcPr>
            <w:tcW w:w="989" w:type="pct"/>
            <w:noWrap w:val="0"/>
            <w:vAlign w:val="center"/>
          </w:tcPr>
          <w:p>
            <w:pPr>
              <w:pStyle w:val="29"/>
              <w:bidi w:val="0"/>
              <w:rPr>
                <w:rFonts w:hint="eastAsia"/>
                <w:lang w:val="en-US" w:eastAsia="zh-CN"/>
              </w:rPr>
            </w:pPr>
            <w:r>
              <w:rPr>
                <w:rFonts w:hint="eastAsia"/>
                <w:lang w:val="en-US" w:eastAsia="zh-CN"/>
              </w:rPr>
              <w:t>总铬①</w:t>
            </w:r>
          </w:p>
        </w:tc>
        <w:tc>
          <w:tcPr>
            <w:tcW w:w="617" w:type="pct"/>
            <w:noWrap w:val="0"/>
            <w:vAlign w:val="center"/>
          </w:tcPr>
          <w:p>
            <w:pPr>
              <w:pStyle w:val="29"/>
              <w:bidi w:val="0"/>
              <w:rPr>
                <w:rFonts w:hint="default"/>
                <w:lang w:val="en-US" w:eastAsia="zh-CN"/>
              </w:rPr>
            </w:pPr>
            <w:r>
              <w:rPr>
                <w:rFonts w:hint="eastAsia"/>
                <w:lang w:val="en-US" w:eastAsia="zh-CN"/>
              </w:rPr>
              <w:t>3.44</w:t>
            </w:r>
            <w:r>
              <w:rPr>
                <w:rFonts w:hint="default"/>
                <w:lang w:val="en-US" w:eastAsia="zh-CN"/>
              </w:rPr>
              <w:t>×10</w:t>
            </w:r>
            <w:r>
              <w:rPr>
                <w:rFonts w:hint="default"/>
                <w:vertAlign w:val="superscript"/>
                <w:lang w:val="en-US" w:eastAsia="zh-CN"/>
              </w:rPr>
              <w:t>-</w:t>
            </w:r>
            <w:r>
              <w:rPr>
                <w:rFonts w:hint="eastAsia"/>
                <w:vertAlign w:val="superscript"/>
                <w:lang w:val="en-US" w:eastAsia="zh-CN"/>
              </w:rPr>
              <w:t>3</w:t>
            </w:r>
          </w:p>
        </w:tc>
        <w:tc>
          <w:tcPr>
            <w:tcW w:w="617" w:type="pct"/>
            <w:noWrap w:val="0"/>
            <w:vAlign w:val="center"/>
          </w:tcPr>
          <w:p>
            <w:pPr>
              <w:pStyle w:val="29"/>
              <w:bidi w:val="0"/>
              <w:rPr>
                <w:rFonts w:hint="default"/>
                <w:lang w:val="en-US" w:eastAsia="zh-CN"/>
              </w:rPr>
            </w:pPr>
            <w:r>
              <w:rPr>
                <w:rFonts w:hint="eastAsia"/>
                <w:lang w:val="en-US" w:eastAsia="zh-CN"/>
              </w:rPr>
              <w:t>2.24</w:t>
            </w:r>
            <w:r>
              <w:rPr>
                <w:rFonts w:hint="default"/>
                <w:lang w:val="en-US" w:eastAsia="zh-CN"/>
              </w:rPr>
              <w:t>×10</w:t>
            </w:r>
            <w:r>
              <w:rPr>
                <w:rFonts w:hint="default"/>
                <w:vertAlign w:val="superscript"/>
                <w:lang w:val="en-US" w:eastAsia="zh-CN"/>
              </w:rPr>
              <w:t>-</w:t>
            </w:r>
            <w:r>
              <w:rPr>
                <w:rFonts w:hint="eastAsia"/>
                <w:vertAlign w:val="superscript"/>
                <w:lang w:val="en-US" w:eastAsia="zh-CN"/>
              </w:rPr>
              <w:t>3</w:t>
            </w:r>
          </w:p>
        </w:tc>
        <w:tc>
          <w:tcPr>
            <w:tcW w:w="617" w:type="pct"/>
            <w:noWrap w:val="0"/>
            <w:vAlign w:val="center"/>
          </w:tcPr>
          <w:p>
            <w:pPr>
              <w:pStyle w:val="29"/>
              <w:bidi w:val="0"/>
              <w:rPr>
                <w:rFonts w:hint="default"/>
                <w:lang w:val="en-US" w:eastAsia="zh-CN"/>
              </w:rPr>
            </w:pPr>
            <w:r>
              <w:rPr>
                <w:rFonts w:hint="eastAsia"/>
                <w:lang w:val="en-US" w:eastAsia="zh-CN"/>
              </w:rPr>
              <w:t>2.70</w:t>
            </w:r>
            <w:r>
              <w:rPr>
                <w:rFonts w:hint="default"/>
                <w:lang w:val="en-US" w:eastAsia="zh-CN"/>
              </w:rPr>
              <w:t>×10</w:t>
            </w:r>
            <w:r>
              <w:rPr>
                <w:rFonts w:hint="default"/>
                <w:vertAlign w:val="superscript"/>
                <w:lang w:val="en-US" w:eastAsia="zh-CN"/>
              </w:rPr>
              <w:t>-</w:t>
            </w:r>
            <w:r>
              <w:rPr>
                <w:rFonts w:hint="eastAsia"/>
                <w:vertAlign w:val="superscript"/>
                <w:lang w:val="en-US" w:eastAsia="zh-CN"/>
              </w:rPr>
              <w:t>3</w:t>
            </w:r>
          </w:p>
        </w:tc>
        <w:tc>
          <w:tcPr>
            <w:tcW w:w="620" w:type="pct"/>
            <w:noWrap w:val="0"/>
            <w:vAlign w:val="center"/>
          </w:tcPr>
          <w:p>
            <w:pPr>
              <w:pStyle w:val="29"/>
              <w:bidi w:val="0"/>
              <w:rPr>
                <w:rFonts w:hint="default"/>
                <w:lang w:val="en-US" w:eastAsia="zh-CN"/>
              </w:rPr>
            </w:pPr>
            <w:r>
              <w:rPr>
                <w:rFonts w:hint="eastAsia"/>
                <w:lang w:val="en-US" w:eastAsia="zh-CN"/>
              </w:rPr>
              <w:t>1.90</w:t>
            </w:r>
            <w:r>
              <w:rPr>
                <w:rFonts w:hint="default"/>
                <w:lang w:val="en-US" w:eastAsia="zh-CN"/>
              </w:rPr>
              <w:t>×10</w:t>
            </w:r>
            <w:r>
              <w:rPr>
                <w:rFonts w:hint="default"/>
                <w:vertAlign w:val="superscript"/>
                <w:lang w:val="en-US" w:eastAsia="zh-CN"/>
              </w:rPr>
              <w:t>-</w:t>
            </w:r>
            <w:r>
              <w:rPr>
                <w:rFonts w:hint="eastAsia"/>
                <w:vertAlign w:val="superscript"/>
                <w:lang w:val="en-US" w:eastAsia="zh-CN"/>
              </w:rPr>
              <w:t>3</w:t>
            </w:r>
          </w:p>
        </w:tc>
        <w:tc>
          <w:tcPr>
            <w:tcW w:w="536" w:type="pct"/>
            <w:noWrap w:val="0"/>
            <w:vAlign w:val="center"/>
          </w:tcPr>
          <w:p>
            <w:pPr>
              <w:pStyle w:val="29"/>
              <w:bidi w:val="0"/>
              <w:rPr>
                <w:rFonts w:hint="eastAsia"/>
                <w:lang w:val="en-US" w:eastAsia="zh-CN"/>
              </w:rPr>
            </w:pPr>
            <w:r>
              <w:rPr>
                <w:rFonts w:hint="eastAsia"/>
                <w:lang w:val="en-US"/>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center"/>
          </w:tcPr>
          <w:p>
            <w:pPr>
              <w:pStyle w:val="29"/>
              <w:bidi w:val="0"/>
            </w:pPr>
          </w:p>
        </w:tc>
        <w:tc>
          <w:tcPr>
            <w:tcW w:w="635" w:type="pct"/>
            <w:vMerge w:val="continue"/>
            <w:noWrap w:val="0"/>
            <w:vAlign w:val="center"/>
          </w:tcPr>
          <w:p>
            <w:pPr>
              <w:pStyle w:val="29"/>
              <w:bidi w:val="0"/>
            </w:pPr>
          </w:p>
        </w:tc>
        <w:tc>
          <w:tcPr>
            <w:tcW w:w="989" w:type="pct"/>
            <w:noWrap w:val="0"/>
            <w:vAlign w:val="center"/>
          </w:tcPr>
          <w:p>
            <w:pPr>
              <w:pStyle w:val="29"/>
              <w:bidi w:val="0"/>
              <w:rPr>
                <w:rFonts w:hint="eastAsia"/>
                <w:lang w:val="en-US" w:eastAsia="zh-CN"/>
              </w:rPr>
            </w:pPr>
            <w:r>
              <w:rPr>
                <w:rFonts w:hint="eastAsia"/>
                <w:lang w:val="en-US" w:eastAsia="zh-CN"/>
              </w:rPr>
              <w:t>总汞①</w:t>
            </w:r>
          </w:p>
        </w:tc>
        <w:tc>
          <w:tcPr>
            <w:tcW w:w="617" w:type="pct"/>
            <w:noWrap w:val="0"/>
            <w:vAlign w:val="center"/>
          </w:tcPr>
          <w:p>
            <w:pPr>
              <w:pStyle w:val="29"/>
              <w:bidi w:val="0"/>
              <w:rPr>
                <w:rFonts w:hint="default"/>
                <w:lang w:val="en-US" w:eastAsia="zh-CN"/>
              </w:rPr>
            </w:pPr>
            <w:r>
              <w:rPr>
                <w:rFonts w:hint="eastAsia"/>
                <w:lang w:val="en-US" w:eastAsia="zh-CN"/>
              </w:rPr>
              <w:t>7</w:t>
            </w:r>
            <w:r>
              <w:rPr>
                <w:rFonts w:hint="default"/>
                <w:lang w:val="en-US" w:eastAsia="zh-CN"/>
              </w:rPr>
              <w:t>×10</w:t>
            </w:r>
            <w:r>
              <w:rPr>
                <w:rFonts w:hint="default"/>
                <w:vertAlign w:val="superscript"/>
                <w:lang w:val="en-US" w:eastAsia="zh-CN"/>
              </w:rPr>
              <w:t>-</w:t>
            </w:r>
            <w:r>
              <w:rPr>
                <w:rFonts w:hint="eastAsia"/>
                <w:vertAlign w:val="superscript"/>
                <w:lang w:val="en-US" w:eastAsia="zh-CN"/>
              </w:rPr>
              <w:t>5</w:t>
            </w:r>
          </w:p>
        </w:tc>
        <w:tc>
          <w:tcPr>
            <w:tcW w:w="617" w:type="pct"/>
            <w:noWrap w:val="0"/>
            <w:vAlign w:val="center"/>
          </w:tcPr>
          <w:p>
            <w:pPr>
              <w:pStyle w:val="29"/>
              <w:bidi w:val="0"/>
              <w:rPr>
                <w:rFonts w:hint="eastAsia"/>
                <w:lang w:val="en-US" w:eastAsia="zh-CN"/>
              </w:rPr>
            </w:pPr>
            <w:r>
              <w:rPr>
                <w:rFonts w:hint="eastAsia"/>
                <w:lang w:val="en-US" w:eastAsia="zh-CN"/>
              </w:rPr>
              <w:t>8</w:t>
            </w:r>
            <w:r>
              <w:rPr>
                <w:rFonts w:hint="default"/>
                <w:lang w:val="en-US" w:eastAsia="zh-CN"/>
              </w:rPr>
              <w:t>×10</w:t>
            </w:r>
            <w:r>
              <w:rPr>
                <w:rFonts w:hint="default"/>
                <w:vertAlign w:val="superscript"/>
                <w:lang w:val="en-US" w:eastAsia="zh-CN"/>
              </w:rPr>
              <w:t>-</w:t>
            </w:r>
            <w:r>
              <w:rPr>
                <w:rFonts w:hint="eastAsia"/>
                <w:vertAlign w:val="superscript"/>
                <w:lang w:val="en-US" w:eastAsia="zh-CN"/>
              </w:rPr>
              <w:t>5</w:t>
            </w:r>
          </w:p>
        </w:tc>
        <w:tc>
          <w:tcPr>
            <w:tcW w:w="617" w:type="pct"/>
            <w:noWrap w:val="0"/>
            <w:vAlign w:val="center"/>
          </w:tcPr>
          <w:p>
            <w:pPr>
              <w:pStyle w:val="29"/>
              <w:bidi w:val="0"/>
              <w:rPr>
                <w:rFonts w:hint="eastAsia"/>
                <w:lang w:val="en-US" w:eastAsia="zh-CN"/>
              </w:rPr>
            </w:pPr>
            <w:r>
              <w:rPr>
                <w:rFonts w:hint="eastAsia"/>
                <w:lang w:val="en-US" w:eastAsia="zh-CN"/>
              </w:rPr>
              <w:t>7</w:t>
            </w:r>
            <w:r>
              <w:rPr>
                <w:rFonts w:hint="default"/>
                <w:lang w:val="en-US" w:eastAsia="zh-CN"/>
              </w:rPr>
              <w:t>×10</w:t>
            </w:r>
            <w:r>
              <w:rPr>
                <w:rFonts w:hint="default"/>
                <w:vertAlign w:val="superscript"/>
                <w:lang w:val="en-US" w:eastAsia="zh-CN"/>
              </w:rPr>
              <w:t>-</w:t>
            </w:r>
            <w:r>
              <w:rPr>
                <w:rFonts w:hint="eastAsia"/>
                <w:vertAlign w:val="superscript"/>
                <w:lang w:val="en-US" w:eastAsia="zh-CN"/>
              </w:rPr>
              <w:t>5</w:t>
            </w:r>
          </w:p>
        </w:tc>
        <w:tc>
          <w:tcPr>
            <w:tcW w:w="620" w:type="pct"/>
            <w:noWrap w:val="0"/>
            <w:vAlign w:val="center"/>
          </w:tcPr>
          <w:p>
            <w:pPr>
              <w:pStyle w:val="29"/>
              <w:bidi w:val="0"/>
              <w:rPr>
                <w:rFonts w:hint="eastAsia"/>
                <w:lang w:val="en-US" w:eastAsia="zh-CN"/>
              </w:rPr>
            </w:pPr>
            <w:r>
              <w:rPr>
                <w:rFonts w:hint="eastAsia"/>
                <w:lang w:val="en-US" w:eastAsia="zh-CN"/>
              </w:rPr>
              <w:t>7</w:t>
            </w:r>
            <w:r>
              <w:rPr>
                <w:rFonts w:hint="default"/>
                <w:lang w:val="en-US" w:eastAsia="zh-CN"/>
              </w:rPr>
              <w:t>×10-</w:t>
            </w:r>
            <w:r>
              <w:rPr>
                <w:rFonts w:hint="eastAsia"/>
                <w:vertAlign w:val="superscript"/>
                <w:lang w:val="en-US" w:eastAsia="zh-CN"/>
              </w:rPr>
              <w:t>5</w:t>
            </w:r>
          </w:p>
        </w:tc>
        <w:tc>
          <w:tcPr>
            <w:tcW w:w="536" w:type="pct"/>
            <w:noWrap w:val="0"/>
            <w:vAlign w:val="center"/>
          </w:tcPr>
          <w:p>
            <w:pPr>
              <w:pStyle w:val="29"/>
              <w:bidi w:val="0"/>
              <w:rPr>
                <w:rFonts w:hint="eastAsia"/>
                <w:lang w:val="en-US" w:eastAsia="zh-CN"/>
              </w:rPr>
            </w:pPr>
            <w:r>
              <w:rPr>
                <w:rFonts w:hint="eastAsia"/>
                <w:lang w:val="en-US"/>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center"/>
          </w:tcPr>
          <w:p>
            <w:pPr>
              <w:pStyle w:val="29"/>
              <w:bidi w:val="0"/>
            </w:pPr>
          </w:p>
        </w:tc>
        <w:tc>
          <w:tcPr>
            <w:tcW w:w="635" w:type="pct"/>
            <w:vMerge w:val="continue"/>
            <w:noWrap w:val="0"/>
            <w:vAlign w:val="center"/>
          </w:tcPr>
          <w:p>
            <w:pPr>
              <w:pStyle w:val="29"/>
              <w:bidi w:val="0"/>
            </w:pPr>
          </w:p>
        </w:tc>
        <w:tc>
          <w:tcPr>
            <w:tcW w:w="989" w:type="pct"/>
            <w:noWrap w:val="0"/>
            <w:vAlign w:val="center"/>
          </w:tcPr>
          <w:p>
            <w:pPr>
              <w:pStyle w:val="29"/>
              <w:bidi w:val="0"/>
              <w:rPr>
                <w:rFonts w:hint="eastAsia"/>
                <w:lang w:val="en-US" w:eastAsia="zh-CN"/>
              </w:rPr>
            </w:pPr>
            <w:r>
              <w:rPr>
                <w:rFonts w:hint="eastAsia"/>
                <w:lang w:val="en-US" w:eastAsia="zh-CN"/>
              </w:rPr>
              <w:t>总镉①</w:t>
            </w:r>
          </w:p>
        </w:tc>
        <w:tc>
          <w:tcPr>
            <w:tcW w:w="617" w:type="pct"/>
            <w:noWrap w:val="0"/>
            <w:vAlign w:val="center"/>
          </w:tcPr>
          <w:p>
            <w:pPr>
              <w:pStyle w:val="29"/>
              <w:bidi w:val="0"/>
              <w:rPr>
                <w:rFonts w:hint="default"/>
                <w:lang w:val="en-US" w:eastAsia="zh-CN"/>
              </w:rPr>
            </w:pPr>
            <w:r>
              <w:rPr>
                <w:rFonts w:hint="eastAsia"/>
                <w:lang w:val="en-US" w:eastAsia="zh-CN"/>
              </w:rPr>
              <w:t>1.6</w:t>
            </w:r>
            <w:r>
              <w:rPr>
                <w:rFonts w:hint="default"/>
                <w:lang w:val="en-US" w:eastAsia="zh-CN"/>
              </w:rPr>
              <w:t>×10</w:t>
            </w:r>
            <w:r>
              <w:rPr>
                <w:rFonts w:hint="default"/>
                <w:vertAlign w:val="superscript"/>
                <w:lang w:val="en-US" w:eastAsia="zh-CN"/>
              </w:rPr>
              <w:t>-4</w:t>
            </w:r>
          </w:p>
        </w:tc>
        <w:tc>
          <w:tcPr>
            <w:tcW w:w="617" w:type="pct"/>
            <w:noWrap w:val="0"/>
            <w:vAlign w:val="center"/>
          </w:tcPr>
          <w:p>
            <w:pPr>
              <w:pStyle w:val="29"/>
              <w:bidi w:val="0"/>
              <w:rPr>
                <w:rFonts w:hint="default"/>
                <w:lang w:val="en-US" w:eastAsia="zh-CN"/>
              </w:rPr>
            </w:pPr>
            <w:r>
              <w:rPr>
                <w:rFonts w:hint="eastAsia"/>
                <w:lang w:val="en-US" w:eastAsia="zh-CN"/>
              </w:rPr>
              <w:t>5</w:t>
            </w:r>
            <w:r>
              <w:rPr>
                <w:rFonts w:hint="default"/>
                <w:lang w:val="en-US" w:eastAsia="zh-CN"/>
              </w:rPr>
              <w:t>×10</w:t>
            </w:r>
            <w:r>
              <w:rPr>
                <w:rFonts w:hint="default"/>
                <w:vertAlign w:val="superscript"/>
                <w:lang w:val="en-US" w:eastAsia="zh-CN"/>
              </w:rPr>
              <w:t>-</w:t>
            </w:r>
            <w:r>
              <w:rPr>
                <w:rFonts w:hint="eastAsia"/>
                <w:vertAlign w:val="superscript"/>
                <w:lang w:val="en-US" w:eastAsia="zh-CN"/>
              </w:rPr>
              <w:t>5</w:t>
            </w:r>
            <w:r>
              <w:rPr>
                <w:rFonts w:hint="eastAsia"/>
                <w:lang w:val="en-US" w:eastAsia="zh-CN"/>
              </w:rPr>
              <w:t>L</w:t>
            </w:r>
          </w:p>
        </w:tc>
        <w:tc>
          <w:tcPr>
            <w:tcW w:w="617" w:type="pct"/>
            <w:noWrap w:val="0"/>
            <w:vAlign w:val="center"/>
          </w:tcPr>
          <w:p>
            <w:pPr>
              <w:pStyle w:val="29"/>
              <w:bidi w:val="0"/>
              <w:rPr>
                <w:rFonts w:hint="eastAsia"/>
                <w:lang w:val="en-US" w:eastAsia="zh-CN"/>
              </w:rPr>
            </w:pPr>
            <w:r>
              <w:rPr>
                <w:rFonts w:hint="eastAsia"/>
                <w:lang w:val="en-US" w:eastAsia="zh-CN"/>
              </w:rPr>
              <w:t>6</w:t>
            </w:r>
            <w:r>
              <w:rPr>
                <w:rFonts w:hint="default"/>
                <w:lang w:val="en-US" w:eastAsia="zh-CN"/>
              </w:rPr>
              <w:t>×10</w:t>
            </w:r>
            <w:r>
              <w:rPr>
                <w:rFonts w:hint="default"/>
                <w:vertAlign w:val="superscript"/>
                <w:lang w:val="en-US" w:eastAsia="zh-CN"/>
              </w:rPr>
              <w:t>-</w:t>
            </w:r>
            <w:r>
              <w:rPr>
                <w:rFonts w:hint="eastAsia"/>
                <w:vertAlign w:val="superscript"/>
                <w:lang w:val="en-US" w:eastAsia="zh-CN"/>
              </w:rPr>
              <w:t>5</w:t>
            </w:r>
          </w:p>
        </w:tc>
        <w:tc>
          <w:tcPr>
            <w:tcW w:w="620" w:type="pct"/>
            <w:noWrap w:val="0"/>
            <w:vAlign w:val="center"/>
          </w:tcPr>
          <w:p>
            <w:pPr>
              <w:pStyle w:val="29"/>
              <w:bidi w:val="0"/>
              <w:rPr>
                <w:rFonts w:hint="default"/>
                <w:lang w:val="en-US" w:eastAsia="zh-CN"/>
              </w:rPr>
            </w:pPr>
            <w:r>
              <w:rPr>
                <w:rFonts w:hint="eastAsia"/>
                <w:lang w:val="en-US" w:eastAsia="zh-CN"/>
              </w:rPr>
              <w:t>8</w:t>
            </w:r>
            <w:r>
              <w:rPr>
                <w:rFonts w:hint="default"/>
                <w:lang w:val="en-US" w:eastAsia="zh-CN"/>
              </w:rPr>
              <w:t>×1</w:t>
            </w:r>
            <w:r>
              <w:rPr>
                <w:rFonts w:hint="eastAsia"/>
                <w:lang w:val="en-US" w:eastAsia="zh-CN"/>
              </w:rPr>
              <w:t>0</w:t>
            </w:r>
            <w:r>
              <w:rPr>
                <w:rFonts w:hint="default"/>
                <w:vertAlign w:val="superscript"/>
                <w:lang w:val="en-US" w:eastAsia="zh-CN"/>
              </w:rPr>
              <w:t>-</w:t>
            </w:r>
            <w:r>
              <w:rPr>
                <w:rFonts w:hint="eastAsia"/>
                <w:vertAlign w:val="superscript"/>
                <w:lang w:val="en-US" w:eastAsia="zh-CN"/>
              </w:rPr>
              <w:t>5</w:t>
            </w:r>
          </w:p>
        </w:tc>
        <w:tc>
          <w:tcPr>
            <w:tcW w:w="536" w:type="pct"/>
            <w:noWrap w:val="0"/>
            <w:vAlign w:val="center"/>
          </w:tcPr>
          <w:p>
            <w:pPr>
              <w:pStyle w:val="29"/>
              <w:bidi w:val="0"/>
              <w:rPr>
                <w:rFonts w:hint="eastAsia"/>
                <w:lang w:val="en-US" w:eastAsia="zh-CN"/>
              </w:rPr>
            </w:pPr>
            <w:r>
              <w:rPr>
                <w:rFonts w:hint="eastAsia"/>
                <w:lang w:val="en-US"/>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top"/>
          </w:tcPr>
          <w:p>
            <w:pPr>
              <w:pStyle w:val="29"/>
              <w:bidi w:val="0"/>
            </w:pPr>
          </w:p>
        </w:tc>
        <w:tc>
          <w:tcPr>
            <w:tcW w:w="635" w:type="pct"/>
            <w:vMerge w:val="continue"/>
            <w:noWrap w:val="0"/>
            <w:vAlign w:val="top"/>
          </w:tcPr>
          <w:p>
            <w:pPr>
              <w:pStyle w:val="29"/>
              <w:bidi w:val="0"/>
            </w:pPr>
          </w:p>
        </w:tc>
        <w:tc>
          <w:tcPr>
            <w:tcW w:w="989" w:type="pct"/>
            <w:noWrap w:val="0"/>
            <w:vAlign w:val="center"/>
          </w:tcPr>
          <w:p>
            <w:pPr>
              <w:pStyle w:val="29"/>
              <w:bidi w:val="0"/>
              <w:rPr>
                <w:rFonts w:hint="eastAsia"/>
                <w:lang w:val="en-US" w:eastAsia="zh-CN"/>
              </w:rPr>
            </w:pPr>
            <w:r>
              <w:rPr>
                <w:rFonts w:hint="eastAsia"/>
                <w:lang w:val="en-US" w:eastAsia="zh-CN"/>
              </w:rPr>
              <w:t>总砷①</w:t>
            </w:r>
          </w:p>
        </w:tc>
        <w:tc>
          <w:tcPr>
            <w:tcW w:w="617" w:type="pct"/>
            <w:noWrap w:val="0"/>
            <w:vAlign w:val="center"/>
          </w:tcPr>
          <w:p>
            <w:pPr>
              <w:pStyle w:val="29"/>
              <w:bidi w:val="0"/>
              <w:rPr>
                <w:rFonts w:hint="default"/>
                <w:lang w:val="en-US" w:eastAsia="zh-CN"/>
              </w:rPr>
            </w:pPr>
            <w:r>
              <w:rPr>
                <w:rFonts w:hint="eastAsia"/>
                <w:lang w:val="en-US" w:eastAsia="zh-CN"/>
              </w:rPr>
              <w:t>4.5</w:t>
            </w:r>
            <w:r>
              <w:rPr>
                <w:rFonts w:hint="default"/>
                <w:lang w:val="en-US" w:eastAsia="zh-CN"/>
              </w:rPr>
              <w:t>×10</w:t>
            </w:r>
            <w:r>
              <w:rPr>
                <w:rFonts w:hint="default"/>
                <w:vertAlign w:val="superscript"/>
                <w:lang w:val="en-US" w:eastAsia="zh-CN"/>
              </w:rPr>
              <w:t>-4</w:t>
            </w:r>
          </w:p>
        </w:tc>
        <w:tc>
          <w:tcPr>
            <w:tcW w:w="617" w:type="pct"/>
            <w:noWrap w:val="0"/>
            <w:vAlign w:val="center"/>
          </w:tcPr>
          <w:p>
            <w:pPr>
              <w:pStyle w:val="29"/>
              <w:bidi w:val="0"/>
              <w:rPr>
                <w:rFonts w:hint="default"/>
                <w:lang w:val="en-US" w:eastAsia="zh-CN"/>
              </w:rPr>
            </w:pPr>
            <w:r>
              <w:rPr>
                <w:rFonts w:hint="eastAsia"/>
                <w:lang w:val="en-US" w:eastAsia="zh-CN"/>
              </w:rPr>
              <w:t>4.8</w:t>
            </w:r>
            <w:r>
              <w:rPr>
                <w:rFonts w:hint="default"/>
                <w:lang w:val="en-US" w:eastAsia="zh-CN"/>
              </w:rPr>
              <w:t>×10</w:t>
            </w:r>
            <w:r>
              <w:rPr>
                <w:rFonts w:hint="default"/>
                <w:vertAlign w:val="superscript"/>
                <w:lang w:val="en-US" w:eastAsia="zh-CN"/>
              </w:rPr>
              <w:t>-4</w:t>
            </w:r>
          </w:p>
        </w:tc>
        <w:tc>
          <w:tcPr>
            <w:tcW w:w="617" w:type="pct"/>
            <w:noWrap w:val="0"/>
            <w:vAlign w:val="center"/>
          </w:tcPr>
          <w:p>
            <w:pPr>
              <w:pStyle w:val="29"/>
              <w:bidi w:val="0"/>
              <w:rPr>
                <w:rFonts w:hint="default"/>
                <w:lang w:val="en-US" w:eastAsia="zh-CN"/>
              </w:rPr>
            </w:pPr>
            <w:r>
              <w:rPr>
                <w:rFonts w:hint="eastAsia"/>
                <w:lang w:val="en-US" w:eastAsia="zh-CN"/>
              </w:rPr>
              <w:t>3.4</w:t>
            </w:r>
            <w:r>
              <w:rPr>
                <w:rFonts w:hint="default"/>
                <w:lang w:val="en-US" w:eastAsia="zh-CN"/>
              </w:rPr>
              <w:t>×10</w:t>
            </w:r>
            <w:r>
              <w:rPr>
                <w:rFonts w:hint="default"/>
                <w:vertAlign w:val="superscript"/>
                <w:lang w:val="en-US" w:eastAsia="zh-CN"/>
              </w:rPr>
              <w:t>-4</w:t>
            </w:r>
          </w:p>
        </w:tc>
        <w:tc>
          <w:tcPr>
            <w:tcW w:w="620" w:type="pct"/>
            <w:noWrap w:val="0"/>
            <w:vAlign w:val="center"/>
          </w:tcPr>
          <w:p>
            <w:pPr>
              <w:pStyle w:val="29"/>
              <w:bidi w:val="0"/>
              <w:rPr>
                <w:rFonts w:hint="default"/>
                <w:lang w:val="en-US" w:eastAsia="zh-CN"/>
              </w:rPr>
            </w:pPr>
            <w:r>
              <w:rPr>
                <w:rFonts w:hint="eastAsia"/>
                <w:lang w:val="en-US" w:eastAsia="zh-CN"/>
              </w:rPr>
              <w:t>3.3</w:t>
            </w:r>
            <w:r>
              <w:rPr>
                <w:rFonts w:hint="default"/>
                <w:lang w:val="en-US" w:eastAsia="zh-CN"/>
              </w:rPr>
              <w:t>×10</w:t>
            </w:r>
            <w:r>
              <w:rPr>
                <w:rFonts w:hint="default"/>
                <w:vertAlign w:val="superscript"/>
                <w:lang w:val="en-US" w:eastAsia="zh-CN"/>
              </w:rPr>
              <w:t>-4</w:t>
            </w:r>
          </w:p>
        </w:tc>
        <w:tc>
          <w:tcPr>
            <w:tcW w:w="536" w:type="pct"/>
            <w:noWrap w:val="0"/>
            <w:vAlign w:val="center"/>
          </w:tcPr>
          <w:p>
            <w:pPr>
              <w:pStyle w:val="29"/>
              <w:bidi w:val="0"/>
              <w:rPr>
                <w:rFonts w:hint="eastAsia"/>
                <w:lang w:val="en-US" w:eastAsia="zh-CN"/>
              </w:rPr>
            </w:pPr>
            <w:r>
              <w:rPr>
                <w:rFonts w:hint="eastAsia"/>
                <w:lang w:val="en-US"/>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top"/>
          </w:tcPr>
          <w:p>
            <w:pPr>
              <w:pStyle w:val="29"/>
              <w:bidi w:val="0"/>
            </w:pPr>
          </w:p>
        </w:tc>
        <w:tc>
          <w:tcPr>
            <w:tcW w:w="635" w:type="pct"/>
            <w:vMerge w:val="continue"/>
            <w:noWrap w:val="0"/>
            <w:vAlign w:val="top"/>
          </w:tcPr>
          <w:p>
            <w:pPr>
              <w:pStyle w:val="29"/>
              <w:bidi w:val="0"/>
            </w:pPr>
          </w:p>
        </w:tc>
        <w:tc>
          <w:tcPr>
            <w:tcW w:w="989" w:type="pct"/>
            <w:noWrap w:val="0"/>
            <w:vAlign w:val="center"/>
          </w:tcPr>
          <w:p>
            <w:pPr>
              <w:pStyle w:val="29"/>
              <w:bidi w:val="0"/>
              <w:rPr>
                <w:rFonts w:hint="eastAsia"/>
                <w:lang w:val="en-US" w:eastAsia="zh-CN"/>
              </w:rPr>
            </w:pPr>
            <w:r>
              <w:rPr>
                <w:rFonts w:hint="eastAsia"/>
                <w:lang w:val="en-US" w:eastAsia="zh-CN"/>
              </w:rPr>
              <w:t>总铅①</w:t>
            </w:r>
          </w:p>
        </w:tc>
        <w:tc>
          <w:tcPr>
            <w:tcW w:w="617" w:type="pct"/>
            <w:noWrap w:val="0"/>
            <w:vAlign w:val="center"/>
          </w:tcPr>
          <w:p>
            <w:pPr>
              <w:pStyle w:val="29"/>
              <w:bidi w:val="0"/>
              <w:rPr>
                <w:rFonts w:hint="default"/>
                <w:lang w:val="en-US" w:eastAsia="zh-CN"/>
              </w:rPr>
            </w:pPr>
            <w:r>
              <w:rPr>
                <w:rFonts w:hint="default"/>
                <w:lang w:val="en-US" w:eastAsia="zh-CN"/>
              </w:rPr>
              <w:t>3.4×10</w:t>
            </w:r>
            <w:r>
              <w:rPr>
                <w:rFonts w:hint="default"/>
                <w:vertAlign w:val="superscript"/>
                <w:lang w:val="en-US" w:eastAsia="zh-CN"/>
              </w:rPr>
              <w:t>-4</w:t>
            </w:r>
          </w:p>
        </w:tc>
        <w:tc>
          <w:tcPr>
            <w:tcW w:w="617" w:type="pct"/>
            <w:noWrap w:val="0"/>
            <w:vAlign w:val="center"/>
          </w:tcPr>
          <w:p>
            <w:pPr>
              <w:pStyle w:val="29"/>
              <w:bidi w:val="0"/>
              <w:rPr>
                <w:rFonts w:hint="default"/>
                <w:lang w:val="en-US" w:eastAsia="zh-CN"/>
              </w:rPr>
            </w:pPr>
            <w:r>
              <w:rPr>
                <w:rFonts w:hint="eastAsia"/>
                <w:lang w:val="en-US" w:eastAsia="zh-CN"/>
              </w:rPr>
              <w:t>9</w:t>
            </w:r>
            <w:r>
              <w:rPr>
                <w:rFonts w:hint="default"/>
                <w:lang w:val="en-US" w:eastAsia="zh-CN"/>
              </w:rPr>
              <w:t>×10</w:t>
            </w:r>
            <w:r>
              <w:rPr>
                <w:rFonts w:hint="default"/>
                <w:vertAlign w:val="superscript"/>
                <w:lang w:val="en-US" w:eastAsia="zh-CN"/>
              </w:rPr>
              <w:t>-</w:t>
            </w:r>
            <w:r>
              <w:rPr>
                <w:rFonts w:hint="eastAsia"/>
                <w:vertAlign w:val="superscript"/>
                <w:lang w:val="en-US" w:eastAsia="zh-CN"/>
              </w:rPr>
              <w:t>5</w:t>
            </w:r>
            <w:r>
              <w:rPr>
                <w:rFonts w:hint="eastAsia"/>
                <w:lang w:val="en-US" w:eastAsia="zh-CN"/>
              </w:rPr>
              <w:t>L</w:t>
            </w:r>
          </w:p>
        </w:tc>
        <w:tc>
          <w:tcPr>
            <w:tcW w:w="617" w:type="pct"/>
            <w:noWrap w:val="0"/>
            <w:vAlign w:val="center"/>
          </w:tcPr>
          <w:p>
            <w:pPr>
              <w:pStyle w:val="29"/>
              <w:bidi w:val="0"/>
              <w:rPr>
                <w:rFonts w:hint="default"/>
                <w:lang w:val="en-US" w:eastAsia="zh-CN"/>
              </w:rPr>
            </w:pPr>
            <w:r>
              <w:rPr>
                <w:rFonts w:hint="eastAsia"/>
                <w:lang w:val="en-US" w:eastAsia="zh-CN"/>
              </w:rPr>
              <w:t>1.1</w:t>
            </w:r>
            <w:r>
              <w:rPr>
                <w:rFonts w:hint="default"/>
                <w:lang w:val="en-US" w:eastAsia="zh-CN"/>
              </w:rPr>
              <w:t>×10</w:t>
            </w:r>
            <w:r>
              <w:rPr>
                <w:rFonts w:hint="default"/>
                <w:vertAlign w:val="superscript"/>
                <w:lang w:val="en-US" w:eastAsia="zh-CN"/>
              </w:rPr>
              <w:t>-4</w:t>
            </w:r>
          </w:p>
        </w:tc>
        <w:tc>
          <w:tcPr>
            <w:tcW w:w="620" w:type="pct"/>
            <w:noWrap w:val="0"/>
            <w:vAlign w:val="center"/>
          </w:tcPr>
          <w:p>
            <w:pPr>
              <w:pStyle w:val="29"/>
              <w:bidi w:val="0"/>
              <w:rPr>
                <w:rFonts w:hint="default"/>
                <w:lang w:val="en-US" w:eastAsia="zh-CN"/>
              </w:rPr>
            </w:pPr>
            <w:r>
              <w:rPr>
                <w:rFonts w:hint="eastAsia"/>
                <w:lang w:val="en-US" w:eastAsia="zh-CN"/>
              </w:rPr>
              <w:t>3.2</w:t>
            </w:r>
            <w:r>
              <w:rPr>
                <w:rFonts w:hint="default"/>
                <w:lang w:val="en-US" w:eastAsia="zh-CN"/>
              </w:rPr>
              <w:t>×10</w:t>
            </w:r>
            <w:r>
              <w:rPr>
                <w:rFonts w:hint="default"/>
                <w:vertAlign w:val="superscript"/>
                <w:lang w:val="en-US" w:eastAsia="zh-CN"/>
              </w:rPr>
              <w:t>-4</w:t>
            </w:r>
          </w:p>
        </w:tc>
        <w:tc>
          <w:tcPr>
            <w:tcW w:w="536" w:type="pct"/>
            <w:noWrap w:val="0"/>
            <w:vAlign w:val="center"/>
          </w:tcPr>
          <w:p>
            <w:pPr>
              <w:pStyle w:val="29"/>
              <w:bidi w:val="0"/>
              <w:rPr>
                <w:rFonts w:hint="eastAsia"/>
                <w:lang w:val="en-US" w:eastAsia="zh-CN"/>
              </w:rPr>
            </w:pPr>
            <w:r>
              <w:rPr>
                <w:rFonts w:hint="eastAsia"/>
                <w:lang w:val="en-US"/>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top"/>
          </w:tcPr>
          <w:p>
            <w:pPr>
              <w:pStyle w:val="29"/>
              <w:bidi w:val="0"/>
            </w:pPr>
          </w:p>
        </w:tc>
        <w:tc>
          <w:tcPr>
            <w:tcW w:w="635" w:type="pct"/>
            <w:vMerge w:val="continue"/>
            <w:noWrap w:val="0"/>
            <w:vAlign w:val="top"/>
          </w:tcPr>
          <w:p>
            <w:pPr>
              <w:pStyle w:val="29"/>
              <w:bidi w:val="0"/>
            </w:pPr>
          </w:p>
        </w:tc>
        <w:tc>
          <w:tcPr>
            <w:tcW w:w="989" w:type="pct"/>
            <w:noWrap w:val="0"/>
            <w:vAlign w:val="center"/>
          </w:tcPr>
          <w:p>
            <w:pPr>
              <w:pStyle w:val="29"/>
              <w:bidi w:val="0"/>
              <w:rPr>
                <w:rFonts w:hint="default"/>
                <w:lang w:val="en-US" w:eastAsia="zh-CN"/>
              </w:rPr>
            </w:pPr>
            <w:r>
              <w:rPr>
                <w:rFonts w:hint="eastAsia"/>
                <w:lang w:val="en-US" w:eastAsia="zh-CN"/>
              </w:rPr>
              <w:t>烷基汞②</w:t>
            </w:r>
          </w:p>
        </w:tc>
        <w:tc>
          <w:tcPr>
            <w:tcW w:w="617" w:type="pct"/>
            <w:noWrap w:val="0"/>
            <w:vAlign w:val="center"/>
          </w:tcPr>
          <w:p>
            <w:pPr>
              <w:pStyle w:val="29"/>
              <w:bidi w:val="0"/>
              <w:rPr>
                <w:rFonts w:hint="default"/>
                <w:lang w:val="en-US" w:eastAsia="zh-CN"/>
              </w:rPr>
            </w:pPr>
            <w:r>
              <w:rPr>
                <w:rFonts w:hint="eastAsia"/>
                <w:lang w:val="en-US" w:eastAsia="zh-CN"/>
              </w:rPr>
              <w:t>未检出</w:t>
            </w:r>
          </w:p>
        </w:tc>
        <w:tc>
          <w:tcPr>
            <w:tcW w:w="617" w:type="pct"/>
            <w:noWrap w:val="0"/>
            <w:vAlign w:val="center"/>
          </w:tcPr>
          <w:p>
            <w:pPr>
              <w:pStyle w:val="29"/>
              <w:bidi w:val="0"/>
              <w:rPr>
                <w:rFonts w:hint="default"/>
                <w:lang w:val="en-US" w:eastAsia="zh-CN"/>
              </w:rPr>
            </w:pPr>
            <w:r>
              <w:rPr>
                <w:rFonts w:hint="eastAsia"/>
                <w:lang w:val="en-US" w:eastAsia="zh-CN"/>
              </w:rPr>
              <w:t>未检出</w:t>
            </w:r>
          </w:p>
        </w:tc>
        <w:tc>
          <w:tcPr>
            <w:tcW w:w="617" w:type="pct"/>
            <w:noWrap w:val="0"/>
            <w:vAlign w:val="center"/>
          </w:tcPr>
          <w:p>
            <w:pPr>
              <w:pStyle w:val="29"/>
              <w:bidi w:val="0"/>
              <w:rPr>
                <w:rFonts w:hint="default"/>
                <w:lang w:val="en-US" w:eastAsia="zh-CN"/>
              </w:rPr>
            </w:pPr>
            <w:r>
              <w:rPr>
                <w:rFonts w:hint="eastAsia"/>
                <w:lang w:val="en-US" w:eastAsia="zh-CN"/>
              </w:rPr>
              <w:t>未检出</w:t>
            </w:r>
          </w:p>
        </w:tc>
        <w:tc>
          <w:tcPr>
            <w:tcW w:w="620" w:type="pct"/>
            <w:noWrap w:val="0"/>
            <w:vAlign w:val="center"/>
          </w:tcPr>
          <w:p>
            <w:pPr>
              <w:pStyle w:val="29"/>
              <w:bidi w:val="0"/>
              <w:rPr>
                <w:rFonts w:hint="default"/>
                <w:lang w:val="en-US" w:eastAsia="zh-CN"/>
              </w:rPr>
            </w:pPr>
            <w:r>
              <w:rPr>
                <w:rFonts w:hint="eastAsia"/>
                <w:lang w:val="en-US" w:eastAsia="zh-CN"/>
              </w:rPr>
              <w:t>未检出</w:t>
            </w:r>
          </w:p>
        </w:tc>
        <w:tc>
          <w:tcPr>
            <w:tcW w:w="536" w:type="pct"/>
            <w:noWrap w:val="0"/>
            <w:vAlign w:val="center"/>
          </w:tcPr>
          <w:p>
            <w:pPr>
              <w:pStyle w:val="29"/>
              <w:bidi w:val="0"/>
              <w:rPr>
                <w:rFonts w:hint="default"/>
                <w:lang w:val="en-US" w:eastAsia="zh-CN"/>
              </w:rPr>
            </w:pPr>
            <w:r>
              <w:rPr>
                <w:rFonts w:hint="eastAsia"/>
                <w:lang w:val="en-US"/>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top"/>
          </w:tcPr>
          <w:p>
            <w:pPr>
              <w:pStyle w:val="29"/>
              <w:bidi w:val="0"/>
            </w:pPr>
          </w:p>
        </w:tc>
        <w:tc>
          <w:tcPr>
            <w:tcW w:w="635" w:type="pct"/>
            <w:vMerge w:val="restart"/>
            <w:noWrap w:val="0"/>
            <w:vAlign w:val="center"/>
          </w:tcPr>
          <w:p>
            <w:pPr>
              <w:pStyle w:val="29"/>
              <w:bidi w:val="0"/>
              <w:rPr>
                <w:rFonts w:hint="default"/>
                <w:lang w:val="en-US" w:eastAsia="zh-CN"/>
              </w:rPr>
            </w:pPr>
            <w:r>
              <w:rPr>
                <w:rFonts w:hint="eastAsia"/>
                <w:lang w:val="en-US" w:eastAsia="zh-CN"/>
              </w:rPr>
              <w:t>2022-5-25</w:t>
            </w:r>
          </w:p>
        </w:tc>
        <w:tc>
          <w:tcPr>
            <w:tcW w:w="989" w:type="pct"/>
            <w:noWrap w:val="0"/>
            <w:vAlign w:val="center"/>
          </w:tcPr>
          <w:p>
            <w:pPr>
              <w:pStyle w:val="29"/>
              <w:bidi w:val="0"/>
              <w:rPr>
                <w:rFonts w:hint="eastAsia"/>
                <w:lang w:val="en-US" w:eastAsia="zh-CN"/>
              </w:rPr>
            </w:pPr>
            <w:r>
              <w:rPr>
                <w:lang w:val="en-US"/>
              </w:rPr>
              <w:t>pH</w:t>
            </w:r>
          </w:p>
        </w:tc>
        <w:tc>
          <w:tcPr>
            <w:tcW w:w="617" w:type="pct"/>
            <w:noWrap w:val="0"/>
            <w:vAlign w:val="center"/>
          </w:tcPr>
          <w:p>
            <w:pPr>
              <w:pStyle w:val="29"/>
              <w:bidi w:val="0"/>
              <w:rPr>
                <w:rFonts w:hint="eastAsia"/>
                <w:lang w:val="en-US" w:eastAsia="zh-CN"/>
              </w:rPr>
            </w:pPr>
            <w:r>
              <w:rPr>
                <w:rFonts w:hint="eastAsia"/>
                <w:lang w:val="en-US" w:eastAsia="zh-CN"/>
              </w:rPr>
              <w:t>7.4</w:t>
            </w:r>
          </w:p>
        </w:tc>
        <w:tc>
          <w:tcPr>
            <w:tcW w:w="617" w:type="pct"/>
            <w:noWrap w:val="0"/>
            <w:vAlign w:val="center"/>
          </w:tcPr>
          <w:p>
            <w:pPr>
              <w:pStyle w:val="29"/>
              <w:bidi w:val="0"/>
              <w:rPr>
                <w:rFonts w:hint="eastAsia"/>
                <w:lang w:val="en-US" w:eastAsia="zh-CN"/>
              </w:rPr>
            </w:pPr>
            <w:r>
              <w:rPr>
                <w:rFonts w:hint="eastAsia"/>
                <w:lang w:val="en-US" w:eastAsia="zh-CN"/>
              </w:rPr>
              <w:t>7.3</w:t>
            </w:r>
          </w:p>
        </w:tc>
        <w:tc>
          <w:tcPr>
            <w:tcW w:w="617" w:type="pct"/>
            <w:noWrap w:val="0"/>
            <w:vAlign w:val="center"/>
          </w:tcPr>
          <w:p>
            <w:pPr>
              <w:pStyle w:val="29"/>
              <w:bidi w:val="0"/>
              <w:rPr>
                <w:rFonts w:hint="eastAsia"/>
                <w:lang w:val="en-US" w:eastAsia="zh-CN"/>
              </w:rPr>
            </w:pPr>
            <w:r>
              <w:rPr>
                <w:rFonts w:hint="eastAsia"/>
                <w:lang w:val="en-US" w:eastAsia="zh-CN"/>
              </w:rPr>
              <w:t>7.4</w:t>
            </w:r>
          </w:p>
        </w:tc>
        <w:tc>
          <w:tcPr>
            <w:tcW w:w="620" w:type="pct"/>
            <w:noWrap w:val="0"/>
            <w:vAlign w:val="center"/>
          </w:tcPr>
          <w:p>
            <w:pPr>
              <w:pStyle w:val="29"/>
              <w:bidi w:val="0"/>
              <w:rPr>
                <w:rFonts w:hint="eastAsia"/>
                <w:lang w:val="en-US" w:eastAsia="zh-CN"/>
              </w:rPr>
            </w:pPr>
            <w:r>
              <w:rPr>
                <w:rFonts w:hint="eastAsia"/>
                <w:lang w:val="en-US" w:eastAsia="zh-CN"/>
              </w:rPr>
              <w:t>7.4</w:t>
            </w:r>
          </w:p>
        </w:tc>
        <w:tc>
          <w:tcPr>
            <w:tcW w:w="536" w:type="pct"/>
            <w:noWrap w:val="0"/>
            <w:vAlign w:val="center"/>
          </w:tcPr>
          <w:p>
            <w:pPr>
              <w:pStyle w:val="29"/>
              <w:bidi w:val="0"/>
              <w:rPr>
                <w:rFonts w:hint="eastAsia"/>
                <w:lang w:val="en-US" w:eastAsia="zh-CN"/>
              </w:rPr>
            </w:pPr>
            <w:r>
              <w:rPr>
                <w:rFonts w:hint="eastAsia"/>
                <w:lang w:val="en-US"/>
              </w:rPr>
              <w:t>无量纲</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top"/>
          </w:tcPr>
          <w:p>
            <w:pPr>
              <w:pStyle w:val="29"/>
              <w:bidi w:val="0"/>
            </w:pPr>
          </w:p>
        </w:tc>
        <w:tc>
          <w:tcPr>
            <w:tcW w:w="635" w:type="pct"/>
            <w:vMerge w:val="continue"/>
            <w:noWrap w:val="0"/>
            <w:vAlign w:val="top"/>
          </w:tcPr>
          <w:p>
            <w:pPr>
              <w:pStyle w:val="29"/>
              <w:bidi w:val="0"/>
            </w:pPr>
          </w:p>
        </w:tc>
        <w:tc>
          <w:tcPr>
            <w:tcW w:w="989" w:type="pct"/>
            <w:noWrap w:val="0"/>
            <w:vAlign w:val="center"/>
          </w:tcPr>
          <w:p>
            <w:pPr>
              <w:pStyle w:val="29"/>
              <w:bidi w:val="0"/>
              <w:rPr>
                <w:rFonts w:hint="eastAsia"/>
                <w:lang w:val="en-US" w:eastAsia="zh-CN"/>
              </w:rPr>
            </w:pPr>
            <w:r>
              <w:rPr>
                <w:rFonts w:hint="eastAsia"/>
                <w:lang w:val="en-US"/>
              </w:rPr>
              <w:t>化学需氧量</w:t>
            </w:r>
          </w:p>
        </w:tc>
        <w:tc>
          <w:tcPr>
            <w:tcW w:w="617" w:type="pct"/>
            <w:noWrap w:val="0"/>
            <w:vAlign w:val="center"/>
          </w:tcPr>
          <w:p>
            <w:pPr>
              <w:pStyle w:val="29"/>
              <w:bidi w:val="0"/>
              <w:rPr>
                <w:rFonts w:hint="eastAsia"/>
                <w:lang w:val="en-US" w:eastAsia="zh-CN"/>
              </w:rPr>
            </w:pPr>
            <w:r>
              <w:rPr>
                <w:rFonts w:hint="eastAsia"/>
                <w:lang w:val="en-US" w:eastAsia="zh-CN"/>
              </w:rPr>
              <w:t>162</w:t>
            </w:r>
          </w:p>
        </w:tc>
        <w:tc>
          <w:tcPr>
            <w:tcW w:w="617" w:type="pct"/>
            <w:noWrap w:val="0"/>
            <w:vAlign w:val="center"/>
          </w:tcPr>
          <w:p>
            <w:pPr>
              <w:pStyle w:val="29"/>
              <w:bidi w:val="0"/>
              <w:rPr>
                <w:rFonts w:hint="eastAsia"/>
                <w:lang w:val="en-US" w:eastAsia="zh-CN"/>
              </w:rPr>
            </w:pPr>
            <w:r>
              <w:rPr>
                <w:rFonts w:hint="eastAsia"/>
                <w:lang w:val="en-US" w:eastAsia="zh-CN"/>
              </w:rPr>
              <w:t>160</w:t>
            </w:r>
          </w:p>
        </w:tc>
        <w:tc>
          <w:tcPr>
            <w:tcW w:w="617" w:type="pct"/>
            <w:noWrap w:val="0"/>
            <w:vAlign w:val="center"/>
          </w:tcPr>
          <w:p>
            <w:pPr>
              <w:pStyle w:val="29"/>
              <w:bidi w:val="0"/>
              <w:rPr>
                <w:rFonts w:hint="eastAsia"/>
                <w:lang w:val="en-US" w:eastAsia="zh-CN"/>
              </w:rPr>
            </w:pPr>
            <w:r>
              <w:rPr>
                <w:rFonts w:hint="eastAsia"/>
                <w:lang w:val="en-US" w:eastAsia="zh-CN"/>
              </w:rPr>
              <w:t>159</w:t>
            </w:r>
          </w:p>
        </w:tc>
        <w:tc>
          <w:tcPr>
            <w:tcW w:w="620" w:type="pct"/>
            <w:noWrap w:val="0"/>
            <w:vAlign w:val="center"/>
          </w:tcPr>
          <w:p>
            <w:pPr>
              <w:pStyle w:val="29"/>
              <w:bidi w:val="0"/>
              <w:rPr>
                <w:rFonts w:hint="eastAsia"/>
                <w:lang w:val="en-US" w:eastAsia="zh-CN"/>
              </w:rPr>
            </w:pPr>
            <w:r>
              <w:rPr>
                <w:rFonts w:hint="eastAsia"/>
                <w:lang w:val="en-US" w:eastAsia="zh-CN"/>
              </w:rPr>
              <w:t>161</w:t>
            </w:r>
          </w:p>
        </w:tc>
        <w:tc>
          <w:tcPr>
            <w:tcW w:w="536" w:type="pct"/>
            <w:noWrap w:val="0"/>
            <w:vAlign w:val="center"/>
          </w:tcPr>
          <w:p>
            <w:pPr>
              <w:pStyle w:val="29"/>
              <w:bidi w:val="0"/>
              <w:rPr>
                <w:rFonts w:hint="eastAsia"/>
                <w:lang w:val="en-US" w:eastAsia="zh-CN"/>
              </w:rPr>
            </w:pPr>
            <w:r>
              <w:rPr>
                <w:rFonts w:hint="eastAsia"/>
                <w:lang w:val="en-US"/>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top"/>
          </w:tcPr>
          <w:p>
            <w:pPr>
              <w:pStyle w:val="29"/>
              <w:bidi w:val="0"/>
            </w:pPr>
          </w:p>
        </w:tc>
        <w:tc>
          <w:tcPr>
            <w:tcW w:w="635" w:type="pct"/>
            <w:vMerge w:val="continue"/>
            <w:noWrap w:val="0"/>
            <w:vAlign w:val="top"/>
          </w:tcPr>
          <w:p>
            <w:pPr>
              <w:pStyle w:val="29"/>
              <w:bidi w:val="0"/>
            </w:pPr>
          </w:p>
        </w:tc>
        <w:tc>
          <w:tcPr>
            <w:tcW w:w="989" w:type="pct"/>
            <w:noWrap w:val="0"/>
            <w:vAlign w:val="center"/>
          </w:tcPr>
          <w:p>
            <w:pPr>
              <w:pStyle w:val="29"/>
              <w:bidi w:val="0"/>
              <w:rPr>
                <w:rFonts w:hint="eastAsia"/>
                <w:lang w:val="en-US" w:eastAsia="zh-CN"/>
              </w:rPr>
            </w:pPr>
            <w:r>
              <w:rPr>
                <w:rFonts w:hint="eastAsia"/>
                <w:lang w:val="en-US"/>
              </w:rPr>
              <w:t>五日生化需氧量</w:t>
            </w:r>
          </w:p>
        </w:tc>
        <w:tc>
          <w:tcPr>
            <w:tcW w:w="617" w:type="pct"/>
            <w:noWrap w:val="0"/>
            <w:vAlign w:val="center"/>
          </w:tcPr>
          <w:p>
            <w:pPr>
              <w:pStyle w:val="29"/>
              <w:bidi w:val="0"/>
              <w:rPr>
                <w:rFonts w:hint="eastAsia"/>
                <w:lang w:val="en-US" w:eastAsia="zh-CN"/>
              </w:rPr>
            </w:pPr>
            <w:r>
              <w:rPr>
                <w:rFonts w:hint="eastAsia"/>
                <w:lang w:val="en-US" w:eastAsia="zh-CN"/>
              </w:rPr>
              <w:t>57.8</w:t>
            </w:r>
          </w:p>
        </w:tc>
        <w:tc>
          <w:tcPr>
            <w:tcW w:w="617" w:type="pct"/>
            <w:noWrap w:val="0"/>
            <w:vAlign w:val="center"/>
          </w:tcPr>
          <w:p>
            <w:pPr>
              <w:pStyle w:val="29"/>
              <w:bidi w:val="0"/>
              <w:rPr>
                <w:rFonts w:hint="eastAsia"/>
                <w:lang w:val="en-US" w:eastAsia="zh-CN"/>
              </w:rPr>
            </w:pPr>
            <w:r>
              <w:rPr>
                <w:rFonts w:hint="eastAsia"/>
                <w:lang w:val="en-US" w:eastAsia="zh-CN"/>
              </w:rPr>
              <w:t>52.8</w:t>
            </w:r>
          </w:p>
        </w:tc>
        <w:tc>
          <w:tcPr>
            <w:tcW w:w="617" w:type="pct"/>
            <w:noWrap w:val="0"/>
            <w:vAlign w:val="center"/>
          </w:tcPr>
          <w:p>
            <w:pPr>
              <w:pStyle w:val="29"/>
              <w:bidi w:val="0"/>
              <w:rPr>
                <w:rFonts w:hint="eastAsia"/>
                <w:lang w:val="en-US" w:eastAsia="zh-CN"/>
              </w:rPr>
            </w:pPr>
            <w:r>
              <w:rPr>
                <w:rFonts w:hint="eastAsia"/>
                <w:lang w:val="en-US" w:eastAsia="zh-CN"/>
              </w:rPr>
              <w:t>57.8</w:t>
            </w:r>
          </w:p>
        </w:tc>
        <w:tc>
          <w:tcPr>
            <w:tcW w:w="620" w:type="pct"/>
            <w:noWrap w:val="0"/>
            <w:vAlign w:val="center"/>
          </w:tcPr>
          <w:p>
            <w:pPr>
              <w:pStyle w:val="29"/>
              <w:bidi w:val="0"/>
              <w:rPr>
                <w:rFonts w:hint="eastAsia"/>
                <w:lang w:val="en-US" w:eastAsia="zh-CN"/>
              </w:rPr>
            </w:pPr>
            <w:r>
              <w:rPr>
                <w:rFonts w:hint="eastAsia"/>
                <w:lang w:val="en-US" w:eastAsia="zh-CN"/>
              </w:rPr>
              <w:t>50.3</w:t>
            </w:r>
          </w:p>
        </w:tc>
        <w:tc>
          <w:tcPr>
            <w:tcW w:w="536" w:type="pct"/>
            <w:noWrap w:val="0"/>
            <w:vAlign w:val="center"/>
          </w:tcPr>
          <w:p>
            <w:pPr>
              <w:pStyle w:val="29"/>
              <w:bidi w:val="0"/>
              <w:rPr>
                <w:rFonts w:hint="eastAsia"/>
                <w:lang w:val="en-US" w:eastAsia="zh-CN"/>
              </w:rPr>
            </w:pPr>
            <w:r>
              <w:rPr>
                <w:rFonts w:hint="eastAsia"/>
                <w:lang w:val="en-US"/>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top"/>
          </w:tcPr>
          <w:p>
            <w:pPr>
              <w:pStyle w:val="29"/>
              <w:bidi w:val="0"/>
            </w:pPr>
          </w:p>
        </w:tc>
        <w:tc>
          <w:tcPr>
            <w:tcW w:w="635" w:type="pct"/>
            <w:vMerge w:val="continue"/>
            <w:noWrap w:val="0"/>
            <w:vAlign w:val="top"/>
          </w:tcPr>
          <w:p>
            <w:pPr>
              <w:pStyle w:val="29"/>
              <w:bidi w:val="0"/>
            </w:pPr>
          </w:p>
        </w:tc>
        <w:tc>
          <w:tcPr>
            <w:tcW w:w="989" w:type="pct"/>
            <w:noWrap w:val="0"/>
            <w:vAlign w:val="center"/>
          </w:tcPr>
          <w:p>
            <w:pPr>
              <w:pStyle w:val="29"/>
              <w:bidi w:val="0"/>
              <w:rPr>
                <w:rFonts w:hint="eastAsia"/>
                <w:lang w:val="en-US" w:eastAsia="zh-CN"/>
              </w:rPr>
            </w:pPr>
            <w:r>
              <w:rPr>
                <w:lang w:val="en-US"/>
              </w:rPr>
              <w:t>氨氮</w:t>
            </w:r>
          </w:p>
        </w:tc>
        <w:tc>
          <w:tcPr>
            <w:tcW w:w="617" w:type="pct"/>
            <w:noWrap w:val="0"/>
            <w:vAlign w:val="center"/>
          </w:tcPr>
          <w:p>
            <w:pPr>
              <w:pStyle w:val="29"/>
              <w:bidi w:val="0"/>
              <w:rPr>
                <w:rFonts w:hint="eastAsia"/>
                <w:lang w:val="en-US" w:eastAsia="zh-CN"/>
              </w:rPr>
            </w:pPr>
            <w:r>
              <w:rPr>
                <w:rFonts w:hint="eastAsia"/>
                <w:lang w:val="en-US" w:eastAsia="zh-CN"/>
              </w:rPr>
              <w:t>18.8</w:t>
            </w:r>
          </w:p>
        </w:tc>
        <w:tc>
          <w:tcPr>
            <w:tcW w:w="617" w:type="pct"/>
            <w:noWrap w:val="0"/>
            <w:vAlign w:val="center"/>
          </w:tcPr>
          <w:p>
            <w:pPr>
              <w:pStyle w:val="29"/>
              <w:bidi w:val="0"/>
              <w:rPr>
                <w:rFonts w:hint="eastAsia"/>
                <w:lang w:val="en-US" w:eastAsia="zh-CN"/>
              </w:rPr>
            </w:pPr>
            <w:r>
              <w:rPr>
                <w:rFonts w:hint="eastAsia"/>
                <w:lang w:val="en-US" w:eastAsia="zh-CN"/>
              </w:rPr>
              <w:t>18.8</w:t>
            </w:r>
          </w:p>
        </w:tc>
        <w:tc>
          <w:tcPr>
            <w:tcW w:w="617" w:type="pct"/>
            <w:noWrap w:val="0"/>
            <w:vAlign w:val="center"/>
          </w:tcPr>
          <w:p>
            <w:pPr>
              <w:pStyle w:val="29"/>
              <w:bidi w:val="0"/>
              <w:rPr>
                <w:rFonts w:hint="eastAsia"/>
                <w:lang w:val="en-US" w:eastAsia="zh-CN"/>
              </w:rPr>
            </w:pPr>
            <w:r>
              <w:rPr>
                <w:rFonts w:hint="eastAsia"/>
                <w:lang w:val="en-US" w:eastAsia="zh-CN"/>
              </w:rPr>
              <w:t>18.5</w:t>
            </w:r>
          </w:p>
        </w:tc>
        <w:tc>
          <w:tcPr>
            <w:tcW w:w="620" w:type="pct"/>
            <w:noWrap w:val="0"/>
            <w:vAlign w:val="center"/>
          </w:tcPr>
          <w:p>
            <w:pPr>
              <w:pStyle w:val="29"/>
              <w:bidi w:val="0"/>
              <w:rPr>
                <w:rFonts w:hint="eastAsia"/>
                <w:lang w:val="en-US" w:eastAsia="zh-CN"/>
              </w:rPr>
            </w:pPr>
            <w:r>
              <w:rPr>
                <w:rFonts w:hint="eastAsia"/>
                <w:lang w:val="en-US" w:eastAsia="zh-CN"/>
              </w:rPr>
              <w:t>19.2</w:t>
            </w:r>
          </w:p>
        </w:tc>
        <w:tc>
          <w:tcPr>
            <w:tcW w:w="536" w:type="pct"/>
            <w:noWrap w:val="0"/>
            <w:vAlign w:val="center"/>
          </w:tcPr>
          <w:p>
            <w:pPr>
              <w:pStyle w:val="29"/>
              <w:bidi w:val="0"/>
              <w:rPr>
                <w:rFonts w:hint="eastAsia"/>
                <w:lang w:val="en-US" w:eastAsia="zh-CN"/>
              </w:rPr>
            </w:pPr>
            <w:r>
              <w:rPr>
                <w:rFonts w:hint="eastAsia"/>
                <w:lang w:val="en-US"/>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top"/>
          </w:tcPr>
          <w:p>
            <w:pPr>
              <w:pStyle w:val="29"/>
              <w:bidi w:val="0"/>
            </w:pPr>
          </w:p>
        </w:tc>
        <w:tc>
          <w:tcPr>
            <w:tcW w:w="635" w:type="pct"/>
            <w:vMerge w:val="continue"/>
            <w:noWrap w:val="0"/>
            <w:vAlign w:val="top"/>
          </w:tcPr>
          <w:p>
            <w:pPr>
              <w:pStyle w:val="29"/>
              <w:bidi w:val="0"/>
            </w:pPr>
          </w:p>
        </w:tc>
        <w:tc>
          <w:tcPr>
            <w:tcW w:w="989" w:type="pct"/>
            <w:noWrap w:val="0"/>
            <w:vAlign w:val="center"/>
          </w:tcPr>
          <w:p>
            <w:pPr>
              <w:pStyle w:val="29"/>
              <w:bidi w:val="0"/>
              <w:rPr>
                <w:rFonts w:hint="eastAsia"/>
                <w:lang w:val="en-US" w:eastAsia="zh-CN"/>
              </w:rPr>
            </w:pPr>
            <w:r>
              <w:rPr>
                <w:rFonts w:hint="default"/>
                <w:lang w:val="en-US" w:eastAsia="zh-CN"/>
              </w:rPr>
              <w:t>总磷</w:t>
            </w:r>
          </w:p>
        </w:tc>
        <w:tc>
          <w:tcPr>
            <w:tcW w:w="617" w:type="pct"/>
            <w:noWrap w:val="0"/>
            <w:vAlign w:val="center"/>
          </w:tcPr>
          <w:p>
            <w:pPr>
              <w:pStyle w:val="29"/>
              <w:bidi w:val="0"/>
              <w:rPr>
                <w:rFonts w:hint="eastAsia"/>
                <w:lang w:val="en-US" w:eastAsia="zh-CN"/>
              </w:rPr>
            </w:pPr>
            <w:r>
              <w:rPr>
                <w:rFonts w:hint="eastAsia"/>
                <w:lang w:val="en-US" w:eastAsia="zh-CN"/>
              </w:rPr>
              <w:t>0.22</w:t>
            </w:r>
          </w:p>
        </w:tc>
        <w:tc>
          <w:tcPr>
            <w:tcW w:w="617" w:type="pct"/>
            <w:noWrap w:val="0"/>
            <w:vAlign w:val="center"/>
          </w:tcPr>
          <w:p>
            <w:pPr>
              <w:pStyle w:val="29"/>
              <w:bidi w:val="0"/>
              <w:rPr>
                <w:rFonts w:hint="eastAsia"/>
                <w:lang w:val="en-US" w:eastAsia="zh-CN"/>
              </w:rPr>
            </w:pPr>
            <w:r>
              <w:rPr>
                <w:rFonts w:hint="eastAsia"/>
                <w:lang w:val="en-US" w:eastAsia="zh-CN"/>
              </w:rPr>
              <w:t>0.22</w:t>
            </w:r>
          </w:p>
        </w:tc>
        <w:tc>
          <w:tcPr>
            <w:tcW w:w="617" w:type="pct"/>
            <w:noWrap w:val="0"/>
            <w:vAlign w:val="center"/>
          </w:tcPr>
          <w:p>
            <w:pPr>
              <w:pStyle w:val="29"/>
              <w:bidi w:val="0"/>
              <w:rPr>
                <w:rFonts w:hint="eastAsia"/>
                <w:lang w:val="en-US" w:eastAsia="zh-CN"/>
              </w:rPr>
            </w:pPr>
            <w:r>
              <w:rPr>
                <w:rFonts w:hint="eastAsia"/>
                <w:lang w:val="en-US" w:eastAsia="zh-CN"/>
              </w:rPr>
              <w:t>0.22</w:t>
            </w:r>
          </w:p>
        </w:tc>
        <w:tc>
          <w:tcPr>
            <w:tcW w:w="620" w:type="pct"/>
            <w:noWrap w:val="0"/>
            <w:vAlign w:val="center"/>
          </w:tcPr>
          <w:p>
            <w:pPr>
              <w:pStyle w:val="29"/>
              <w:bidi w:val="0"/>
              <w:rPr>
                <w:rFonts w:hint="eastAsia"/>
                <w:lang w:val="en-US" w:eastAsia="zh-CN"/>
              </w:rPr>
            </w:pPr>
            <w:r>
              <w:rPr>
                <w:rFonts w:hint="eastAsia"/>
                <w:lang w:val="en-US" w:eastAsia="zh-CN"/>
              </w:rPr>
              <w:t>0.22</w:t>
            </w:r>
          </w:p>
        </w:tc>
        <w:tc>
          <w:tcPr>
            <w:tcW w:w="536" w:type="pct"/>
            <w:noWrap w:val="0"/>
            <w:vAlign w:val="center"/>
          </w:tcPr>
          <w:p>
            <w:pPr>
              <w:pStyle w:val="29"/>
              <w:bidi w:val="0"/>
              <w:rPr>
                <w:rFonts w:hint="eastAsia"/>
                <w:lang w:val="en-US" w:eastAsia="zh-CN"/>
              </w:rPr>
            </w:pPr>
            <w:r>
              <w:rPr>
                <w:rFonts w:hint="eastAsia"/>
                <w:lang w:val="en-US" w:eastAsia="zh-CN"/>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top"/>
          </w:tcPr>
          <w:p>
            <w:pPr>
              <w:pStyle w:val="29"/>
              <w:bidi w:val="0"/>
            </w:pPr>
          </w:p>
        </w:tc>
        <w:tc>
          <w:tcPr>
            <w:tcW w:w="635" w:type="pct"/>
            <w:vMerge w:val="continue"/>
            <w:noWrap w:val="0"/>
            <w:vAlign w:val="top"/>
          </w:tcPr>
          <w:p>
            <w:pPr>
              <w:pStyle w:val="29"/>
              <w:bidi w:val="0"/>
            </w:pPr>
          </w:p>
        </w:tc>
        <w:tc>
          <w:tcPr>
            <w:tcW w:w="989" w:type="pct"/>
            <w:noWrap w:val="0"/>
            <w:vAlign w:val="center"/>
          </w:tcPr>
          <w:p>
            <w:pPr>
              <w:pStyle w:val="29"/>
              <w:bidi w:val="0"/>
              <w:rPr>
                <w:rFonts w:hint="eastAsia"/>
                <w:lang w:val="en-US" w:eastAsia="zh-CN"/>
              </w:rPr>
            </w:pPr>
            <w:r>
              <w:rPr>
                <w:rFonts w:hint="default"/>
                <w:lang w:val="en-US" w:eastAsia="zh-CN"/>
              </w:rPr>
              <w:t>悬浮物</w:t>
            </w:r>
          </w:p>
        </w:tc>
        <w:tc>
          <w:tcPr>
            <w:tcW w:w="617" w:type="pct"/>
            <w:noWrap w:val="0"/>
            <w:vAlign w:val="center"/>
          </w:tcPr>
          <w:p>
            <w:pPr>
              <w:pStyle w:val="29"/>
              <w:bidi w:val="0"/>
              <w:rPr>
                <w:rFonts w:hint="eastAsia"/>
                <w:lang w:val="en-US" w:eastAsia="zh-CN"/>
              </w:rPr>
            </w:pPr>
            <w:r>
              <w:rPr>
                <w:rFonts w:hint="eastAsia"/>
                <w:lang w:val="en-US" w:eastAsia="zh-CN"/>
              </w:rPr>
              <w:t>15</w:t>
            </w:r>
          </w:p>
        </w:tc>
        <w:tc>
          <w:tcPr>
            <w:tcW w:w="617" w:type="pct"/>
            <w:noWrap w:val="0"/>
            <w:vAlign w:val="center"/>
          </w:tcPr>
          <w:p>
            <w:pPr>
              <w:pStyle w:val="29"/>
              <w:bidi w:val="0"/>
              <w:rPr>
                <w:rFonts w:hint="eastAsia"/>
                <w:lang w:val="en-US" w:eastAsia="zh-CN"/>
              </w:rPr>
            </w:pPr>
            <w:r>
              <w:rPr>
                <w:rFonts w:hint="eastAsia"/>
                <w:lang w:val="en-US" w:eastAsia="zh-CN"/>
              </w:rPr>
              <w:t>12</w:t>
            </w:r>
          </w:p>
        </w:tc>
        <w:tc>
          <w:tcPr>
            <w:tcW w:w="617" w:type="pct"/>
            <w:noWrap w:val="0"/>
            <w:vAlign w:val="center"/>
          </w:tcPr>
          <w:p>
            <w:pPr>
              <w:pStyle w:val="29"/>
              <w:bidi w:val="0"/>
              <w:rPr>
                <w:rFonts w:hint="eastAsia"/>
                <w:lang w:val="en-US" w:eastAsia="zh-CN"/>
              </w:rPr>
            </w:pPr>
            <w:r>
              <w:rPr>
                <w:rFonts w:hint="eastAsia"/>
                <w:lang w:val="en-US" w:eastAsia="zh-CN"/>
              </w:rPr>
              <w:t>13</w:t>
            </w:r>
          </w:p>
        </w:tc>
        <w:tc>
          <w:tcPr>
            <w:tcW w:w="620" w:type="pct"/>
            <w:noWrap w:val="0"/>
            <w:vAlign w:val="center"/>
          </w:tcPr>
          <w:p>
            <w:pPr>
              <w:pStyle w:val="29"/>
              <w:bidi w:val="0"/>
              <w:rPr>
                <w:rFonts w:hint="eastAsia"/>
                <w:lang w:val="en-US" w:eastAsia="zh-CN"/>
              </w:rPr>
            </w:pPr>
            <w:r>
              <w:rPr>
                <w:rFonts w:hint="eastAsia"/>
                <w:lang w:val="en-US" w:eastAsia="zh-CN"/>
              </w:rPr>
              <w:t>15</w:t>
            </w:r>
          </w:p>
        </w:tc>
        <w:tc>
          <w:tcPr>
            <w:tcW w:w="536" w:type="pct"/>
            <w:noWrap w:val="0"/>
            <w:vAlign w:val="center"/>
          </w:tcPr>
          <w:p>
            <w:pPr>
              <w:pStyle w:val="29"/>
              <w:bidi w:val="0"/>
              <w:rPr>
                <w:rFonts w:hint="eastAsia"/>
                <w:lang w:val="en-US" w:eastAsia="zh-CN"/>
              </w:rPr>
            </w:pPr>
            <w:r>
              <w:rPr>
                <w:rFonts w:hint="eastAsia"/>
                <w:lang w:val="en-US" w:eastAsia="zh-CN"/>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top"/>
          </w:tcPr>
          <w:p>
            <w:pPr>
              <w:pStyle w:val="29"/>
              <w:bidi w:val="0"/>
            </w:pPr>
          </w:p>
        </w:tc>
        <w:tc>
          <w:tcPr>
            <w:tcW w:w="635" w:type="pct"/>
            <w:vMerge w:val="continue"/>
            <w:noWrap w:val="0"/>
            <w:vAlign w:val="top"/>
          </w:tcPr>
          <w:p>
            <w:pPr>
              <w:pStyle w:val="29"/>
              <w:bidi w:val="0"/>
            </w:pPr>
          </w:p>
        </w:tc>
        <w:tc>
          <w:tcPr>
            <w:tcW w:w="989" w:type="pct"/>
            <w:noWrap w:val="0"/>
            <w:vAlign w:val="center"/>
          </w:tcPr>
          <w:p>
            <w:pPr>
              <w:pStyle w:val="29"/>
              <w:bidi w:val="0"/>
              <w:rPr>
                <w:rFonts w:hint="eastAsia"/>
                <w:lang w:val="en-US" w:eastAsia="zh-CN"/>
              </w:rPr>
            </w:pPr>
            <w:r>
              <w:rPr>
                <w:rFonts w:hint="eastAsia"/>
                <w:lang w:val="en-US"/>
              </w:rPr>
              <w:t>总</w:t>
            </w:r>
            <w:r>
              <w:rPr>
                <w:rFonts w:hint="eastAsia"/>
                <w:lang w:val="en-US" w:eastAsia="zh-CN"/>
              </w:rPr>
              <w:t>氮</w:t>
            </w:r>
          </w:p>
        </w:tc>
        <w:tc>
          <w:tcPr>
            <w:tcW w:w="617" w:type="pct"/>
            <w:noWrap w:val="0"/>
            <w:vAlign w:val="center"/>
          </w:tcPr>
          <w:p>
            <w:pPr>
              <w:pStyle w:val="29"/>
              <w:bidi w:val="0"/>
              <w:rPr>
                <w:rFonts w:hint="eastAsia"/>
                <w:lang w:val="en-US" w:eastAsia="zh-CN"/>
              </w:rPr>
            </w:pPr>
            <w:r>
              <w:rPr>
                <w:rFonts w:hint="eastAsia"/>
                <w:lang w:val="en-US" w:eastAsia="zh-CN"/>
              </w:rPr>
              <w:t>35.3</w:t>
            </w:r>
          </w:p>
        </w:tc>
        <w:tc>
          <w:tcPr>
            <w:tcW w:w="617" w:type="pct"/>
            <w:noWrap w:val="0"/>
            <w:vAlign w:val="center"/>
          </w:tcPr>
          <w:p>
            <w:pPr>
              <w:pStyle w:val="29"/>
              <w:bidi w:val="0"/>
              <w:rPr>
                <w:rFonts w:hint="eastAsia"/>
                <w:lang w:val="en-US" w:eastAsia="zh-CN"/>
              </w:rPr>
            </w:pPr>
            <w:r>
              <w:rPr>
                <w:rFonts w:hint="eastAsia"/>
                <w:lang w:val="en-US" w:eastAsia="zh-CN"/>
              </w:rPr>
              <w:t>35.8</w:t>
            </w:r>
          </w:p>
        </w:tc>
        <w:tc>
          <w:tcPr>
            <w:tcW w:w="617" w:type="pct"/>
            <w:noWrap w:val="0"/>
            <w:vAlign w:val="center"/>
          </w:tcPr>
          <w:p>
            <w:pPr>
              <w:pStyle w:val="29"/>
              <w:bidi w:val="0"/>
              <w:rPr>
                <w:rFonts w:hint="eastAsia"/>
                <w:lang w:val="en-US" w:eastAsia="zh-CN"/>
              </w:rPr>
            </w:pPr>
            <w:r>
              <w:rPr>
                <w:rFonts w:hint="eastAsia"/>
                <w:lang w:val="en-US" w:eastAsia="zh-CN"/>
              </w:rPr>
              <w:t>35.0</w:t>
            </w:r>
          </w:p>
        </w:tc>
        <w:tc>
          <w:tcPr>
            <w:tcW w:w="620" w:type="pct"/>
            <w:noWrap w:val="0"/>
            <w:vAlign w:val="center"/>
          </w:tcPr>
          <w:p>
            <w:pPr>
              <w:pStyle w:val="29"/>
              <w:bidi w:val="0"/>
              <w:rPr>
                <w:rFonts w:hint="eastAsia"/>
                <w:lang w:val="en-US" w:eastAsia="zh-CN"/>
              </w:rPr>
            </w:pPr>
            <w:r>
              <w:rPr>
                <w:rFonts w:hint="eastAsia"/>
                <w:lang w:val="en-US" w:eastAsia="zh-CN"/>
              </w:rPr>
              <w:t>36.6</w:t>
            </w:r>
          </w:p>
        </w:tc>
        <w:tc>
          <w:tcPr>
            <w:tcW w:w="536" w:type="pct"/>
            <w:noWrap w:val="0"/>
            <w:vAlign w:val="center"/>
          </w:tcPr>
          <w:p>
            <w:pPr>
              <w:pStyle w:val="29"/>
              <w:bidi w:val="0"/>
              <w:rPr>
                <w:rFonts w:hint="eastAsia"/>
                <w:lang w:val="en-US" w:eastAsia="zh-CN"/>
              </w:rPr>
            </w:pPr>
            <w:r>
              <w:rPr>
                <w:rFonts w:hint="eastAsia"/>
                <w:lang w:val="en-US"/>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top"/>
          </w:tcPr>
          <w:p>
            <w:pPr>
              <w:pStyle w:val="29"/>
              <w:bidi w:val="0"/>
            </w:pPr>
          </w:p>
        </w:tc>
        <w:tc>
          <w:tcPr>
            <w:tcW w:w="635" w:type="pct"/>
            <w:vMerge w:val="continue"/>
            <w:noWrap w:val="0"/>
            <w:vAlign w:val="top"/>
          </w:tcPr>
          <w:p>
            <w:pPr>
              <w:pStyle w:val="29"/>
              <w:bidi w:val="0"/>
            </w:pPr>
          </w:p>
        </w:tc>
        <w:tc>
          <w:tcPr>
            <w:tcW w:w="989" w:type="pct"/>
            <w:noWrap w:val="0"/>
            <w:vAlign w:val="center"/>
          </w:tcPr>
          <w:p>
            <w:pPr>
              <w:pStyle w:val="29"/>
              <w:bidi w:val="0"/>
              <w:rPr>
                <w:rFonts w:hint="eastAsia"/>
                <w:lang w:val="en-US" w:eastAsia="zh-CN"/>
              </w:rPr>
            </w:pPr>
            <w:r>
              <w:rPr>
                <w:rFonts w:hint="default"/>
                <w:lang w:val="en-US" w:eastAsia="zh-CN"/>
              </w:rPr>
              <w:t>阴离子表面活性剂</w:t>
            </w:r>
          </w:p>
        </w:tc>
        <w:tc>
          <w:tcPr>
            <w:tcW w:w="617" w:type="pct"/>
            <w:noWrap w:val="0"/>
            <w:vAlign w:val="center"/>
          </w:tcPr>
          <w:p>
            <w:pPr>
              <w:pStyle w:val="29"/>
              <w:bidi w:val="0"/>
              <w:rPr>
                <w:rFonts w:hint="eastAsia"/>
                <w:lang w:val="en-US" w:eastAsia="zh-CN"/>
              </w:rPr>
            </w:pPr>
            <w:r>
              <w:rPr>
                <w:rFonts w:hint="eastAsia"/>
                <w:lang w:val="en-US" w:eastAsia="zh-CN"/>
              </w:rPr>
              <w:t>0.05L</w:t>
            </w:r>
          </w:p>
        </w:tc>
        <w:tc>
          <w:tcPr>
            <w:tcW w:w="617" w:type="pct"/>
            <w:noWrap w:val="0"/>
            <w:vAlign w:val="center"/>
          </w:tcPr>
          <w:p>
            <w:pPr>
              <w:pStyle w:val="29"/>
              <w:bidi w:val="0"/>
              <w:rPr>
                <w:rFonts w:hint="eastAsia"/>
                <w:lang w:val="en-US" w:eastAsia="zh-CN"/>
              </w:rPr>
            </w:pPr>
            <w:r>
              <w:rPr>
                <w:rFonts w:hint="eastAsia"/>
                <w:lang w:val="en-US" w:eastAsia="zh-CN"/>
              </w:rPr>
              <w:t>0.05L</w:t>
            </w:r>
          </w:p>
        </w:tc>
        <w:tc>
          <w:tcPr>
            <w:tcW w:w="617" w:type="pct"/>
            <w:noWrap w:val="0"/>
            <w:vAlign w:val="center"/>
          </w:tcPr>
          <w:p>
            <w:pPr>
              <w:pStyle w:val="29"/>
              <w:bidi w:val="0"/>
              <w:rPr>
                <w:rFonts w:hint="eastAsia"/>
                <w:lang w:val="en-US" w:eastAsia="zh-CN"/>
              </w:rPr>
            </w:pPr>
            <w:r>
              <w:rPr>
                <w:rFonts w:hint="eastAsia"/>
                <w:lang w:val="en-US" w:eastAsia="zh-CN"/>
              </w:rPr>
              <w:t>0.05L</w:t>
            </w:r>
          </w:p>
        </w:tc>
        <w:tc>
          <w:tcPr>
            <w:tcW w:w="620" w:type="pct"/>
            <w:noWrap w:val="0"/>
            <w:vAlign w:val="center"/>
          </w:tcPr>
          <w:p>
            <w:pPr>
              <w:pStyle w:val="29"/>
              <w:bidi w:val="0"/>
              <w:rPr>
                <w:rFonts w:hint="eastAsia"/>
                <w:lang w:val="en-US" w:eastAsia="zh-CN"/>
              </w:rPr>
            </w:pPr>
            <w:r>
              <w:rPr>
                <w:rFonts w:hint="eastAsia"/>
                <w:lang w:val="en-US" w:eastAsia="zh-CN"/>
              </w:rPr>
              <w:t>0.05L</w:t>
            </w:r>
          </w:p>
        </w:tc>
        <w:tc>
          <w:tcPr>
            <w:tcW w:w="536" w:type="pct"/>
            <w:noWrap w:val="0"/>
            <w:vAlign w:val="center"/>
          </w:tcPr>
          <w:p>
            <w:pPr>
              <w:pStyle w:val="29"/>
              <w:bidi w:val="0"/>
              <w:rPr>
                <w:rFonts w:hint="eastAsia"/>
                <w:lang w:val="en-US" w:eastAsia="zh-CN"/>
              </w:rPr>
            </w:pPr>
            <w:r>
              <w:rPr>
                <w:rFonts w:hint="eastAsia"/>
                <w:lang w:val="en-US"/>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restart"/>
            <w:noWrap w:val="0"/>
            <w:vAlign w:val="center"/>
          </w:tcPr>
          <w:p>
            <w:pPr>
              <w:pStyle w:val="29"/>
              <w:bidi w:val="0"/>
              <w:jc w:val="center"/>
              <w:rPr>
                <w:rFonts w:hint="default" w:eastAsia="宋体"/>
                <w:lang w:val="en-US" w:eastAsia="zh-CN"/>
              </w:rPr>
            </w:pPr>
            <w:r>
              <w:rPr>
                <w:rFonts w:hint="eastAsia"/>
                <w:lang w:val="en-US" w:eastAsia="zh-CN"/>
              </w:rPr>
              <w:t>W1</w:t>
            </w:r>
          </w:p>
        </w:tc>
        <w:tc>
          <w:tcPr>
            <w:tcW w:w="635" w:type="pct"/>
            <w:vMerge w:val="restart"/>
            <w:noWrap w:val="0"/>
            <w:vAlign w:val="center"/>
          </w:tcPr>
          <w:p>
            <w:pPr>
              <w:pStyle w:val="29"/>
              <w:bidi w:val="0"/>
              <w:jc w:val="center"/>
            </w:pPr>
            <w:r>
              <w:rPr>
                <w:rFonts w:hint="eastAsia"/>
                <w:lang w:val="en-US" w:eastAsia="zh-CN"/>
              </w:rPr>
              <w:t>2022-5-25</w:t>
            </w:r>
          </w:p>
        </w:tc>
        <w:tc>
          <w:tcPr>
            <w:tcW w:w="989" w:type="pct"/>
            <w:noWrap w:val="0"/>
            <w:vAlign w:val="center"/>
          </w:tcPr>
          <w:p>
            <w:pPr>
              <w:pStyle w:val="29"/>
              <w:bidi w:val="0"/>
              <w:rPr>
                <w:rFonts w:hint="eastAsia"/>
                <w:lang w:val="en-US" w:eastAsia="zh-CN"/>
              </w:rPr>
            </w:pPr>
            <w:r>
              <w:rPr>
                <w:rFonts w:hint="default"/>
                <w:lang w:val="en-US" w:eastAsia="zh-CN"/>
              </w:rPr>
              <w:t>动植物油</w:t>
            </w:r>
          </w:p>
        </w:tc>
        <w:tc>
          <w:tcPr>
            <w:tcW w:w="617" w:type="pct"/>
            <w:noWrap w:val="0"/>
            <w:vAlign w:val="center"/>
          </w:tcPr>
          <w:p>
            <w:pPr>
              <w:pStyle w:val="29"/>
              <w:bidi w:val="0"/>
              <w:rPr>
                <w:rFonts w:hint="eastAsia"/>
                <w:lang w:val="en-US" w:eastAsia="zh-CN"/>
              </w:rPr>
            </w:pPr>
            <w:r>
              <w:rPr>
                <w:rFonts w:hint="eastAsia"/>
                <w:lang w:val="en-US" w:eastAsia="zh-CN"/>
              </w:rPr>
              <w:t>1.39</w:t>
            </w:r>
          </w:p>
        </w:tc>
        <w:tc>
          <w:tcPr>
            <w:tcW w:w="617" w:type="pct"/>
            <w:noWrap w:val="0"/>
            <w:vAlign w:val="center"/>
          </w:tcPr>
          <w:p>
            <w:pPr>
              <w:pStyle w:val="29"/>
              <w:bidi w:val="0"/>
              <w:rPr>
                <w:rFonts w:hint="eastAsia"/>
                <w:lang w:val="en-US" w:eastAsia="zh-CN"/>
              </w:rPr>
            </w:pPr>
            <w:r>
              <w:rPr>
                <w:rFonts w:hint="eastAsia"/>
                <w:lang w:val="en-US" w:eastAsia="zh-CN"/>
              </w:rPr>
              <w:t>1.44</w:t>
            </w:r>
          </w:p>
        </w:tc>
        <w:tc>
          <w:tcPr>
            <w:tcW w:w="617" w:type="pct"/>
            <w:noWrap w:val="0"/>
            <w:vAlign w:val="center"/>
          </w:tcPr>
          <w:p>
            <w:pPr>
              <w:pStyle w:val="29"/>
              <w:bidi w:val="0"/>
              <w:rPr>
                <w:rFonts w:hint="eastAsia"/>
                <w:lang w:val="en-US" w:eastAsia="zh-CN"/>
              </w:rPr>
            </w:pPr>
            <w:r>
              <w:rPr>
                <w:rFonts w:hint="eastAsia"/>
                <w:lang w:val="en-US" w:eastAsia="zh-CN"/>
              </w:rPr>
              <w:t>1.39</w:t>
            </w:r>
          </w:p>
        </w:tc>
        <w:tc>
          <w:tcPr>
            <w:tcW w:w="620" w:type="pct"/>
            <w:noWrap w:val="0"/>
            <w:vAlign w:val="center"/>
          </w:tcPr>
          <w:p>
            <w:pPr>
              <w:pStyle w:val="29"/>
              <w:bidi w:val="0"/>
              <w:rPr>
                <w:rFonts w:hint="eastAsia"/>
                <w:lang w:val="en-US" w:eastAsia="zh-CN"/>
              </w:rPr>
            </w:pPr>
            <w:r>
              <w:rPr>
                <w:rFonts w:hint="eastAsia"/>
                <w:lang w:val="en-US" w:eastAsia="zh-CN"/>
              </w:rPr>
              <w:t>1.33</w:t>
            </w:r>
          </w:p>
        </w:tc>
        <w:tc>
          <w:tcPr>
            <w:tcW w:w="536" w:type="pct"/>
            <w:noWrap w:val="0"/>
            <w:vAlign w:val="center"/>
          </w:tcPr>
          <w:p>
            <w:pPr>
              <w:pStyle w:val="29"/>
              <w:bidi w:val="0"/>
              <w:rPr>
                <w:rFonts w:hint="eastAsia"/>
                <w:lang w:val="en-US" w:eastAsia="zh-CN"/>
              </w:rPr>
            </w:pPr>
            <w:r>
              <w:rPr>
                <w:rFonts w:hint="eastAsia"/>
                <w:lang w:val="en-US"/>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top"/>
          </w:tcPr>
          <w:p>
            <w:pPr>
              <w:pStyle w:val="29"/>
              <w:bidi w:val="0"/>
            </w:pPr>
          </w:p>
        </w:tc>
        <w:tc>
          <w:tcPr>
            <w:tcW w:w="635" w:type="pct"/>
            <w:vMerge w:val="continue"/>
            <w:noWrap w:val="0"/>
            <w:vAlign w:val="top"/>
          </w:tcPr>
          <w:p>
            <w:pPr>
              <w:pStyle w:val="29"/>
              <w:bidi w:val="0"/>
            </w:pPr>
          </w:p>
        </w:tc>
        <w:tc>
          <w:tcPr>
            <w:tcW w:w="989" w:type="pct"/>
            <w:noWrap w:val="0"/>
            <w:vAlign w:val="center"/>
          </w:tcPr>
          <w:p>
            <w:pPr>
              <w:pStyle w:val="29"/>
              <w:bidi w:val="0"/>
              <w:rPr>
                <w:rFonts w:hint="eastAsia"/>
                <w:lang w:val="en-US" w:eastAsia="zh-CN"/>
              </w:rPr>
            </w:pPr>
            <w:r>
              <w:rPr>
                <w:rFonts w:hint="default"/>
                <w:lang w:val="en-US" w:eastAsia="zh-CN"/>
              </w:rPr>
              <w:t>石油类</w:t>
            </w:r>
          </w:p>
        </w:tc>
        <w:tc>
          <w:tcPr>
            <w:tcW w:w="617" w:type="pct"/>
            <w:noWrap w:val="0"/>
            <w:vAlign w:val="center"/>
          </w:tcPr>
          <w:p>
            <w:pPr>
              <w:pStyle w:val="29"/>
              <w:bidi w:val="0"/>
              <w:rPr>
                <w:rFonts w:hint="eastAsia"/>
                <w:lang w:val="en-US" w:eastAsia="zh-CN"/>
              </w:rPr>
            </w:pPr>
            <w:r>
              <w:rPr>
                <w:rFonts w:hint="eastAsia"/>
                <w:lang w:val="en-US" w:eastAsia="zh-CN"/>
              </w:rPr>
              <w:t>1.20</w:t>
            </w:r>
          </w:p>
        </w:tc>
        <w:tc>
          <w:tcPr>
            <w:tcW w:w="617" w:type="pct"/>
            <w:noWrap w:val="0"/>
            <w:vAlign w:val="center"/>
          </w:tcPr>
          <w:p>
            <w:pPr>
              <w:pStyle w:val="29"/>
              <w:bidi w:val="0"/>
              <w:rPr>
                <w:rFonts w:hint="eastAsia"/>
                <w:lang w:val="en-US" w:eastAsia="zh-CN"/>
              </w:rPr>
            </w:pPr>
            <w:r>
              <w:rPr>
                <w:rFonts w:hint="eastAsia"/>
                <w:lang w:val="en-US" w:eastAsia="zh-CN"/>
              </w:rPr>
              <w:t>1.21</w:t>
            </w:r>
          </w:p>
        </w:tc>
        <w:tc>
          <w:tcPr>
            <w:tcW w:w="617" w:type="pct"/>
            <w:noWrap w:val="0"/>
            <w:vAlign w:val="center"/>
          </w:tcPr>
          <w:p>
            <w:pPr>
              <w:pStyle w:val="29"/>
              <w:bidi w:val="0"/>
              <w:rPr>
                <w:rFonts w:hint="eastAsia"/>
                <w:lang w:val="en-US" w:eastAsia="zh-CN"/>
              </w:rPr>
            </w:pPr>
            <w:r>
              <w:rPr>
                <w:rFonts w:hint="eastAsia"/>
                <w:lang w:val="en-US" w:eastAsia="zh-CN"/>
              </w:rPr>
              <w:t>1.21</w:t>
            </w:r>
          </w:p>
        </w:tc>
        <w:tc>
          <w:tcPr>
            <w:tcW w:w="620" w:type="pct"/>
            <w:noWrap w:val="0"/>
            <w:vAlign w:val="center"/>
          </w:tcPr>
          <w:p>
            <w:pPr>
              <w:pStyle w:val="29"/>
              <w:bidi w:val="0"/>
              <w:rPr>
                <w:rFonts w:hint="eastAsia"/>
                <w:lang w:val="en-US" w:eastAsia="zh-CN"/>
              </w:rPr>
            </w:pPr>
            <w:r>
              <w:rPr>
                <w:rFonts w:hint="eastAsia"/>
                <w:lang w:val="en-US" w:eastAsia="zh-CN"/>
              </w:rPr>
              <w:t>1.22</w:t>
            </w:r>
          </w:p>
        </w:tc>
        <w:tc>
          <w:tcPr>
            <w:tcW w:w="536" w:type="pct"/>
            <w:noWrap w:val="0"/>
            <w:vAlign w:val="center"/>
          </w:tcPr>
          <w:p>
            <w:pPr>
              <w:pStyle w:val="29"/>
              <w:bidi w:val="0"/>
              <w:rPr>
                <w:rFonts w:hint="eastAsia"/>
                <w:lang w:val="en-US" w:eastAsia="zh-CN"/>
              </w:rPr>
            </w:pPr>
            <w:r>
              <w:rPr>
                <w:rFonts w:hint="eastAsia"/>
                <w:lang w:val="en-US"/>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top"/>
          </w:tcPr>
          <w:p>
            <w:pPr>
              <w:pStyle w:val="29"/>
              <w:bidi w:val="0"/>
            </w:pPr>
          </w:p>
        </w:tc>
        <w:tc>
          <w:tcPr>
            <w:tcW w:w="635" w:type="pct"/>
            <w:vMerge w:val="continue"/>
            <w:noWrap w:val="0"/>
            <w:vAlign w:val="top"/>
          </w:tcPr>
          <w:p>
            <w:pPr>
              <w:pStyle w:val="29"/>
              <w:bidi w:val="0"/>
            </w:pPr>
          </w:p>
        </w:tc>
        <w:tc>
          <w:tcPr>
            <w:tcW w:w="989" w:type="pct"/>
            <w:noWrap w:val="0"/>
            <w:vAlign w:val="center"/>
          </w:tcPr>
          <w:p>
            <w:pPr>
              <w:pStyle w:val="29"/>
              <w:bidi w:val="0"/>
              <w:rPr>
                <w:rFonts w:hint="eastAsia"/>
                <w:lang w:val="en-US" w:eastAsia="zh-CN"/>
              </w:rPr>
            </w:pPr>
            <w:r>
              <w:rPr>
                <w:rFonts w:hint="default"/>
                <w:lang w:val="en-US" w:eastAsia="zh-CN"/>
              </w:rPr>
              <w:t>色度</w:t>
            </w:r>
          </w:p>
        </w:tc>
        <w:tc>
          <w:tcPr>
            <w:tcW w:w="617" w:type="pct"/>
            <w:noWrap w:val="0"/>
            <w:vAlign w:val="center"/>
          </w:tcPr>
          <w:p>
            <w:pPr>
              <w:pStyle w:val="29"/>
              <w:bidi w:val="0"/>
              <w:rPr>
                <w:rFonts w:hint="eastAsia"/>
                <w:lang w:val="en-US" w:eastAsia="zh-CN"/>
              </w:rPr>
            </w:pPr>
            <w:r>
              <w:rPr>
                <w:rFonts w:hint="eastAsia"/>
                <w:lang w:val="en-US" w:eastAsia="zh-CN"/>
              </w:rPr>
              <w:t>5</w:t>
            </w:r>
          </w:p>
        </w:tc>
        <w:tc>
          <w:tcPr>
            <w:tcW w:w="617" w:type="pct"/>
            <w:noWrap w:val="0"/>
            <w:vAlign w:val="center"/>
          </w:tcPr>
          <w:p>
            <w:pPr>
              <w:pStyle w:val="29"/>
              <w:bidi w:val="0"/>
              <w:rPr>
                <w:rFonts w:hint="eastAsia"/>
                <w:lang w:val="en-US" w:eastAsia="zh-CN"/>
              </w:rPr>
            </w:pPr>
            <w:r>
              <w:rPr>
                <w:rFonts w:hint="eastAsia"/>
                <w:lang w:val="en-US" w:eastAsia="zh-CN"/>
              </w:rPr>
              <w:t>5</w:t>
            </w:r>
          </w:p>
        </w:tc>
        <w:tc>
          <w:tcPr>
            <w:tcW w:w="617" w:type="pct"/>
            <w:noWrap w:val="0"/>
            <w:vAlign w:val="center"/>
          </w:tcPr>
          <w:p>
            <w:pPr>
              <w:pStyle w:val="29"/>
              <w:bidi w:val="0"/>
              <w:rPr>
                <w:rFonts w:hint="eastAsia"/>
                <w:lang w:val="en-US" w:eastAsia="zh-CN"/>
              </w:rPr>
            </w:pPr>
            <w:r>
              <w:rPr>
                <w:rFonts w:hint="eastAsia"/>
                <w:lang w:val="en-US" w:eastAsia="zh-CN"/>
              </w:rPr>
              <w:t>5</w:t>
            </w:r>
          </w:p>
        </w:tc>
        <w:tc>
          <w:tcPr>
            <w:tcW w:w="620" w:type="pct"/>
            <w:noWrap w:val="0"/>
            <w:vAlign w:val="center"/>
          </w:tcPr>
          <w:p>
            <w:pPr>
              <w:pStyle w:val="29"/>
              <w:bidi w:val="0"/>
              <w:rPr>
                <w:rFonts w:hint="eastAsia"/>
                <w:lang w:val="en-US" w:eastAsia="zh-CN"/>
              </w:rPr>
            </w:pPr>
            <w:r>
              <w:rPr>
                <w:rFonts w:hint="eastAsia"/>
                <w:lang w:val="en-US" w:eastAsia="zh-CN"/>
              </w:rPr>
              <w:t>5</w:t>
            </w:r>
          </w:p>
        </w:tc>
        <w:tc>
          <w:tcPr>
            <w:tcW w:w="536" w:type="pct"/>
            <w:noWrap w:val="0"/>
            <w:vAlign w:val="center"/>
          </w:tcPr>
          <w:p>
            <w:pPr>
              <w:pStyle w:val="29"/>
              <w:bidi w:val="0"/>
              <w:rPr>
                <w:rFonts w:hint="eastAsia"/>
                <w:lang w:val="en-US" w:eastAsia="zh-CN"/>
              </w:rPr>
            </w:pPr>
            <w:r>
              <w:rPr>
                <w:rFonts w:hint="eastAsia"/>
                <w:lang w:val="en-US" w:eastAsia="zh-CN"/>
              </w:rPr>
              <w:t>倍</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top"/>
          </w:tcPr>
          <w:p>
            <w:pPr>
              <w:pStyle w:val="29"/>
              <w:bidi w:val="0"/>
            </w:pPr>
          </w:p>
        </w:tc>
        <w:tc>
          <w:tcPr>
            <w:tcW w:w="635" w:type="pct"/>
            <w:vMerge w:val="continue"/>
            <w:noWrap w:val="0"/>
            <w:vAlign w:val="top"/>
          </w:tcPr>
          <w:p>
            <w:pPr>
              <w:pStyle w:val="29"/>
              <w:bidi w:val="0"/>
            </w:pPr>
          </w:p>
        </w:tc>
        <w:tc>
          <w:tcPr>
            <w:tcW w:w="989" w:type="pct"/>
            <w:noWrap w:val="0"/>
            <w:vAlign w:val="center"/>
          </w:tcPr>
          <w:p>
            <w:pPr>
              <w:pStyle w:val="29"/>
              <w:bidi w:val="0"/>
              <w:rPr>
                <w:rFonts w:hint="eastAsia"/>
                <w:lang w:val="en-US" w:eastAsia="zh-CN"/>
              </w:rPr>
            </w:pPr>
            <w:r>
              <w:rPr>
                <w:rFonts w:hint="default"/>
                <w:lang w:val="en-US"/>
              </w:rPr>
              <w:t>六价铬</w:t>
            </w:r>
          </w:p>
        </w:tc>
        <w:tc>
          <w:tcPr>
            <w:tcW w:w="617" w:type="pct"/>
            <w:noWrap w:val="0"/>
            <w:vAlign w:val="center"/>
          </w:tcPr>
          <w:p>
            <w:pPr>
              <w:pStyle w:val="29"/>
              <w:bidi w:val="0"/>
              <w:rPr>
                <w:rFonts w:hint="eastAsia"/>
                <w:lang w:val="en-US" w:eastAsia="zh-CN"/>
              </w:rPr>
            </w:pPr>
            <w:r>
              <w:rPr>
                <w:rFonts w:hint="eastAsia"/>
                <w:lang w:val="en-US" w:eastAsia="zh-CN"/>
              </w:rPr>
              <w:t>0.046</w:t>
            </w:r>
          </w:p>
        </w:tc>
        <w:tc>
          <w:tcPr>
            <w:tcW w:w="617" w:type="pct"/>
            <w:noWrap w:val="0"/>
            <w:vAlign w:val="center"/>
          </w:tcPr>
          <w:p>
            <w:pPr>
              <w:pStyle w:val="29"/>
              <w:bidi w:val="0"/>
              <w:rPr>
                <w:rFonts w:hint="eastAsia"/>
                <w:lang w:val="en-US" w:eastAsia="zh-CN"/>
              </w:rPr>
            </w:pPr>
            <w:r>
              <w:rPr>
                <w:rFonts w:hint="eastAsia"/>
                <w:lang w:val="en-US" w:eastAsia="zh-CN"/>
              </w:rPr>
              <w:t>0.049</w:t>
            </w:r>
          </w:p>
        </w:tc>
        <w:tc>
          <w:tcPr>
            <w:tcW w:w="617" w:type="pct"/>
            <w:noWrap w:val="0"/>
            <w:vAlign w:val="center"/>
          </w:tcPr>
          <w:p>
            <w:pPr>
              <w:pStyle w:val="29"/>
              <w:bidi w:val="0"/>
              <w:rPr>
                <w:rFonts w:hint="eastAsia"/>
                <w:lang w:val="en-US" w:eastAsia="zh-CN"/>
              </w:rPr>
            </w:pPr>
            <w:r>
              <w:rPr>
                <w:rFonts w:hint="eastAsia"/>
                <w:lang w:val="en-US" w:eastAsia="zh-CN"/>
              </w:rPr>
              <w:t>0.049</w:t>
            </w:r>
          </w:p>
        </w:tc>
        <w:tc>
          <w:tcPr>
            <w:tcW w:w="620" w:type="pct"/>
            <w:noWrap w:val="0"/>
            <w:vAlign w:val="center"/>
          </w:tcPr>
          <w:p>
            <w:pPr>
              <w:pStyle w:val="29"/>
              <w:bidi w:val="0"/>
              <w:rPr>
                <w:rFonts w:hint="eastAsia"/>
                <w:lang w:val="en-US" w:eastAsia="zh-CN"/>
              </w:rPr>
            </w:pPr>
            <w:r>
              <w:rPr>
                <w:rFonts w:hint="eastAsia"/>
                <w:lang w:val="en-US" w:eastAsia="zh-CN"/>
              </w:rPr>
              <w:t>0.046</w:t>
            </w:r>
          </w:p>
        </w:tc>
        <w:tc>
          <w:tcPr>
            <w:tcW w:w="536" w:type="pct"/>
            <w:noWrap w:val="0"/>
            <w:vAlign w:val="center"/>
          </w:tcPr>
          <w:p>
            <w:pPr>
              <w:pStyle w:val="29"/>
              <w:bidi w:val="0"/>
              <w:rPr>
                <w:rFonts w:hint="eastAsia"/>
                <w:lang w:val="en-US" w:eastAsia="zh-CN"/>
              </w:rPr>
            </w:pPr>
            <w:r>
              <w:rPr>
                <w:rFonts w:hint="eastAsia"/>
                <w:lang w:val="en-US"/>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top"/>
          </w:tcPr>
          <w:p>
            <w:pPr>
              <w:pStyle w:val="29"/>
              <w:bidi w:val="0"/>
            </w:pPr>
          </w:p>
        </w:tc>
        <w:tc>
          <w:tcPr>
            <w:tcW w:w="635" w:type="pct"/>
            <w:vMerge w:val="continue"/>
            <w:noWrap w:val="0"/>
            <w:vAlign w:val="top"/>
          </w:tcPr>
          <w:p>
            <w:pPr>
              <w:pStyle w:val="29"/>
              <w:bidi w:val="0"/>
            </w:pPr>
          </w:p>
        </w:tc>
        <w:tc>
          <w:tcPr>
            <w:tcW w:w="989" w:type="pct"/>
            <w:noWrap w:val="0"/>
            <w:vAlign w:val="center"/>
          </w:tcPr>
          <w:p>
            <w:pPr>
              <w:pStyle w:val="29"/>
              <w:bidi w:val="0"/>
              <w:rPr>
                <w:rFonts w:hint="eastAsia"/>
                <w:lang w:val="en-US" w:eastAsia="zh-CN"/>
              </w:rPr>
            </w:pPr>
            <w:r>
              <w:rPr>
                <w:rFonts w:hint="eastAsia"/>
                <w:lang w:val="en-US" w:eastAsia="zh-CN"/>
              </w:rPr>
              <w:t>氟化物</w:t>
            </w:r>
          </w:p>
        </w:tc>
        <w:tc>
          <w:tcPr>
            <w:tcW w:w="617" w:type="pct"/>
            <w:noWrap w:val="0"/>
            <w:vAlign w:val="center"/>
          </w:tcPr>
          <w:p>
            <w:pPr>
              <w:pStyle w:val="29"/>
              <w:bidi w:val="0"/>
              <w:rPr>
                <w:rFonts w:hint="eastAsia"/>
                <w:lang w:val="en-US" w:eastAsia="zh-CN"/>
              </w:rPr>
            </w:pPr>
            <w:r>
              <w:rPr>
                <w:rFonts w:hint="eastAsia"/>
                <w:lang w:val="en-US" w:eastAsia="zh-CN"/>
              </w:rPr>
              <w:t>0.221</w:t>
            </w:r>
          </w:p>
        </w:tc>
        <w:tc>
          <w:tcPr>
            <w:tcW w:w="617" w:type="pct"/>
            <w:noWrap w:val="0"/>
            <w:vAlign w:val="center"/>
          </w:tcPr>
          <w:p>
            <w:pPr>
              <w:pStyle w:val="29"/>
              <w:bidi w:val="0"/>
              <w:rPr>
                <w:rFonts w:hint="eastAsia"/>
                <w:lang w:val="en-US" w:eastAsia="zh-CN"/>
              </w:rPr>
            </w:pPr>
            <w:r>
              <w:rPr>
                <w:rFonts w:hint="eastAsia"/>
                <w:lang w:val="en-US" w:eastAsia="zh-CN"/>
              </w:rPr>
              <w:t>0.192</w:t>
            </w:r>
          </w:p>
        </w:tc>
        <w:tc>
          <w:tcPr>
            <w:tcW w:w="617" w:type="pct"/>
            <w:noWrap w:val="0"/>
            <w:vAlign w:val="center"/>
          </w:tcPr>
          <w:p>
            <w:pPr>
              <w:pStyle w:val="29"/>
              <w:bidi w:val="0"/>
              <w:rPr>
                <w:rFonts w:hint="eastAsia"/>
                <w:lang w:val="en-US" w:eastAsia="zh-CN"/>
              </w:rPr>
            </w:pPr>
            <w:r>
              <w:rPr>
                <w:rFonts w:hint="eastAsia"/>
                <w:lang w:val="en-US" w:eastAsia="zh-CN"/>
              </w:rPr>
              <w:t>0.245</w:t>
            </w:r>
          </w:p>
        </w:tc>
        <w:tc>
          <w:tcPr>
            <w:tcW w:w="620" w:type="pct"/>
            <w:noWrap w:val="0"/>
            <w:vAlign w:val="center"/>
          </w:tcPr>
          <w:p>
            <w:pPr>
              <w:pStyle w:val="29"/>
              <w:bidi w:val="0"/>
              <w:rPr>
                <w:rFonts w:hint="eastAsia"/>
                <w:lang w:val="en-US" w:eastAsia="zh-CN"/>
              </w:rPr>
            </w:pPr>
            <w:r>
              <w:rPr>
                <w:rFonts w:hint="eastAsia"/>
                <w:lang w:val="en-US" w:eastAsia="zh-CN"/>
              </w:rPr>
              <w:t>0.195</w:t>
            </w:r>
          </w:p>
        </w:tc>
        <w:tc>
          <w:tcPr>
            <w:tcW w:w="536" w:type="pct"/>
            <w:noWrap w:val="0"/>
            <w:vAlign w:val="center"/>
          </w:tcPr>
          <w:p>
            <w:pPr>
              <w:pStyle w:val="29"/>
              <w:bidi w:val="0"/>
              <w:rPr>
                <w:rFonts w:hint="eastAsia"/>
                <w:lang w:val="en-US" w:eastAsia="zh-CN"/>
              </w:rPr>
            </w:pPr>
            <w:r>
              <w:rPr>
                <w:rFonts w:hint="eastAsia"/>
                <w:lang w:val="en-US"/>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top"/>
          </w:tcPr>
          <w:p>
            <w:pPr>
              <w:pStyle w:val="29"/>
              <w:bidi w:val="0"/>
            </w:pPr>
          </w:p>
        </w:tc>
        <w:tc>
          <w:tcPr>
            <w:tcW w:w="635" w:type="pct"/>
            <w:vMerge w:val="continue"/>
            <w:noWrap w:val="0"/>
            <w:vAlign w:val="top"/>
          </w:tcPr>
          <w:p>
            <w:pPr>
              <w:pStyle w:val="29"/>
              <w:bidi w:val="0"/>
            </w:pPr>
          </w:p>
        </w:tc>
        <w:tc>
          <w:tcPr>
            <w:tcW w:w="989" w:type="pct"/>
            <w:noWrap w:val="0"/>
            <w:vAlign w:val="center"/>
          </w:tcPr>
          <w:p>
            <w:pPr>
              <w:pStyle w:val="29"/>
              <w:bidi w:val="0"/>
              <w:rPr>
                <w:rFonts w:hint="eastAsia"/>
                <w:lang w:val="en-US" w:eastAsia="zh-CN"/>
              </w:rPr>
            </w:pPr>
            <w:r>
              <w:rPr>
                <w:rFonts w:hint="eastAsia"/>
                <w:lang w:val="en-US" w:eastAsia="zh-CN"/>
              </w:rPr>
              <w:t>总铬①</w:t>
            </w:r>
          </w:p>
        </w:tc>
        <w:tc>
          <w:tcPr>
            <w:tcW w:w="617" w:type="pct"/>
            <w:noWrap w:val="0"/>
            <w:vAlign w:val="center"/>
          </w:tcPr>
          <w:p>
            <w:pPr>
              <w:pStyle w:val="29"/>
              <w:bidi w:val="0"/>
              <w:rPr>
                <w:rFonts w:hint="eastAsia"/>
                <w:lang w:val="en-US" w:eastAsia="zh-CN"/>
              </w:rPr>
            </w:pPr>
            <w:r>
              <w:rPr>
                <w:rFonts w:hint="eastAsia"/>
                <w:lang w:val="en-US" w:eastAsia="zh-CN"/>
              </w:rPr>
              <w:t>4.05</w:t>
            </w:r>
            <w:r>
              <w:rPr>
                <w:rFonts w:hint="default"/>
                <w:lang w:val="en-US" w:eastAsia="zh-CN"/>
              </w:rPr>
              <w:t>×10</w:t>
            </w:r>
            <w:r>
              <w:rPr>
                <w:rFonts w:hint="default"/>
                <w:vertAlign w:val="superscript"/>
                <w:lang w:val="en-US" w:eastAsia="zh-CN"/>
              </w:rPr>
              <w:t>-</w:t>
            </w:r>
            <w:r>
              <w:rPr>
                <w:rFonts w:hint="eastAsia"/>
                <w:vertAlign w:val="superscript"/>
                <w:lang w:val="en-US" w:eastAsia="zh-CN"/>
              </w:rPr>
              <w:t>3</w:t>
            </w:r>
          </w:p>
        </w:tc>
        <w:tc>
          <w:tcPr>
            <w:tcW w:w="617" w:type="pct"/>
            <w:noWrap w:val="0"/>
            <w:vAlign w:val="center"/>
          </w:tcPr>
          <w:p>
            <w:pPr>
              <w:pStyle w:val="29"/>
              <w:bidi w:val="0"/>
              <w:rPr>
                <w:rFonts w:hint="eastAsia"/>
                <w:lang w:val="en-US" w:eastAsia="zh-CN"/>
              </w:rPr>
            </w:pPr>
            <w:r>
              <w:rPr>
                <w:rFonts w:hint="eastAsia"/>
                <w:lang w:val="en-US" w:eastAsia="zh-CN"/>
              </w:rPr>
              <w:t>1.62</w:t>
            </w:r>
            <w:r>
              <w:rPr>
                <w:rFonts w:hint="default"/>
                <w:lang w:val="en-US" w:eastAsia="zh-CN"/>
              </w:rPr>
              <w:t>×10</w:t>
            </w:r>
            <w:r>
              <w:rPr>
                <w:rFonts w:hint="default"/>
                <w:vertAlign w:val="superscript"/>
                <w:lang w:val="en-US" w:eastAsia="zh-CN"/>
              </w:rPr>
              <w:t>-</w:t>
            </w:r>
            <w:r>
              <w:rPr>
                <w:rFonts w:hint="eastAsia"/>
                <w:vertAlign w:val="superscript"/>
                <w:lang w:val="en-US" w:eastAsia="zh-CN"/>
              </w:rPr>
              <w:t>3</w:t>
            </w:r>
          </w:p>
        </w:tc>
        <w:tc>
          <w:tcPr>
            <w:tcW w:w="617" w:type="pct"/>
            <w:noWrap w:val="0"/>
            <w:vAlign w:val="center"/>
          </w:tcPr>
          <w:p>
            <w:pPr>
              <w:pStyle w:val="29"/>
              <w:bidi w:val="0"/>
              <w:rPr>
                <w:rFonts w:hint="eastAsia"/>
                <w:lang w:val="en-US" w:eastAsia="zh-CN"/>
              </w:rPr>
            </w:pPr>
            <w:r>
              <w:rPr>
                <w:rFonts w:hint="eastAsia"/>
                <w:lang w:val="en-US" w:eastAsia="zh-CN"/>
              </w:rPr>
              <w:t>5.99</w:t>
            </w:r>
            <w:r>
              <w:rPr>
                <w:rFonts w:hint="default"/>
                <w:lang w:val="en-US" w:eastAsia="zh-CN"/>
              </w:rPr>
              <w:t>×10</w:t>
            </w:r>
            <w:r>
              <w:rPr>
                <w:rFonts w:hint="default"/>
                <w:vertAlign w:val="superscript"/>
                <w:lang w:val="en-US" w:eastAsia="zh-CN"/>
              </w:rPr>
              <w:t>-</w:t>
            </w:r>
            <w:r>
              <w:rPr>
                <w:rFonts w:hint="eastAsia"/>
                <w:vertAlign w:val="superscript"/>
                <w:lang w:val="en-US" w:eastAsia="zh-CN"/>
              </w:rPr>
              <w:t>3</w:t>
            </w:r>
          </w:p>
        </w:tc>
        <w:tc>
          <w:tcPr>
            <w:tcW w:w="620" w:type="pct"/>
            <w:noWrap w:val="0"/>
            <w:vAlign w:val="center"/>
          </w:tcPr>
          <w:p>
            <w:pPr>
              <w:pStyle w:val="29"/>
              <w:bidi w:val="0"/>
              <w:rPr>
                <w:rFonts w:hint="eastAsia"/>
                <w:lang w:val="en-US" w:eastAsia="zh-CN"/>
              </w:rPr>
            </w:pPr>
            <w:r>
              <w:rPr>
                <w:rFonts w:hint="eastAsia"/>
                <w:lang w:val="en-US" w:eastAsia="zh-CN"/>
              </w:rPr>
              <w:t>2.28</w:t>
            </w:r>
            <w:r>
              <w:rPr>
                <w:rFonts w:hint="default"/>
                <w:lang w:val="en-US" w:eastAsia="zh-CN"/>
              </w:rPr>
              <w:t>×10</w:t>
            </w:r>
            <w:r>
              <w:rPr>
                <w:rFonts w:hint="default"/>
                <w:vertAlign w:val="superscript"/>
                <w:lang w:val="en-US" w:eastAsia="zh-CN"/>
              </w:rPr>
              <w:t>-</w:t>
            </w:r>
            <w:r>
              <w:rPr>
                <w:rFonts w:hint="eastAsia"/>
                <w:vertAlign w:val="superscript"/>
                <w:lang w:val="en-US" w:eastAsia="zh-CN"/>
              </w:rPr>
              <w:t>3</w:t>
            </w:r>
          </w:p>
        </w:tc>
        <w:tc>
          <w:tcPr>
            <w:tcW w:w="536" w:type="pct"/>
            <w:noWrap w:val="0"/>
            <w:vAlign w:val="center"/>
          </w:tcPr>
          <w:p>
            <w:pPr>
              <w:pStyle w:val="29"/>
              <w:bidi w:val="0"/>
              <w:rPr>
                <w:rFonts w:hint="eastAsia"/>
                <w:lang w:val="en-US" w:eastAsia="zh-CN"/>
              </w:rPr>
            </w:pPr>
            <w:r>
              <w:rPr>
                <w:rFonts w:hint="eastAsia"/>
                <w:lang w:val="en-US"/>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top"/>
          </w:tcPr>
          <w:p>
            <w:pPr>
              <w:pStyle w:val="29"/>
              <w:bidi w:val="0"/>
            </w:pPr>
          </w:p>
        </w:tc>
        <w:tc>
          <w:tcPr>
            <w:tcW w:w="635" w:type="pct"/>
            <w:vMerge w:val="continue"/>
            <w:noWrap w:val="0"/>
            <w:vAlign w:val="top"/>
          </w:tcPr>
          <w:p>
            <w:pPr>
              <w:pStyle w:val="29"/>
              <w:bidi w:val="0"/>
            </w:pPr>
          </w:p>
        </w:tc>
        <w:tc>
          <w:tcPr>
            <w:tcW w:w="989" w:type="pct"/>
            <w:noWrap w:val="0"/>
            <w:vAlign w:val="center"/>
          </w:tcPr>
          <w:p>
            <w:pPr>
              <w:pStyle w:val="29"/>
              <w:bidi w:val="0"/>
              <w:rPr>
                <w:rFonts w:hint="eastAsia"/>
                <w:lang w:val="en-US" w:eastAsia="zh-CN"/>
              </w:rPr>
            </w:pPr>
            <w:r>
              <w:rPr>
                <w:rFonts w:hint="eastAsia"/>
                <w:lang w:val="en-US" w:eastAsia="zh-CN"/>
              </w:rPr>
              <w:t>总汞①</w:t>
            </w:r>
          </w:p>
        </w:tc>
        <w:tc>
          <w:tcPr>
            <w:tcW w:w="617" w:type="pct"/>
            <w:noWrap w:val="0"/>
            <w:vAlign w:val="center"/>
          </w:tcPr>
          <w:p>
            <w:pPr>
              <w:pStyle w:val="29"/>
              <w:bidi w:val="0"/>
              <w:rPr>
                <w:rFonts w:hint="default"/>
                <w:lang w:val="en-US" w:eastAsia="zh-CN"/>
              </w:rPr>
            </w:pPr>
            <w:r>
              <w:rPr>
                <w:rFonts w:hint="eastAsia"/>
                <w:lang w:val="en-US" w:eastAsia="zh-CN"/>
              </w:rPr>
              <w:t>8</w:t>
            </w:r>
            <w:r>
              <w:rPr>
                <w:rFonts w:hint="default"/>
                <w:lang w:val="en-US" w:eastAsia="zh-CN"/>
              </w:rPr>
              <w:t>×10</w:t>
            </w:r>
            <w:r>
              <w:rPr>
                <w:rFonts w:hint="default"/>
                <w:vertAlign w:val="superscript"/>
                <w:lang w:val="en-US" w:eastAsia="zh-CN"/>
              </w:rPr>
              <w:t>-</w:t>
            </w:r>
            <w:r>
              <w:rPr>
                <w:rFonts w:hint="eastAsia"/>
                <w:vertAlign w:val="superscript"/>
                <w:lang w:val="en-US" w:eastAsia="zh-CN"/>
              </w:rPr>
              <w:t>5</w:t>
            </w:r>
          </w:p>
        </w:tc>
        <w:tc>
          <w:tcPr>
            <w:tcW w:w="617" w:type="pct"/>
            <w:noWrap w:val="0"/>
            <w:vAlign w:val="center"/>
          </w:tcPr>
          <w:p>
            <w:pPr>
              <w:pStyle w:val="29"/>
              <w:bidi w:val="0"/>
              <w:rPr>
                <w:rFonts w:hint="default"/>
                <w:lang w:val="en-US" w:eastAsia="zh-CN"/>
              </w:rPr>
            </w:pPr>
            <w:r>
              <w:rPr>
                <w:rFonts w:hint="eastAsia"/>
                <w:lang w:val="en-US" w:eastAsia="zh-CN"/>
              </w:rPr>
              <w:t>7</w:t>
            </w:r>
            <w:r>
              <w:rPr>
                <w:rFonts w:hint="default"/>
                <w:lang w:val="en-US" w:eastAsia="zh-CN"/>
              </w:rPr>
              <w:t>×10</w:t>
            </w:r>
            <w:r>
              <w:rPr>
                <w:rFonts w:hint="default"/>
                <w:vertAlign w:val="superscript"/>
                <w:lang w:val="en-US" w:eastAsia="zh-CN"/>
              </w:rPr>
              <w:t>-</w:t>
            </w:r>
            <w:r>
              <w:rPr>
                <w:rFonts w:hint="eastAsia"/>
                <w:vertAlign w:val="superscript"/>
                <w:lang w:val="en-US" w:eastAsia="zh-CN"/>
              </w:rPr>
              <w:t>5</w:t>
            </w:r>
          </w:p>
        </w:tc>
        <w:tc>
          <w:tcPr>
            <w:tcW w:w="617" w:type="pct"/>
            <w:noWrap w:val="0"/>
            <w:vAlign w:val="center"/>
          </w:tcPr>
          <w:p>
            <w:pPr>
              <w:pStyle w:val="29"/>
              <w:bidi w:val="0"/>
              <w:rPr>
                <w:rFonts w:hint="eastAsia"/>
                <w:lang w:val="en-US" w:eastAsia="zh-CN"/>
              </w:rPr>
            </w:pPr>
            <w:r>
              <w:rPr>
                <w:rFonts w:hint="eastAsia"/>
                <w:lang w:val="en-US" w:eastAsia="zh-CN"/>
              </w:rPr>
              <w:t>8</w:t>
            </w:r>
            <w:r>
              <w:rPr>
                <w:rFonts w:hint="default"/>
                <w:lang w:val="en-US" w:eastAsia="zh-CN"/>
              </w:rPr>
              <w:t>×10</w:t>
            </w:r>
            <w:r>
              <w:rPr>
                <w:rFonts w:hint="default"/>
                <w:vertAlign w:val="superscript"/>
                <w:lang w:val="en-US" w:eastAsia="zh-CN"/>
              </w:rPr>
              <w:t>-</w:t>
            </w:r>
            <w:r>
              <w:rPr>
                <w:rFonts w:hint="eastAsia"/>
                <w:vertAlign w:val="superscript"/>
                <w:lang w:val="en-US" w:eastAsia="zh-CN"/>
              </w:rPr>
              <w:t>5</w:t>
            </w:r>
          </w:p>
        </w:tc>
        <w:tc>
          <w:tcPr>
            <w:tcW w:w="620" w:type="pct"/>
            <w:noWrap w:val="0"/>
            <w:vAlign w:val="center"/>
          </w:tcPr>
          <w:p>
            <w:pPr>
              <w:pStyle w:val="29"/>
              <w:bidi w:val="0"/>
              <w:rPr>
                <w:rFonts w:hint="default"/>
                <w:lang w:val="en-US" w:eastAsia="zh-CN"/>
              </w:rPr>
            </w:pPr>
            <w:r>
              <w:rPr>
                <w:rFonts w:hint="eastAsia"/>
                <w:lang w:val="en-US" w:eastAsia="zh-CN"/>
              </w:rPr>
              <w:t>1.9</w:t>
            </w:r>
            <w:r>
              <w:rPr>
                <w:rFonts w:hint="default"/>
                <w:lang w:val="en-US" w:eastAsia="zh-CN"/>
              </w:rPr>
              <w:t>×10</w:t>
            </w:r>
            <w:r>
              <w:rPr>
                <w:rFonts w:hint="default"/>
                <w:vertAlign w:val="superscript"/>
                <w:lang w:val="en-US" w:eastAsia="zh-CN"/>
              </w:rPr>
              <w:t>-</w:t>
            </w:r>
            <w:r>
              <w:rPr>
                <w:rFonts w:hint="eastAsia"/>
                <w:vertAlign w:val="superscript"/>
                <w:lang w:val="en-US" w:eastAsia="zh-CN"/>
              </w:rPr>
              <w:t>4</w:t>
            </w:r>
          </w:p>
        </w:tc>
        <w:tc>
          <w:tcPr>
            <w:tcW w:w="536" w:type="pct"/>
            <w:noWrap w:val="0"/>
            <w:vAlign w:val="center"/>
          </w:tcPr>
          <w:p>
            <w:pPr>
              <w:pStyle w:val="29"/>
              <w:bidi w:val="0"/>
              <w:rPr>
                <w:rFonts w:hint="eastAsia"/>
                <w:lang w:val="en-US" w:eastAsia="zh-CN"/>
              </w:rPr>
            </w:pPr>
            <w:r>
              <w:rPr>
                <w:rFonts w:hint="eastAsia"/>
                <w:lang w:val="en-US"/>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top"/>
          </w:tcPr>
          <w:p>
            <w:pPr>
              <w:pStyle w:val="29"/>
              <w:bidi w:val="0"/>
            </w:pPr>
          </w:p>
        </w:tc>
        <w:tc>
          <w:tcPr>
            <w:tcW w:w="635" w:type="pct"/>
            <w:vMerge w:val="continue"/>
            <w:noWrap w:val="0"/>
            <w:vAlign w:val="top"/>
          </w:tcPr>
          <w:p>
            <w:pPr>
              <w:pStyle w:val="29"/>
              <w:bidi w:val="0"/>
            </w:pPr>
          </w:p>
        </w:tc>
        <w:tc>
          <w:tcPr>
            <w:tcW w:w="989" w:type="pct"/>
            <w:noWrap w:val="0"/>
            <w:vAlign w:val="center"/>
          </w:tcPr>
          <w:p>
            <w:pPr>
              <w:pStyle w:val="29"/>
              <w:bidi w:val="0"/>
              <w:rPr>
                <w:rFonts w:hint="eastAsia"/>
                <w:lang w:val="en-US" w:eastAsia="zh-CN"/>
              </w:rPr>
            </w:pPr>
            <w:r>
              <w:rPr>
                <w:rFonts w:hint="eastAsia"/>
                <w:lang w:val="en-US" w:eastAsia="zh-CN"/>
              </w:rPr>
              <w:t>总镉①</w:t>
            </w:r>
          </w:p>
        </w:tc>
        <w:tc>
          <w:tcPr>
            <w:tcW w:w="617" w:type="pct"/>
            <w:noWrap w:val="0"/>
            <w:vAlign w:val="center"/>
          </w:tcPr>
          <w:p>
            <w:pPr>
              <w:pStyle w:val="29"/>
              <w:bidi w:val="0"/>
              <w:rPr>
                <w:rFonts w:hint="default"/>
                <w:lang w:val="en-US" w:eastAsia="zh-CN"/>
              </w:rPr>
            </w:pPr>
            <w:r>
              <w:rPr>
                <w:rFonts w:hint="eastAsia"/>
                <w:lang w:val="en-US" w:eastAsia="zh-CN"/>
              </w:rPr>
              <w:t>6</w:t>
            </w:r>
            <w:r>
              <w:rPr>
                <w:rFonts w:hint="default"/>
                <w:lang w:val="en-US" w:eastAsia="zh-CN"/>
              </w:rPr>
              <w:t>×10</w:t>
            </w:r>
            <w:r>
              <w:rPr>
                <w:rFonts w:hint="default"/>
                <w:vertAlign w:val="superscript"/>
                <w:lang w:val="en-US" w:eastAsia="zh-CN"/>
              </w:rPr>
              <w:t>-</w:t>
            </w:r>
            <w:r>
              <w:rPr>
                <w:rFonts w:hint="eastAsia"/>
                <w:vertAlign w:val="superscript"/>
                <w:lang w:val="en-US" w:eastAsia="zh-CN"/>
              </w:rPr>
              <w:t>5</w:t>
            </w:r>
          </w:p>
        </w:tc>
        <w:tc>
          <w:tcPr>
            <w:tcW w:w="617" w:type="pct"/>
            <w:noWrap w:val="0"/>
            <w:vAlign w:val="center"/>
          </w:tcPr>
          <w:p>
            <w:pPr>
              <w:pStyle w:val="29"/>
              <w:bidi w:val="0"/>
              <w:rPr>
                <w:rFonts w:hint="default"/>
                <w:lang w:val="en-US" w:eastAsia="zh-CN"/>
              </w:rPr>
            </w:pPr>
            <w:r>
              <w:rPr>
                <w:rFonts w:hint="eastAsia"/>
                <w:lang w:val="en-US" w:eastAsia="zh-CN"/>
              </w:rPr>
              <w:t>9</w:t>
            </w:r>
            <w:r>
              <w:rPr>
                <w:rFonts w:hint="default"/>
                <w:lang w:val="en-US" w:eastAsia="zh-CN"/>
              </w:rPr>
              <w:t>×10</w:t>
            </w:r>
            <w:r>
              <w:rPr>
                <w:rFonts w:hint="default"/>
                <w:vertAlign w:val="superscript"/>
                <w:lang w:val="en-US" w:eastAsia="zh-CN"/>
              </w:rPr>
              <w:t>-</w:t>
            </w:r>
            <w:r>
              <w:rPr>
                <w:rFonts w:hint="eastAsia"/>
                <w:vertAlign w:val="superscript"/>
                <w:lang w:val="en-US" w:eastAsia="zh-CN"/>
              </w:rPr>
              <w:t>5</w:t>
            </w:r>
          </w:p>
        </w:tc>
        <w:tc>
          <w:tcPr>
            <w:tcW w:w="617" w:type="pct"/>
            <w:noWrap w:val="0"/>
            <w:vAlign w:val="center"/>
          </w:tcPr>
          <w:p>
            <w:pPr>
              <w:pStyle w:val="29"/>
              <w:bidi w:val="0"/>
              <w:rPr>
                <w:rFonts w:hint="eastAsia"/>
                <w:lang w:val="en-US" w:eastAsia="zh-CN"/>
              </w:rPr>
            </w:pPr>
            <w:r>
              <w:rPr>
                <w:rFonts w:hint="eastAsia"/>
                <w:lang w:val="en-US" w:eastAsia="zh-CN"/>
              </w:rPr>
              <w:t>1.9</w:t>
            </w:r>
            <w:r>
              <w:rPr>
                <w:rFonts w:hint="default"/>
                <w:lang w:val="en-US" w:eastAsia="zh-CN"/>
              </w:rPr>
              <w:t>×10</w:t>
            </w:r>
            <w:r>
              <w:rPr>
                <w:rFonts w:hint="default"/>
                <w:vertAlign w:val="superscript"/>
                <w:lang w:val="en-US" w:eastAsia="zh-CN"/>
              </w:rPr>
              <w:t>-</w:t>
            </w:r>
            <w:r>
              <w:rPr>
                <w:rFonts w:hint="eastAsia"/>
                <w:vertAlign w:val="superscript"/>
                <w:lang w:val="en-US" w:eastAsia="zh-CN"/>
              </w:rPr>
              <w:t>4</w:t>
            </w:r>
          </w:p>
        </w:tc>
        <w:tc>
          <w:tcPr>
            <w:tcW w:w="620" w:type="pct"/>
            <w:noWrap w:val="0"/>
            <w:vAlign w:val="center"/>
          </w:tcPr>
          <w:p>
            <w:pPr>
              <w:pStyle w:val="29"/>
              <w:bidi w:val="0"/>
              <w:rPr>
                <w:rFonts w:hint="eastAsia"/>
                <w:lang w:val="en-US" w:eastAsia="zh-CN"/>
              </w:rPr>
            </w:pPr>
            <w:r>
              <w:rPr>
                <w:rFonts w:hint="eastAsia"/>
                <w:lang w:val="en-US" w:eastAsia="zh-CN"/>
              </w:rPr>
              <w:t>2.6</w:t>
            </w:r>
            <w:r>
              <w:rPr>
                <w:rFonts w:hint="default"/>
                <w:lang w:val="en-US" w:eastAsia="zh-CN"/>
              </w:rPr>
              <w:t>×10</w:t>
            </w:r>
            <w:r>
              <w:rPr>
                <w:rFonts w:hint="default"/>
                <w:vertAlign w:val="superscript"/>
                <w:lang w:val="en-US" w:eastAsia="zh-CN"/>
              </w:rPr>
              <w:t>-</w:t>
            </w:r>
            <w:r>
              <w:rPr>
                <w:rFonts w:hint="eastAsia"/>
                <w:vertAlign w:val="superscript"/>
                <w:lang w:val="en-US" w:eastAsia="zh-CN"/>
              </w:rPr>
              <w:t>4</w:t>
            </w:r>
          </w:p>
        </w:tc>
        <w:tc>
          <w:tcPr>
            <w:tcW w:w="536" w:type="pct"/>
            <w:noWrap w:val="0"/>
            <w:vAlign w:val="center"/>
          </w:tcPr>
          <w:p>
            <w:pPr>
              <w:pStyle w:val="29"/>
              <w:bidi w:val="0"/>
              <w:rPr>
                <w:rFonts w:hint="eastAsia"/>
                <w:lang w:val="en-US" w:eastAsia="zh-CN"/>
              </w:rPr>
            </w:pPr>
            <w:r>
              <w:rPr>
                <w:rFonts w:hint="eastAsia"/>
                <w:lang w:val="en-US"/>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top"/>
          </w:tcPr>
          <w:p>
            <w:pPr>
              <w:pStyle w:val="29"/>
              <w:bidi w:val="0"/>
            </w:pPr>
          </w:p>
        </w:tc>
        <w:tc>
          <w:tcPr>
            <w:tcW w:w="635" w:type="pct"/>
            <w:vMerge w:val="continue"/>
            <w:noWrap w:val="0"/>
            <w:vAlign w:val="top"/>
          </w:tcPr>
          <w:p>
            <w:pPr>
              <w:pStyle w:val="29"/>
              <w:bidi w:val="0"/>
            </w:pPr>
          </w:p>
        </w:tc>
        <w:tc>
          <w:tcPr>
            <w:tcW w:w="989" w:type="pct"/>
            <w:noWrap w:val="0"/>
            <w:vAlign w:val="center"/>
          </w:tcPr>
          <w:p>
            <w:pPr>
              <w:pStyle w:val="29"/>
              <w:bidi w:val="0"/>
              <w:rPr>
                <w:rFonts w:hint="eastAsia"/>
                <w:lang w:val="en-US" w:eastAsia="zh-CN"/>
              </w:rPr>
            </w:pPr>
            <w:r>
              <w:rPr>
                <w:rFonts w:hint="eastAsia"/>
                <w:lang w:val="en-US" w:eastAsia="zh-CN"/>
              </w:rPr>
              <w:t>总砷①</w:t>
            </w:r>
          </w:p>
        </w:tc>
        <w:tc>
          <w:tcPr>
            <w:tcW w:w="617" w:type="pct"/>
            <w:noWrap w:val="0"/>
            <w:vAlign w:val="center"/>
          </w:tcPr>
          <w:p>
            <w:pPr>
              <w:pStyle w:val="29"/>
              <w:bidi w:val="0"/>
              <w:rPr>
                <w:rFonts w:hint="eastAsia"/>
                <w:lang w:val="en-US" w:eastAsia="zh-CN"/>
              </w:rPr>
            </w:pPr>
            <w:r>
              <w:rPr>
                <w:rFonts w:hint="eastAsia"/>
                <w:lang w:val="en-US" w:eastAsia="zh-CN"/>
              </w:rPr>
              <w:t>3.8</w:t>
            </w:r>
            <w:r>
              <w:rPr>
                <w:rFonts w:hint="default"/>
                <w:lang w:val="en-US" w:eastAsia="zh-CN"/>
              </w:rPr>
              <w:t>×10</w:t>
            </w:r>
            <w:r>
              <w:rPr>
                <w:rFonts w:hint="default"/>
                <w:vertAlign w:val="superscript"/>
                <w:lang w:val="en-US" w:eastAsia="zh-CN"/>
              </w:rPr>
              <w:t>-</w:t>
            </w:r>
            <w:r>
              <w:rPr>
                <w:rFonts w:hint="eastAsia"/>
                <w:vertAlign w:val="superscript"/>
                <w:lang w:val="en-US" w:eastAsia="zh-CN"/>
              </w:rPr>
              <w:t>4</w:t>
            </w:r>
          </w:p>
        </w:tc>
        <w:tc>
          <w:tcPr>
            <w:tcW w:w="617" w:type="pct"/>
            <w:noWrap w:val="0"/>
            <w:vAlign w:val="center"/>
          </w:tcPr>
          <w:p>
            <w:pPr>
              <w:pStyle w:val="29"/>
              <w:bidi w:val="0"/>
              <w:rPr>
                <w:rFonts w:hint="eastAsia"/>
                <w:lang w:val="en-US" w:eastAsia="zh-CN"/>
              </w:rPr>
            </w:pPr>
            <w:r>
              <w:rPr>
                <w:rFonts w:hint="eastAsia"/>
                <w:lang w:val="en-US" w:eastAsia="zh-CN"/>
              </w:rPr>
              <w:t>3.7</w:t>
            </w:r>
            <w:r>
              <w:rPr>
                <w:rFonts w:hint="default"/>
                <w:lang w:val="en-US" w:eastAsia="zh-CN"/>
              </w:rPr>
              <w:t>×10</w:t>
            </w:r>
            <w:r>
              <w:rPr>
                <w:rFonts w:hint="default"/>
                <w:vertAlign w:val="superscript"/>
                <w:lang w:val="en-US" w:eastAsia="zh-CN"/>
              </w:rPr>
              <w:t>-</w:t>
            </w:r>
            <w:r>
              <w:rPr>
                <w:rFonts w:hint="eastAsia"/>
                <w:vertAlign w:val="superscript"/>
                <w:lang w:val="en-US" w:eastAsia="zh-CN"/>
              </w:rPr>
              <w:t>4</w:t>
            </w:r>
          </w:p>
        </w:tc>
        <w:tc>
          <w:tcPr>
            <w:tcW w:w="617" w:type="pct"/>
            <w:noWrap w:val="0"/>
            <w:vAlign w:val="center"/>
          </w:tcPr>
          <w:p>
            <w:pPr>
              <w:pStyle w:val="29"/>
              <w:bidi w:val="0"/>
              <w:rPr>
                <w:rFonts w:hint="eastAsia"/>
                <w:lang w:val="en-US" w:eastAsia="zh-CN"/>
              </w:rPr>
            </w:pPr>
            <w:r>
              <w:rPr>
                <w:rFonts w:hint="eastAsia"/>
                <w:lang w:val="en-US" w:eastAsia="zh-CN"/>
              </w:rPr>
              <w:t>4.7</w:t>
            </w:r>
            <w:r>
              <w:rPr>
                <w:rFonts w:hint="default"/>
                <w:lang w:val="en-US" w:eastAsia="zh-CN"/>
              </w:rPr>
              <w:t>×10</w:t>
            </w:r>
            <w:r>
              <w:rPr>
                <w:rFonts w:hint="default"/>
                <w:vertAlign w:val="superscript"/>
                <w:lang w:val="en-US" w:eastAsia="zh-CN"/>
              </w:rPr>
              <w:t>-</w:t>
            </w:r>
            <w:r>
              <w:rPr>
                <w:rFonts w:hint="eastAsia"/>
                <w:vertAlign w:val="superscript"/>
                <w:lang w:val="en-US" w:eastAsia="zh-CN"/>
              </w:rPr>
              <w:t>4</w:t>
            </w:r>
          </w:p>
        </w:tc>
        <w:tc>
          <w:tcPr>
            <w:tcW w:w="620" w:type="pct"/>
            <w:noWrap w:val="0"/>
            <w:vAlign w:val="center"/>
          </w:tcPr>
          <w:p>
            <w:pPr>
              <w:pStyle w:val="29"/>
              <w:bidi w:val="0"/>
              <w:rPr>
                <w:rFonts w:hint="eastAsia"/>
                <w:lang w:val="en-US" w:eastAsia="zh-CN"/>
              </w:rPr>
            </w:pPr>
            <w:r>
              <w:rPr>
                <w:rFonts w:hint="eastAsia"/>
                <w:lang w:val="en-US" w:eastAsia="zh-CN"/>
              </w:rPr>
              <w:t>3.2</w:t>
            </w:r>
            <w:r>
              <w:rPr>
                <w:rFonts w:hint="default"/>
                <w:lang w:val="en-US" w:eastAsia="zh-CN"/>
              </w:rPr>
              <w:t>×10</w:t>
            </w:r>
            <w:r>
              <w:rPr>
                <w:rFonts w:hint="default"/>
                <w:vertAlign w:val="superscript"/>
                <w:lang w:val="en-US" w:eastAsia="zh-CN"/>
              </w:rPr>
              <w:t>-</w:t>
            </w:r>
            <w:r>
              <w:rPr>
                <w:rFonts w:hint="eastAsia"/>
                <w:vertAlign w:val="superscript"/>
                <w:lang w:val="en-US" w:eastAsia="zh-CN"/>
              </w:rPr>
              <w:t>4</w:t>
            </w:r>
          </w:p>
        </w:tc>
        <w:tc>
          <w:tcPr>
            <w:tcW w:w="536" w:type="pct"/>
            <w:noWrap w:val="0"/>
            <w:vAlign w:val="center"/>
          </w:tcPr>
          <w:p>
            <w:pPr>
              <w:pStyle w:val="29"/>
              <w:bidi w:val="0"/>
              <w:rPr>
                <w:rFonts w:hint="eastAsia"/>
                <w:lang w:val="en-US" w:eastAsia="zh-CN"/>
              </w:rPr>
            </w:pPr>
            <w:r>
              <w:rPr>
                <w:rFonts w:hint="eastAsia"/>
                <w:lang w:val="en-US"/>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top"/>
          </w:tcPr>
          <w:p>
            <w:pPr>
              <w:pStyle w:val="29"/>
              <w:bidi w:val="0"/>
            </w:pPr>
          </w:p>
        </w:tc>
        <w:tc>
          <w:tcPr>
            <w:tcW w:w="635" w:type="pct"/>
            <w:vMerge w:val="continue"/>
            <w:noWrap w:val="0"/>
            <w:vAlign w:val="top"/>
          </w:tcPr>
          <w:p>
            <w:pPr>
              <w:pStyle w:val="29"/>
              <w:bidi w:val="0"/>
            </w:pPr>
          </w:p>
        </w:tc>
        <w:tc>
          <w:tcPr>
            <w:tcW w:w="989" w:type="pct"/>
            <w:noWrap w:val="0"/>
            <w:vAlign w:val="center"/>
          </w:tcPr>
          <w:p>
            <w:pPr>
              <w:pStyle w:val="29"/>
              <w:bidi w:val="0"/>
              <w:rPr>
                <w:rFonts w:hint="eastAsia"/>
                <w:lang w:val="en-US" w:eastAsia="zh-CN"/>
              </w:rPr>
            </w:pPr>
            <w:r>
              <w:rPr>
                <w:rFonts w:hint="eastAsia"/>
                <w:lang w:val="en-US" w:eastAsia="zh-CN"/>
              </w:rPr>
              <w:t>总铅①</w:t>
            </w:r>
          </w:p>
        </w:tc>
        <w:tc>
          <w:tcPr>
            <w:tcW w:w="617" w:type="pct"/>
            <w:noWrap w:val="0"/>
            <w:vAlign w:val="center"/>
          </w:tcPr>
          <w:p>
            <w:pPr>
              <w:pStyle w:val="29"/>
              <w:bidi w:val="0"/>
              <w:rPr>
                <w:rFonts w:hint="eastAsia"/>
                <w:lang w:val="en-US" w:eastAsia="zh-CN"/>
              </w:rPr>
            </w:pPr>
            <w:r>
              <w:rPr>
                <w:rFonts w:hint="eastAsia"/>
                <w:lang w:val="en-US" w:eastAsia="zh-CN"/>
              </w:rPr>
              <w:t>9</w:t>
            </w:r>
            <w:r>
              <w:rPr>
                <w:rFonts w:hint="default"/>
                <w:lang w:val="en-US" w:eastAsia="zh-CN"/>
              </w:rPr>
              <w:t>×10</w:t>
            </w:r>
            <w:r>
              <w:rPr>
                <w:rFonts w:hint="default"/>
                <w:vertAlign w:val="superscript"/>
                <w:lang w:val="en-US" w:eastAsia="zh-CN"/>
              </w:rPr>
              <w:t>-</w:t>
            </w:r>
            <w:r>
              <w:rPr>
                <w:rFonts w:hint="eastAsia"/>
                <w:vertAlign w:val="superscript"/>
                <w:lang w:val="en-US" w:eastAsia="zh-CN"/>
              </w:rPr>
              <w:t>5</w:t>
            </w:r>
            <w:r>
              <w:rPr>
                <w:rFonts w:hint="eastAsia"/>
                <w:lang w:val="en-US" w:eastAsia="zh-CN"/>
              </w:rPr>
              <w:t>L</w:t>
            </w:r>
          </w:p>
        </w:tc>
        <w:tc>
          <w:tcPr>
            <w:tcW w:w="617" w:type="pct"/>
            <w:noWrap w:val="0"/>
            <w:vAlign w:val="center"/>
          </w:tcPr>
          <w:p>
            <w:pPr>
              <w:pStyle w:val="29"/>
              <w:bidi w:val="0"/>
              <w:rPr>
                <w:rFonts w:hint="eastAsia"/>
                <w:lang w:val="en-US" w:eastAsia="zh-CN"/>
              </w:rPr>
            </w:pPr>
            <w:r>
              <w:rPr>
                <w:rFonts w:hint="eastAsia"/>
                <w:lang w:val="en-US" w:eastAsia="zh-CN"/>
              </w:rPr>
              <w:t>1.4</w:t>
            </w:r>
            <w:r>
              <w:rPr>
                <w:rFonts w:hint="default"/>
                <w:lang w:val="en-US" w:eastAsia="zh-CN"/>
              </w:rPr>
              <w:t>×10</w:t>
            </w:r>
            <w:r>
              <w:rPr>
                <w:rFonts w:hint="default"/>
                <w:vertAlign w:val="superscript"/>
                <w:lang w:val="en-US" w:eastAsia="zh-CN"/>
              </w:rPr>
              <w:t>-</w:t>
            </w:r>
            <w:r>
              <w:rPr>
                <w:rFonts w:hint="eastAsia"/>
                <w:vertAlign w:val="superscript"/>
                <w:lang w:val="en-US" w:eastAsia="zh-CN"/>
              </w:rPr>
              <w:t>4</w:t>
            </w:r>
          </w:p>
        </w:tc>
        <w:tc>
          <w:tcPr>
            <w:tcW w:w="617" w:type="pct"/>
            <w:noWrap w:val="0"/>
            <w:vAlign w:val="center"/>
          </w:tcPr>
          <w:p>
            <w:pPr>
              <w:pStyle w:val="29"/>
              <w:bidi w:val="0"/>
              <w:rPr>
                <w:rFonts w:hint="default"/>
                <w:lang w:val="en-US" w:eastAsia="zh-CN"/>
              </w:rPr>
            </w:pPr>
            <w:r>
              <w:rPr>
                <w:rFonts w:hint="eastAsia"/>
                <w:lang w:val="en-US" w:eastAsia="zh-CN"/>
              </w:rPr>
              <w:t>1.28</w:t>
            </w:r>
            <w:r>
              <w:rPr>
                <w:rFonts w:hint="default"/>
                <w:lang w:val="en-US" w:eastAsia="zh-CN"/>
              </w:rPr>
              <w:t>×10</w:t>
            </w:r>
            <w:r>
              <w:rPr>
                <w:rFonts w:hint="default"/>
                <w:vertAlign w:val="superscript"/>
                <w:lang w:val="en-US" w:eastAsia="zh-CN"/>
              </w:rPr>
              <w:t>-</w:t>
            </w:r>
            <w:r>
              <w:rPr>
                <w:rFonts w:hint="eastAsia"/>
                <w:vertAlign w:val="superscript"/>
                <w:lang w:val="en-US" w:eastAsia="zh-CN"/>
              </w:rPr>
              <w:t>3</w:t>
            </w:r>
          </w:p>
        </w:tc>
        <w:tc>
          <w:tcPr>
            <w:tcW w:w="620" w:type="pct"/>
            <w:noWrap w:val="0"/>
            <w:vAlign w:val="center"/>
          </w:tcPr>
          <w:p>
            <w:pPr>
              <w:pStyle w:val="29"/>
              <w:bidi w:val="0"/>
              <w:rPr>
                <w:rFonts w:hint="eastAsia"/>
                <w:lang w:val="en-US" w:eastAsia="zh-CN"/>
              </w:rPr>
            </w:pPr>
            <w:r>
              <w:rPr>
                <w:rFonts w:hint="eastAsia"/>
                <w:lang w:val="en-US" w:eastAsia="zh-CN"/>
              </w:rPr>
              <w:t>2.66</w:t>
            </w:r>
            <w:r>
              <w:rPr>
                <w:rFonts w:hint="default"/>
                <w:lang w:val="en-US" w:eastAsia="zh-CN"/>
              </w:rPr>
              <w:t>×10</w:t>
            </w:r>
            <w:r>
              <w:rPr>
                <w:rFonts w:hint="default"/>
                <w:vertAlign w:val="superscript"/>
                <w:lang w:val="en-US" w:eastAsia="zh-CN"/>
              </w:rPr>
              <w:t>-</w:t>
            </w:r>
            <w:r>
              <w:rPr>
                <w:rFonts w:hint="eastAsia"/>
                <w:vertAlign w:val="superscript"/>
                <w:lang w:val="en-US" w:eastAsia="zh-CN"/>
              </w:rPr>
              <w:t>4</w:t>
            </w:r>
          </w:p>
        </w:tc>
        <w:tc>
          <w:tcPr>
            <w:tcW w:w="536" w:type="pct"/>
            <w:noWrap w:val="0"/>
            <w:vAlign w:val="center"/>
          </w:tcPr>
          <w:p>
            <w:pPr>
              <w:pStyle w:val="29"/>
              <w:bidi w:val="0"/>
              <w:rPr>
                <w:rFonts w:hint="eastAsia"/>
                <w:lang w:val="en-US" w:eastAsia="zh-CN"/>
              </w:rPr>
            </w:pPr>
            <w:r>
              <w:rPr>
                <w:rFonts w:hint="eastAsia"/>
                <w:lang w:val="en-US"/>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6" w:type="pct"/>
            <w:vMerge w:val="continue"/>
            <w:noWrap w:val="0"/>
            <w:vAlign w:val="top"/>
          </w:tcPr>
          <w:p>
            <w:pPr>
              <w:pStyle w:val="29"/>
              <w:bidi w:val="0"/>
            </w:pPr>
          </w:p>
        </w:tc>
        <w:tc>
          <w:tcPr>
            <w:tcW w:w="635" w:type="pct"/>
            <w:vMerge w:val="continue"/>
            <w:noWrap w:val="0"/>
            <w:vAlign w:val="top"/>
          </w:tcPr>
          <w:p>
            <w:pPr>
              <w:pStyle w:val="29"/>
              <w:bidi w:val="0"/>
            </w:pPr>
          </w:p>
        </w:tc>
        <w:tc>
          <w:tcPr>
            <w:tcW w:w="989" w:type="pct"/>
            <w:noWrap w:val="0"/>
            <w:vAlign w:val="center"/>
          </w:tcPr>
          <w:p>
            <w:pPr>
              <w:pStyle w:val="29"/>
              <w:bidi w:val="0"/>
              <w:rPr>
                <w:rFonts w:hint="eastAsia"/>
                <w:lang w:val="en-US" w:eastAsia="zh-CN"/>
              </w:rPr>
            </w:pPr>
            <w:r>
              <w:rPr>
                <w:rFonts w:hint="eastAsia"/>
                <w:lang w:val="en-US" w:eastAsia="zh-CN"/>
              </w:rPr>
              <w:t>烷基汞②</w:t>
            </w:r>
          </w:p>
        </w:tc>
        <w:tc>
          <w:tcPr>
            <w:tcW w:w="617" w:type="pct"/>
            <w:noWrap w:val="0"/>
            <w:vAlign w:val="center"/>
          </w:tcPr>
          <w:p>
            <w:pPr>
              <w:pStyle w:val="29"/>
              <w:bidi w:val="0"/>
              <w:rPr>
                <w:rFonts w:hint="eastAsia"/>
                <w:lang w:val="en-US" w:eastAsia="zh-CN"/>
              </w:rPr>
            </w:pPr>
            <w:r>
              <w:rPr>
                <w:rFonts w:hint="eastAsia"/>
                <w:lang w:val="en-US" w:eastAsia="zh-CN"/>
              </w:rPr>
              <w:t>未检出</w:t>
            </w:r>
          </w:p>
        </w:tc>
        <w:tc>
          <w:tcPr>
            <w:tcW w:w="617" w:type="pct"/>
            <w:noWrap w:val="0"/>
            <w:vAlign w:val="center"/>
          </w:tcPr>
          <w:p>
            <w:pPr>
              <w:pStyle w:val="29"/>
              <w:bidi w:val="0"/>
              <w:rPr>
                <w:rFonts w:hint="eastAsia"/>
                <w:lang w:val="en-US" w:eastAsia="zh-CN"/>
              </w:rPr>
            </w:pPr>
            <w:r>
              <w:rPr>
                <w:rFonts w:hint="eastAsia"/>
                <w:lang w:val="en-US" w:eastAsia="zh-CN"/>
              </w:rPr>
              <w:t>未检出</w:t>
            </w:r>
          </w:p>
        </w:tc>
        <w:tc>
          <w:tcPr>
            <w:tcW w:w="617" w:type="pct"/>
            <w:noWrap w:val="0"/>
            <w:vAlign w:val="center"/>
          </w:tcPr>
          <w:p>
            <w:pPr>
              <w:pStyle w:val="29"/>
              <w:bidi w:val="0"/>
              <w:rPr>
                <w:rFonts w:hint="eastAsia"/>
                <w:lang w:val="en-US" w:eastAsia="zh-CN"/>
              </w:rPr>
            </w:pPr>
            <w:r>
              <w:rPr>
                <w:rFonts w:hint="eastAsia"/>
                <w:lang w:val="en-US" w:eastAsia="zh-CN"/>
              </w:rPr>
              <w:t>未检出</w:t>
            </w:r>
          </w:p>
        </w:tc>
        <w:tc>
          <w:tcPr>
            <w:tcW w:w="620" w:type="pct"/>
            <w:noWrap w:val="0"/>
            <w:vAlign w:val="center"/>
          </w:tcPr>
          <w:p>
            <w:pPr>
              <w:pStyle w:val="29"/>
              <w:bidi w:val="0"/>
              <w:rPr>
                <w:rFonts w:hint="eastAsia"/>
                <w:lang w:val="en-US" w:eastAsia="zh-CN"/>
              </w:rPr>
            </w:pPr>
            <w:r>
              <w:rPr>
                <w:rFonts w:hint="eastAsia"/>
                <w:lang w:val="en-US" w:eastAsia="zh-CN"/>
              </w:rPr>
              <w:t>未检出</w:t>
            </w:r>
          </w:p>
        </w:tc>
        <w:tc>
          <w:tcPr>
            <w:tcW w:w="536" w:type="pct"/>
            <w:noWrap w:val="0"/>
            <w:vAlign w:val="center"/>
          </w:tcPr>
          <w:p>
            <w:pPr>
              <w:pStyle w:val="29"/>
              <w:bidi w:val="0"/>
              <w:rPr>
                <w:rFonts w:hint="eastAsia"/>
                <w:lang w:val="en-US" w:eastAsia="zh-CN"/>
              </w:rPr>
            </w:pPr>
            <w:r>
              <w:rPr>
                <w:rFonts w:hint="eastAsia"/>
                <w:lang w:val="en-US"/>
              </w:rPr>
              <w:t>mg/L</w:t>
            </w:r>
          </w:p>
        </w:tc>
      </w:tr>
    </w:tbl>
    <w:p>
      <w:r>
        <w:t>项目</w:t>
      </w:r>
      <w:r>
        <w:rPr>
          <w:rFonts w:hint="eastAsia"/>
          <w:lang w:eastAsia="zh-CN"/>
        </w:rPr>
        <w:t>排水</w:t>
      </w:r>
      <w:r>
        <w:t>水质监测结果见表9-4；</w:t>
      </w:r>
    </w:p>
    <w:p>
      <w:pPr>
        <w:widowControl/>
        <w:tabs>
          <w:tab w:val="left" w:pos="1230"/>
        </w:tabs>
        <w:wordWrap w:val="0"/>
        <w:topLinePunct/>
        <w:spacing w:line="240" w:lineRule="auto"/>
        <w:ind w:firstLine="0" w:firstLineChars="0"/>
        <w:jc w:val="right"/>
        <w:rPr>
          <w:rFonts w:hint="default" w:eastAsia="宋体"/>
          <w:b/>
          <w:color w:val="000000"/>
          <w:sz w:val="21"/>
          <w:szCs w:val="21"/>
          <w:lang w:val="en-US" w:eastAsia="zh-CN"/>
        </w:rPr>
      </w:pPr>
      <w:r>
        <w:rPr>
          <w:b/>
          <w:color w:val="000000"/>
          <w:sz w:val="21"/>
          <w:szCs w:val="21"/>
        </w:rPr>
        <w:t>表9-</w:t>
      </w:r>
      <w:r>
        <w:rPr>
          <w:rFonts w:hint="eastAsia"/>
          <w:b/>
          <w:color w:val="000000"/>
          <w:sz w:val="21"/>
          <w:szCs w:val="21"/>
        </w:rPr>
        <w:t>4</w:t>
      </w:r>
      <w:r>
        <w:rPr>
          <w:b/>
          <w:color w:val="000000"/>
          <w:sz w:val="21"/>
          <w:szCs w:val="21"/>
        </w:rPr>
        <w:t xml:space="preserve">  污水处理厂</w:t>
      </w:r>
      <w:r>
        <w:rPr>
          <w:rFonts w:hint="eastAsia"/>
          <w:b/>
          <w:color w:val="000000"/>
          <w:sz w:val="21"/>
          <w:szCs w:val="21"/>
          <w:lang w:eastAsia="zh-CN"/>
        </w:rPr>
        <w:t>排水</w:t>
      </w:r>
      <w:r>
        <w:rPr>
          <w:b/>
          <w:color w:val="000000"/>
          <w:sz w:val="21"/>
          <w:szCs w:val="21"/>
        </w:rPr>
        <w:t>水质监测结果</w:t>
      </w:r>
      <w:r>
        <w:rPr>
          <w:rFonts w:hint="eastAsia"/>
          <w:b/>
          <w:color w:val="000000"/>
          <w:sz w:val="21"/>
          <w:szCs w:val="21"/>
          <w:lang w:val="en-US" w:eastAsia="zh-CN"/>
        </w:rPr>
        <w:t xml:space="preserve">     </w:t>
      </w:r>
      <w:r>
        <w:rPr>
          <w:rFonts w:hint="eastAsia"/>
          <w:b/>
          <w:color w:val="000000"/>
          <w:sz w:val="21"/>
          <w:szCs w:val="21"/>
          <w:lang w:eastAsia="zh-CN"/>
        </w:rPr>
        <w:t>单位：</w:t>
      </w:r>
      <w:r>
        <w:rPr>
          <w:rFonts w:hint="eastAsia"/>
          <w:b/>
          <w:color w:val="000000"/>
          <w:sz w:val="21"/>
          <w:szCs w:val="21"/>
          <w:lang w:val="en-US" w:eastAsia="zh-CN"/>
        </w:rPr>
        <w:t>mg/L（pH无量纲）</w:t>
      </w:r>
    </w:p>
    <w:tbl>
      <w:tblPr>
        <w:tblStyle w:val="19"/>
        <w:tblW w:w="4996"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092"/>
        <w:gridCol w:w="1785"/>
        <w:gridCol w:w="1157"/>
        <w:gridCol w:w="1157"/>
        <w:gridCol w:w="1157"/>
        <w:gridCol w:w="1179"/>
        <w:gridCol w:w="111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44" w:type="pct"/>
            <w:vMerge w:val="restart"/>
            <w:noWrap w:val="0"/>
            <w:vAlign w:val="center"/>
          </w:tcPr>
          <w:p>
            <w:pPr>
              <w:pStyle w:val="29"/>
              <w:bidi w:val="0"/>
              <w:rPr>
                <w:b/>
                <w:bCs/>
              </w:rPr>
            </w:pPr>
            <w:r>
              <w:rPr>
                <w:b/>
                <w:bCs/>
              </w:rPr>
              <w:t>点位编号</w:t>
            </w:r>
          </w:p>
        </w:tc>
        <w:tc>
          <w:tcPr>
            <w:tcW w:w="588" w:type="pct"/>
            <w:vMerge w:val="restart"/>
            <w:noWrap w:val="0"/>
            <w:vAlign w:val="center"/>
          </w:tcPr>
          <w:p>
            <w:pPr>
              <w:pStyle w:val="29"/>
              <w:bidi w:val="0"/>
              <w:rPr>
                <w:b/>
                <w:bCs/>
              </w:rPr>
            </w:pPr>
            <w:r>
              <w:rPr>
                <w:b/>
                <w:bCs/>
              </w:rPr>
              <w:t>监测日期</w:t>
            </w:r>
          </w:p>
        </w:tc>
        <w:tc>
          <w:tcPr>
            <w:tcW w:w="961" w:type="pct"/>
            <w:vMerge w:val="restart"/>
            <w:noWrap w:val="0"/>
            <w:vAlign w:val="center"/>
          </w:tcPr>
          <w:p>
            <w:pPr>
              <w:pStyle w:val="29"/>
              <w:bidi w:val="0"/>
              <w:rPr>
                <w:b/>
                <w:bCs/>
              </w:rPr>
            </w:pPr>
            <w:r>
              <w:rPr>
                <w:b/>
                <w:bCs/>
              </w:rPr>
              <w:t>监测项目</w:t>
            </w:r>
          </w:p>
        </w:tc>
        <w:tc>
          <w:tcPr>
            <w:tcW w:w="2504" w:type="pct"/>
            <w:gridSpan w:val="4"/>
            <w:noWrap w:val="0"/>
            <w:vAlign w:val="center"/>
          </w:tcPr>
          <w:p>
            <w:pPr>
              <w:pStyle w:val="29"/>
              <w:bidi w:val="0"/>
              <w:rPr>
                <w:b/>
                <w:bCs/>
              </w:rPr>
            </w:pPr>
            <w:r>
              <w:rPr>
                <w:b/>
                <w:bCs/>
              </w:rPr>
              <w:t>监测结果</w:t>
            </w:r>
          </w:p>
        </w:tc>
        <w:tc>
          <w:tcPr>
            <w:tcW w:w="601" w:type="pct"/>
            <w:vMerge w:val="restart"/>
            <w:noWrap w:val="0"/>
            <w:vAlign w:val="center"/>
          </w:tcPr>
          <w:p>
            <w:pPr>
              <w:pStyle w:val="29"/>
              <w:bidi w:val="0"/>
              <w:rPr>
                <w:b/>
                <w:bCs/>
              </w:rPr>
            </w:pPr>
            <w:r>
              <w:rPr>
                <w:rFonts w:hint="eastAsia"/>
                <w:b/>
                <w:bCs/>
              </w:rPr>
              <w:t>标准限值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44" w:type="pct"/>
            <w:vMerge w:val="continue"/>
            <w:noWrap w:val="0"/>
            <w:vAlign w:val="center"/>
          </w:tcPr>
          <w:p>
            <w:pPr>
              <w:pStyle w:val="29"/>
              <w:bidi w:val="0"/>
              <w:rPr>
                <w:b/>
                <w:bCs/>
              </w:rPr>
            </w:pPr>
          </w:p>
        </w:tc>
        <w:tc>
          <w:tcPr>
            <w:tcW w:w="588" w:type="pct"/>
            <w:vMerge w:val="continue"/>
            <w:noWrap w:val="0"/>
            <w:vAlign w:val="center"/>
          </w:tcPr>
          <w:p>
            <w:pPr>
              <w:pStyle w:val="29"/>
              <w:bidi w:val="0"/>
              <w:rPr>
                <w:b/>
                <w:bCs/>
              </w:rPr>
            </w:pPr>
          </w:p>
        </w:tc>
        <w:tc>
          <w:tcPr>
            <w:tcW w:w="961" w:type="pct"/>
            <w:vMerge w:val="continue"/>
            <w:noWrap w:val="0"/>
            <w:vAlign w:val="center"/>
          </w:tcPr>
          <w:p>
            <w:pPr>
              <w:pStyle w:val="29"/>
              <w:bidi w:val="0"/>
              <w:rPr>
                <w:b/>
                <w:bCs/>
              </w:rPr>
            </w:pPr>
          </w:p>
        </w:tc>
        <w:tc>
          <w:tcPr>
            <w:tcW w:w="623" w:type="pct"/>
            <w:noWrap w:val="0"/>
            <w:vAlign w:val="center"/>
          </w:tcPr>
          <w:p>
            <w:pPr>
              <w:pStyle w:val="29"/>
              <w:bidi w:val="0"/>
              <w:rPr>
                <w:b/>
                <w:bCs/>
              </w:rPr>
            </w:pPr>
            <w:r>
              <w:rPr>
                <w:b/>
                <w:bCs/>
              </w:rPr>
              <w:t>第一次</w:t>
            </w:r>
          </w:p>
        </w:tc>
        <w:tc>
          <w:tcPr>
            <w:tcW w:w="623" w:type="pct"/>
            <w:noWrap w:val="0"/>
            <w:vAlign w:val="center"/>
          </w:tcPr>
          <w:p>
            <w:pPr>
              <w:pStyle w:val="29"/>
              <w:bidi w:val="0"/>
              <w:rPr>
                <w:b/>
                <w:bCs/>
              </w:rPr>
            </w:pPr>
            <w:r>
              <w:rPr>
                <w:b/>
                <w:bCs/>
              </w:rPr>
              <w:t>第二次</w:t>
            </w:r>
          </w:p>
        </w:tc>
        <w:tc>
          <w:tcPr>
            <w:tcW w:w="623" w:type="pct"/>
            <w:noWrap w:val="0"/>
            <w:vAlign w:val="center"/>
          </w:tcPr>
          <w:p>
            <w:pPr>
              <w:pStyle w:val="29"/>
              <w:bidi w:val="0"/>
              <w:rPr>
                <w:b/>
                <w:bCs/>
              </w:rPr>
            </w:pPr>
            <w:r>
              <w:rPr>
                <w:b/>
                <w:bCs/>
              </w:rPr>
              <w:t>第三次</w:t>
            </w:r>
          </w:p>
        </w:tc>
        <w:tc>
          <w:tcPr>
            <w:tcW w:w="634" w:type="pct"/>
            <w:noWrap w:val="0"/>
            <w:vAlign w:val="center"/>
          </w:tcPr>
          <w:p>
            <w:pPr>
              <w:pStyle w:val="29"/>
              <w:bidi w:val="0"/>
              <w:rPr>
                <w:b/>
                <w:bCs/>
              </w:rPr>
            </w:pPr>
            <w:r>
              <w:rPr>
                <w:b/>
                <w:bCs/>
              </w:rPr>
              <w:t>第四次</w:t>
            </w:r>
          </w:p>
        </w:tc>
        <w:tc>
          <w:tcPr>
            <w:tcW w:w="601" w:type="pct"/>
            <w:vMerge w:val="continue"/>
            <w:noWrap w:val="0"/>
            <w:vAlign w:val="center"/>
          </w:tcPr>
          <w:p>
            <w:pPr>
              <w:pStyle w:val="29"/>
              <w:bidi w:val="0"/>
              <w:rPr>
                <w:b/>
                <w:bCs/>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restart"/>
            <w:noWrap w:val="0"/>
            <w:vAlign w:val="center"/>
          </w:tcPr>
          <w:p>
            <w:pPr>
              <w:pStyle w:val="29"/>
              <w:bidi w:val="0"/>
            </w:pPr>
            <w:r>
              <w:rPr>
                <w:rFonts w:hint="eastAsia"/>
                <w:lang w:val="en-US" w:eastAsia="zh-CN"/>
              </w:rPr>
              <w:t>W2</w:t>
            </w:r>
          </w:p>
        </w:tc>
        <w:tc>
          <w:tcPr>
            <w:tcW w:w="588" w:type="pct"/>
            <w:vMerge w:val="restart"/>
            <w:noWrap w:val="0"/>
            <w:vAlign w:val="center"/>
          </w:tcPr>
          <w:p>
            <w:pPr>
              <w:pStyle w:val="29"/>
              <w:bidi w:val="0"/>
              <w:rPr>
                <w:rFonts w:hint="default"/>
                <w:lang w:val="en-US" w:eastAsia="zh-CN"/>
              </w:rPr>
            </w:pPr>
            <w:r>
              <w:rPr>
                <w:rFonts w:hint="eastAsia"/>
                <w:lang w:val="en-US" w:eastAsia="zh-CN"/>
              </w:rPr>
              <w:t>2022-5-24</w:t>
            </w:r>
          </w:p>
        </w:tc>
        <w:tc>
          <w:tcPr>
            <w:tcW w:w="961" w:type="pct"/>
            <w:noWrap w:val="0"/>
            <w:vAlign w:val="center"/>
          </w:tcPr>
          <w:p>
            <w:pPr>
              <w:pStyle w:val="29"/>
              <w:bidi w:val="0"/>
              <w:rPr>
                <w:rFonts w:hint="eastAsia"/>
                <w:lang w:val="en-US" w:eastAsia="zh-CN"/>
              </w:rPr>
            </w:pPr>
            <w:r>
              <w:rPr>
                <w:lang w:val="en-US"/>
              </w:rPr>
              <w:t>pH</w:t>
            </w:r>
          </w:p>
        </w:tc>
        <w:tc>
          <w:tcPr>
            <w:tcW w:w="623" w:type="pct"/>
            <w:noWrap w:val="0"/>
            <w:vAlign w:val="center"/>
          </w:tcPr>
          <w:p>
            <w:pPr>
              <w:pStyle w:val="29"/>
              <w:bidi w:val="0"/>
              <w:rPr>
                <w:rFonts w:hint="default"/>
                <w:lang w:val="en-US" w:eastAsia="zh-CN"/>
              </w:rPr>
            </w:pPr>
            <w:r>
              <w:rPr>
                <w:rFonts w:hint="eastAsia"/>
                <w:lang w:val="en-US" w:eastAsia="zh-CN"/>
              </w:rPr>
              <w:t>7.1</w:t>
            </w:r>
          </w:p>
        </w:tc>
        <w:tc>
          <w:tcPr>
            <w:tcW w:w="623" w:type="pct"/>
            <w:noWrap w:val="0"/>
            <w:vAlign w:val="center"/>
          </w:tcPr>
          <w:p>
            <w:pPr>
              <w:pStyle w:val="29"/>
              <w:bidi w:val="0"/>
              <w:rPr>
                <w:rFonts w:hint="default"/>
                <w:lang w:val="en-US" w:eastAsia="zh-CN"/>
              </w:rPr>
            </w:pPr>
            <w:r>
              <w:rPr>
                <w:rFonts w:hint="eastAsia"/>
                <w:lang w:val="en-US" w:eastAsia="zh-CN"/>
              </w:rPr>
              <w:t>7.2</w:t>
            </w:r>
          </w:p>
        </w:tc>
        <w:tc>
          <w:tcPr>
            <w:tcW w:w="623" w:type="pct"/>
            <w:noWrap w:val="0"/>
            <w:vAlign w:val="center"/>
          </w:tcPr>
          <w:p>
            <w:pPr>
              <w:pStyle w:val="29"/>
              <w:bidi w:val="0"/>
              <w:rPr>
                <w:rFonts w:hint="default"/>
                <w:lang w:val="en-US" w:eastAsia="zh-CN"/>
              </w:rPr>
            </w:pPr>
            <w:r>
              <w:rPr>
                <w:rFonts w:hint="eastAsia"/>
                <w:lang w:val="en-US" w:eastAsia="zh-CN"/>
              </w:rPr>
              <w:t>7.2</w:t>
            </w:r>
          </w:p>
        </w:tc>
        <w:tc>
          <w:tcPr>
            <w:tcW w:w="634" w:type="pct"/>
            <w:noWrap w:val="0"/>
            <w:vAlign w:val="center"/>
          </w:tcPr>
          <w:p>
            <w:pPr>
              <w:pStyle w:val="29"/>
              <w:bidi w:val="0"/>
              <w:rPr>
                <w:rFonts w:hint="default"/>
                <w:lang w:val="en-US" w:eastAsia="zh-CN"/>
              </w:rPr>
            </w:pPr>
            <w:r>
              <w:rPr>
                <w:rFonts w:hint="eastAsia"/>
                <w:lang w:val="en-US" w:eastAsia="zh-CN"/>
              </w:rPr>
              <w:t>7.1</w:t>
            </w:r>
          </w:p>
        </w:tc>
        <w:tc>
          <w:tcPr>
            <w:tcW w:w="601" w:type="pct"/>
            <w:noWrap w:val="0"/>
            <w:vAlign w:val="center"/>
          </w:tcPr>
          <w:p>
            <w:pPr>
              <w:pStyle w:val="29"/>
              <w:bidi w:val="0"/>
              <w:rPr>
                <w:rFonts w:hint="default"/>
                <w:lang w:val="en-US" w:eastAsia="zh-CN"/>
              </w:rPr>
            </w:pPr>
            <w:r>
              <w:rPr>
                <w:rFonts w:hint="eastAsia"/>
                <w:lang w:val="en-US" w:eastAsia="zh-CN"/>
              </w:rPr>
              <w:t>6~9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center"/>
          </w:tcPr>
          <w:p>
            <w:pPr>
              <w:pStyle w:val="29"/>
              <w:bidi w:val="0"/>
            </w:pPr>
          </w:p>
        </w:tc>
        <w:tc>
          <w:tcPr>
            <w:tcW w:w="588" w:type="pct"/>
            <w:vMerge w:val="continue"/>
            <w:noWrap w:val="0"/>
            <w:vAlign w:val="center"/>
          </w:tcPr>
          <w:p>
            <w:pPr>
              <w:pStyle w:val="29"/>
              <w:bidi w:val="0"/>
            </w:pPr>
          </w:p>
        </w:tc>
        <w:tc>
          <w:tcPr>
            <w:tcW w:w="961" w:type="pct"/>
            <w:noWrap w:val="0"/>
            <w:vAlign w:val="center"/>
          </w:tcPr>
          <w:p>
            <w:pPr>
              <w:pStyle w:val="29"/>
              <w:bidi w:val="0"/>
              <w:rPr>
                <w:rFonts w:hint="eastAsia"/>
                <w:lang w:val="en-US" w:eastAsia="zh-CN"/>
              </w:rPr>
            </w:pPr>
            <w:r>
              <w:rPr>
                <w:rFonts w:hint="eastAsia"/>
                <w:lang w:val="en-US"/>
              </w:rPr>
              <w:t>化学需氧量</w:t>
            </w:r>
          </w:p>
        </w:tc>
        <w:tc>
          <w:tcPr>
            <w:tcW w:w="623" w:type="pct"/>
            <w:noWrap w:val="0"/>
            <w:vAlign w:val="center"/>
          </w:tcPr>
          <w:p>
            <w:pPr>
              <w:pStyle w:val="29"/>
              <w:bidi w:val="0"/>
              <w:rPr>
                <w:rFonts w:hint="default"/>
                <w:lang w:val="en-US" w:eastAsia="zh-CN"/>
              </w:rPr>
            </w:pPr>
            <w:r>
              <w:rPr>
                <w:rFonts w:hint="eastAsia"/>
                <w:lang w:val="en-US" w:eastAsia="zh-CN"/>
              </w:rPr>
              <w:t>27.4</w:t>
            </w:r>
          </w:p>
        </w:tc>
        <w:tc>
          <w:tcPr>
            <w:tcW w:w="623" w:type="pct"/>
            <w:noWrap w:val="0"/>
            <w:vAlign w:val="center"/>
          </w:tcPr>
          <w:p>
            <w:pPr>
              <w:pStyle w:val="29"/>
              <w:bidi w:val="0"/>
              <w:rPr>
                <w:rFonts w:hint="default"/>
                <w:lang w:val="en-US" w:eastAsia="zh-CN"/>
              </w:rPr>
            </w:pPr>
            <w:r>
              <w:rPr>
                <w:rFonts w:hint="eastAsia"/>
                <w:lang w:val="en-US" w:eastAsia="zh-CN"/>
              </w:rPr>
              <w:t>26.6</w:t>
            </w:r>
          </w:p>
        </w:tc>
        <w:tc>
          <w:tcPr>
            <w:tcW w:w="623" w:type="pct"/>
            <w:noWrap w:val="0"/>
            <w:vAlign w:val="center"/>
          </w:tcPr>
          <w:p>
            <w:pPr>
              <w:pStyle w:val="29"/>
              <w:bidi w:val="0"/>
              <w:rPr>
                <w:rFonts w:hint="default"/>
                <w:lang w:val="en-US" w:eastAsia="zh-CN"/>
              </w:rPr>
            </w:pPr>
            <w:r>
              <w:rPr>
                <w:rFonts w:hint="eastAsia"/>
                <w:lang w:val="en-US" w:eastAsia="zh-CN"/>
              </w:rPr>
              <w:t>27.9</w:t>
            </w:r>
          </w:p>
        </w:tc>
        <w:tc>
          <w:tcPr>
            <w:tcW w:w="634" w:type="pct"/>
            <w:noWrap w:val="0"/>
            <w:vAlign w:val="center"/>
          </w:tcPr>
          <w:p>
            <w:pPr>
              <w:pStyle w:val="29"/>
              <w:bidi w:val="0"/>
              <w:rPr>
                <w:rFonts w:hint="default"/>
                <w:lang w:val="en-US" w:eastAsia="zh-CN"/>
              </w:rPr>
            </w:pPr>
            <w:r>
              <w:rPr>
                <w:rFonts w:hint="eastAsia"/>
                <w:lang w:val="en-US" w:eastAsia="zh-CN"/>
              </w:rPr>
              <w:t>28.9</w:t>
            </w:r>
          </w:p>
        </w:tc>
        <w:tc>
          <w:tcPr>
            <w:tcW w:w="601" w:type="pct"/>
            <w:noWrap w:val="0"/>
            <w:vAlign w:val="center"/>
          </w:tcPr>
          <w:p>
            <w:pPr>
              <w:pStyle w:val="29"/>
              <w:bidi w:val="0"/>
              <w:rPr>
                <w:rFonts w:hint="default"/>
                <w:lang w:val="en-US" w:eastAsia="zh-CN"/>
              </w:rPr>
            </w:pPr>
            <w:r>
              <w:rPr>
                <w:rFonts w:hint="eastAsia"/>
                <w:lang w:val="en-US" w:eastAsia="zh-CN"/>
              </w:rPr>
              <w:t>40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center"/>
          </w:tcPr>
          <w:p>
            <w:pPr>
              <w:pStyle w:val="29"/>
              <w:bidi w:val="0"/>
            </w:pPr>
          </w:p>
        </w:tc>
        <w:tc>
          <w:tcPr>
            <w:tcW w:w="588" w:type="pct"/>
            <w:vMerge w:val="continue"/>
            <w:noWrap w:val="0"/>
            <w:vAlign w:val="center"/>
          </w:tcPr>
          <w:p>
            <w:pPr>
              <w:pStyle w:val="29"/>
              <w:bidi w:val="0"/>
            </w:pPr>
          </w:p>
        </w:tc>
        <w:tc>
          <w:tcPr>
            <w:tcW w:w="961" w:type="pct"/>
            <w:noWrap w:val="0"/>
            <w:vAlign w:val="center"/>
          </w:tcPr>
          <w:p>
            <w:pPr>
              <w:pStyle w:val="29"/>
              <w:bidi w:val="0"/>
              <w:rPr>
                <w:rFonts w:hint="eastAsia"/>
                <w:lang w:val="en-US" w:eastAsia="zh-CN"/>
              </w:rPr>
            </w:pPr>
            <w:r>
              <w:rPr>
                <w:rFonts w:hint="eastAsia"/>
                <w:lang w:val="en-US"/>
              </w:rPr>
              <w:t>五日生化需氧量</w:t>
            </w:r>
          </w:p>
        </w:tc>
        <w:tc>
          <w:tcPr>
            <w:tcW w:w="623" w:type="pct"/>
            <w:noWrap w:val="0"/>
            <w:vAlign w:val="center"/>
          </w:tcPr>
          <w:p>
            <w:pPr>
              <w:pStyle w:val="29"/>
              <w:bidi w:val="0"/>
              <w:rPr>
                <w:rFonts w:hint="default"/>
                <w:lang w:val="en-US" w:eastAsia="zh-CN"/>
              </w:rPr>
            </w:pPr>
            <w:r>
              <w:rPr>
                <w:rFonts w:hint="eastAsia"/>
                <w:lang w:val="en-US" w:eastAsia="zh-CN"/>
              </w:rPr>
              <w:t>8.3</w:t>
            </w:r>
          </w:p>
        </w:tc>
        <w:tc>
          <w:tcPr>
            <w:tcW w:w="623" w:type="pct"/>
            <w:noWrap w:val="0"/>
            <w:vAlign w:val="center"/>
          </w:tcPr>
          <w:p>
            <w:pPr>
              <w:pStyle w:val="29"/>
              <w:bidi w:val="0"/>
              <w:rPr>
                <w:rFonts w:hint="default"/>
                <w:lang w:val="en-US" w:eastAsia="zh-CN"/>
              </w:rPr>
            </w:pPr>
            <w:r>
              <w:rPr>
                <w:rFonts w:hint="eastAsia"/>
                <w:lang w:val="en-US" w:eastAsia="zh-CN"/>
              </w:rPr>
              <w:t>7.8</w:t>
            </w:r>
          </w:p>
        </w:tc>
        <w:tc>
          <w:tcPr>
            <w:tcW w:w="623" w:type="pct"/>
            <w:noWrap w:val="0"/>
            <w:vAlign w:val="center"/>
          </w:tcPr>
          <w:p>
            <w:pPr>
              <w:pStyle w:val="29"/>
              <w:bidi w:val="0"/>
              <w:rPr>
                <w:rFonts w:hint="default"/>
                <w:lang w:val="en-US" w:eastAsia="zh-CN"/>
              </w:rPr>
            </w:pPr>
            <w:r>
              <w:rPr>
                <w:rFonts w:hint="eastAsia"/>
                <w:lang w:val="en-US" w:eastAsia="zh-CN"/>
              </w:rPr>
              <w:t>8.6</w:t>
            </w:r>
          </w:p>
        </w:tc>
        <w:tc>
          <w:tcPr>
            <w:tcW w:w="634" w:type="pct"/>
            <w:noWrap w:val="0"/>
            <w:vAlign w:val="center"/>
          </w:tcPr>
          <w:p>
            <w:pPr>
              <w:pStyle w:val="29"/>
              <w:bidi w:val="0"/>
              <w:rPr>
                <w:rFonts w:hint="default"/>
                <w:lang w:val="en-US" w:eastAsia="zh-CN"/>
              </w:rPr>
            </w:pPr>
            <w:r>
              <w:rPr>
                <w:rFonts w:hint="eastAsia"/>
                <w:lang w:val="en-US" w:eastAsia="zh-CN"/>
              </w:rPr>
              <w:t>8.8</w:t>
            </w:r>
          </w:p>
        </w:tc>
        <w:tc>
          <w:tcPr>
            <w:tcW w:w="601" w:type="pct"/>
            <w:noWrap w:val="0"/>
            <w:vAlign w:val="center"/>
          </w:tcPr>
          <w:p>
            <w:pPr>
              <w:pStyle w:val="29"/>
              <w:bidi w:val="0"/>
              <w:rPr>
                <w:rFonts w:hint="default"/>
                <w:lang w:val="en-US" w:eastAsia="zh-CN"/>
              </w:rPr>
            </w:pPr>
            <w:r>
              <w:rPr>
                <w:rFonts w:hint="eastAsia"/>
                <w:lang w:val="en-US" w:eastAsia="zh-CN"/>
              </w:rPr>
              <w:t>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center"/>
          </w:tcPr>
          <w:p>
            <w:pPr>
              <w:pStyle w:val="29"/>
              <w:bidi w:val="0"/>
            </w:pPr>
          </w:p>
        </w:tc>
        <w:tc>
          <w:tcPr>
            <w:tcW w:w="588" w:type="pct"/>
            <w:vMerge w:val="continue"/>
            <w:noWrap w:val="0"/>
            <w:vAlign w:val="center"/>
          </w:tcPr>
          <w:p>
            <w:pPr>
              <w:pStyle w:val="29"/>
              <w:bidi w:val="0"/>
            </w:pPr>
          </w:p>
        </w:tc>
        <w:tc>
          <w:tcPr>
            <w:tcW w:w="961" w:type="pct"/>
            <w:noWrap w:val="0"/>
            <w:vAlign w:val="center"/>
          </w:tcPr>
          <w:p>
            <w:pPr>
              <w:pStyle w:val="29"/>
              <w:bidi w:val="0"/>
              <w:rPr>
                <w:rFonts w:hint="eastAsia"/>
                <w:lang w:val="en-US" w:eastAsia="zh-CN"/>
              </w:rPr>
            </w:pPr>
            <w:r>
              <w:rPr>
                <w:lang w:val="en-US"/>
              </w:rPr>
              <w:t>氨氮</w:t>
            </w:r>
          </w:p>
        </w:tc>
        <w:tc>
          <w:tcPr>
            <w:tcW w:w="623" w:type="pct"/>
            <w:noWrap w:val="0"/>
            <w:vAlign w:val="center"/>
          </w:tcPr>
          <w:p>
            <w:pPr>
              <w:pStyle w:val="29"/>
              <w:bidi w:val="0"/>
              <w:rPr>
                <w:rFonts w:hint="default"/>
                <w:lang w:val="en-US" w:eastAsia="zh-CN"/>
              </w:rPr>
            </w:pPr>
            <w:r>
              <w:rPr>
                <w:rFonts w:hint="eastAsia"/>
                <w:lang w:val="en-US" w:eastAsia="zh-CN"/>
              </w:rPr>
              <w:t>1.12</w:t>
            </w:r>
          </w:p>
        </w:tc>
        <w:tc>
          <w:tcPr>
            <w:tcW w:w="623" w:type="pct"/>
            <w:noWrap w:val="0"/>
            <w:vAlign w:val="center"/>
          </w:tcPr>
          <w:p>
            <w:pPr>
              <w:pStyle w:val="29"/>
              <w:bidi w:val="0"/>
              <w:rPr>
                <w:rFonts w:hint="default"/>
                <w:lang w:val="en-US" w:eastAsia="zh-CN"/>
              </w:rPr>
            </w:pPr>
            <w:r>
              <w:rPr>
                <w:rFonts w:hint="eastAsia"/>
                <w:lang w:val="en-US" w:eastAsia="zh-CN"/>
              </w:rPr>
              <w:t>1.11</w:t>
            </w:r>
          </w:p>
        </w:tc>
        <w:tc>
          <w:tcPr>
            <w:tcW w:w="623" w:type="pct"/>
            <w:noWrap w:val="0"/>
            <w:vAlign w:val="center"/>
          </w:tcPr>
          <w:p>
            <w:pPr>
              <w:pStyle w:val="29"/>
              <w:bidi w:val="0"/>
              <w:rPr>
                <w:rFonts w:hint="default"/>
                <w:lang w:val="en-US" w:eastAsia="zh-CN"/>
              </w:rPr>
            </w:pPr>
            <w:r>
              <w:rPr>
                <w:rFonts w:hint="eastAsia"/>
                <w:lang w:val="en-US" w:eastAsia="zh-CN"/>
              </w:rPr>
              <w:t>1.08</w:t>
            </w:r>
          </w:p>
        </w:tc>
        <w:tc>
          <w:tcPr>
            <w:tcW w:w="634" w:type="pct"/>
            <w:noWrap w:val="0"/>
            <w:vAlign w:val="center"/>
          </w:tcPr>
          <w:p>
            <w:pPr>
              <w:pStyle w:val="29"/>
              <w:bidi w:val="0"/>
              <w:rPr>
                <w:rFonts w:hint="default"/>
                <w:lang w:val="en-US" w:eastAsia="zh-CN"/>
              </w:rPr>
            </w:pPr>
            <w:r>
              <w:rPr>
                <w:rFonts w:hint="eastAsia"/>
                <w:lang w:val="en-US" w:eastAsia="zh-CN"/>
              </w:rPr>
              <w:t>1.07</w:t>
            </w:r>
          </w:p>
        </w:tc>
        <w:tc>
          <w:tcPr>
            <w:tcW w:w="601" w:type="pct"/>
            <w:noWrap w:val="0"/>
            <w:vAlign w:val="center"/>
          </w:tcPr>
          <w:p>
            <w:pPr>
              <w:pStyle w:val="29"/>
              <w:bidi w:val="0"/>
              <w:rPr>
                <w:rFonts w:hint="default"/>
                <w:lang w:val="en-US" w:eastAsia="zh-CN"/>
              </w:rPr>
            </w:pPr>
            <w:r>
              <w:rPr>
                <w:rFonts w:hint="eastAsia"/>
                <w:lang w:val="en-US" w:eastAsia="zh-CN"/>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center"/>
          </w:tcPr>
          <w:p>
            <w:pPr>
              <w:pStyle w:val="29"/>
              <w:bidi w:val="0"/>
            </w:pPr>
          </w:p>
        </w:tc>
        <w:tc>
          <w:tcPr>
            <w:tcW w:w="588" w:type="pct"/>
            <w:vMerge w:val="continue"/>
            <w:noWrap w:val="0"/>
            <w:vAlign w:val="center"/>
          </w:tcPr>
          <w:p>
            <w:pPr>
              <w:pStyle w:val="29"/>
              <w:bidi w:val="0"/>
            </w:pPr>
          </w:p>
        </w:tc>
        <w:tc>
          <w:tcPr>
            <w:tcW w:w="961" w:type="pct"/>
            <w:noWrap w:val="0"/>
            <w:vAlign w:val="center"/>
          </w:tcPr>
          <w:p>
            <w:pPr>
              <w:pStyle w:val="29"/>
              <w:bidi w:val="0"/>
              <w:rPr>
                <w:rFonts w:hint="eastAsia"/>
                <w:lang w:val="en-US" w:eastAsia="zh-CN"/>
              </w:rPr>
            </w:pPr>
            <w:r>
              <w:rPr>
                <w:rFonts w:hint="default"/>
                <w:lang w:val="en-US" w:eastAsia="zh-CN"/>
              </w:rPr>
              <w:t>总磷</w:t>
            </w:r>
          </w:p>
        </w:tc>
        <w:tc>
          <w:tcPr>
            <w:tcW w:w="623" w:type="pct"/>
            <w:noWrap w:val="0"/>
            <w:vAlign w:val="center"/>
          </w:tcPr>
          <w:p>
            <w:pPr>
              <w:pStyle w:val="29"/>
              <w:bidi w:val="0"/>
              <w:rPr>
                <w:rFonts w:hint="default"/>
                <w:lang w:val="en-US" w:eastAsia="zh-CN"/>
              </w:rPr>
            </w:pPr>
            <w:r>
              <w:rPr>
                <w:rFonts w:hint="eastAsia"/>
                <w:lang w:val="en-US" w:eastAsia="zh-CN"/>
              </w:rPr>
              <w:t>0.11</w:t>
            </w:r>
          </w:p>
        </w:tc>
        <w:tc>
          <w:tcPr>
            <w:tcW w:w="623" w:type="pct"/>
            <w:noWrap w:val="0"/>
            <w:vAlign w:val="center"/>
          </w:tcPr>
          <w:p>
            <w:pPr>
              <w:pStyle w:val="29"/>
              <w:bidi w:val="0"/>
              <w:rPr>
                <w:rFonts w:hint="default"/>
                <w:lang w:val="en-US" w:eastAsia="zh-CN"/>
              </w:rPr>
            </w:pPr>
            <w:r>
              <w:rPr>
                <w:rFonts w:hint="eastAsia"/>
                <w:lang w:val="en-US" w:eastAsia="zh-CN"/>
              </w:rPr>
              <w:t>0.10</w:t>
            </w:r>
          </w:p>
        </w:tc>
        <w:tc>
          <w:tcPr>
            <w:tcW w:w="623" w:type="pct"/>
            <w:noWrap w:val="0"/>
            <w:vAlign w:val="center"/>
          </w:tcPr>
          <w:p>
            <w:pPr>
              <w:pStyle w:val="29"/>
              <w:bidi w:val="0"/>
              <w:rPr>
                <w:rFonts w:hint="default"/>
                <w:lang w:val="en-US" w:eastAsia="zh-CN"/>
              </w:rPr>
            </w:pPr>
            <w:r>
              <w:rPr>
                <w:rFonts w:hint="eastAsia"/>
                <w:lang w:val="en-US" w:eastAsia="zh-CN"/>
              </w:rPr>
              <w:t>0.11</w:t>
            </w:r>
          </w:p>
        </w:tc>
        <w:tc>
          <w:tcPr>
            <w:tcW w:w="634" w:type="pct"/>
            <w:noWrap w:val="0"/>
            <w:vAlign w:val="center"/>
          </w:tcPr>
          <w:p>
            <w:pPr>
              <w:pStyle w:val="29"/>
              <w:bidi w:val="0"/>
              <w:rPr>
                <w:rFonts w:hint="default"/>
                <w:lang w:val="en-US" w:eastAsia="zh-CN"/>
              </w:rPr>
            </w:pPr>
            <w:r>
              <w:rPr>
                <w:rFonts w:hint="eastAsia"/>
                <w:lang w:val="en-US" w:eastAsia="zh-CN"/>
              </w:rPr>
              <w:t>0.11</w:t>
            </w:r>
          </w:p>
        </w:tc>
        <w:tc>
          <w:tcPr>
            <w:tcW w:w="601" w:type="pct"/>
            <w:noWrap w:val="0"/>
            <w:vAlign w:val="center"/>
          </w:tcPr>
          <w:p>
            <w:pPr>
              <w:pStyle w:val="29"/>
              <w:bidi w:val="0"/>
              <w:rPr>
                <w:rFonts w:hint="default"/>
                <w:lang w:val="en-US" w:eastAsia="zh-CN"/>
              </w:rPr>
            </w:pPr>
            <w:r>
              <w:rPr>
                <w:rFonts w:hint="eastAsia"/>
                <w:lang w:val="en-US" w:eastAsia="zh-CN"/>
              </w:rPr>
              <w:t>0.5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center"/>
          </w:tcPr>
          <w:p>
            <w:pPr>
              <w:pStyle w:val="29"/>
              <w:bidi w:val="0"/>
            </w:pPr>
          </w:p>
        </w:tc>
        <w:tc>
          <w:tcPr>
            <w:tcW w:w="588" w:type="pct"/>
            <w:vMerge w:val="continue"/>
            <w:noWrap w:val="0"/>
            <w:vAlign w:val="center"/>
          </w:tcPr>
          <w:p>
            <w:pPr>
              <w:pStyle w:val="29"/>
              <w:bidi w:val="0"/>
            </w:pPr>
          </w:p>
        </w:tc>
        <w:tc>
          <w:tcPr>
            <w:tcW w:w="961" w:type="pct"/>
            <w:noWrap w:val="0"/>
            <w:vAlign w:val="center"/>
          </w:tcPr>
          <w:p>
            <w:pPr>
              <w:pStyle w:val="29"/>
              <w:bidi w:val="0"/>
              <w:rPr>
                <w:rFonts w:hint="eastAsia"/>
                <w:lang w:val="en-US" w:eastAsia="zh-CN"/>
              </w:rPr>
            </w:pPr>
            <w:r>
              <w:rPr>
                <w:rFonts w:hint="default"/>
                <w:lang w:val="en-US" w:eastAsia="zh-CN"/>
              </w:rPr>
              <w:t>悬浮物</w:t>
            </w:r>
          </w:p>
        </w:tc>
        <w:tc>
          <w:tcPr>
            <w:tcW w:w="623" w:type="pct"/>
            <w:noWrap w:val="0"/>
            <w:vAlign w:val="center"/>
          </w:tcPr>
          <w:p>
            <w:pPr>
              <w:pStyle w:val="29"/>
              <w:bidi w:val="0"/>
              <w:rPr>
                <w:rFonts w:hint="default"/>
                <w:lang w:val="en-US" w:eastAsia="zh-CN"/>
              </w:rPr>
            </w:pPr>
            <w:r>
              <w:rPr>
                <w:rFonts w:hint="eastAsia"/>
                <w:lang w:val="en-US" w:eastAsia="zh-CN"/>
              </w:rPr>
              <w:t>7</w:t>
            </w:r>
          </w:p>
        </w:tc>
        <w:tc>
          <w:tcPr>
            <w:tcW w:w="623" w:type="pct"/>
            <w:noWrap w:val="0"/>
            <w:vAlign w:val="center"/>
          </w:tcPr>
          <w:p>
            <w:pPr>
              <w:pStyle w:val="29"/>
              <w:bidi w:val="0"/>
              <w:rPr>
                <w:rFonts w:hint="default"/>
                <w:lang w:val="en-US" w:eastAsia="zh-CN"/>
              </w:rPr>
            </w:pPr>
            <w:r>
              <w:rPr>
                <w:rFonts w:hint="eastAsia"/>
                <w:lang w:val="en-US" w:eastAsia="zh-CN"/>
              </w:rPr>
              <w:t>8</w:t>
            </w:r>
          </w:p>
        </w:tc>
        <w:tc>
          <w:tcPr>
            <w:tcW w:w="623" w:type="pct"/>
            <w:noWrap w:val="0"/>
            <w:vAlign w:val="center"/>
          </w:tcPr>
          <w:p>
            <w:pPr>
              <w:pStyle w:val="29"/>
              <w:bidi w:val="0"/>
              <w:rPr>
                <w:rFonts w:hint="default"/>
                <w:lang w:val="en-US" w:eastAsia="zh-CN"/>
              </w:rPr>
            </w:pPr>
            <w:r>
              <w:rPr>
                <w:rFonts w:hint="eastAsia"/>
                <w:lang w:val="en-US" w:eastAsia="zh-CN"/>
              </w:rPr>
              <w:t>7</w:t>
            </w:r>
          </w:p>
        </w:tc>
        <w:tc>
          <w:tcPr>
            <w:tcW w:w="634" w:type="pct"/>
            <w:noWrap w:val="0"/>
            <w:vAlign w:val="center"/>
          </w:tcPr>
          <w:p>
            <w:pPr>
              <w:pStyle w:val="29"/>
              <w:bidi w:val="0"/>
              <w:rPr>
                <w:rFonts w:hint="default"/>
                <w:lang w:val="en-US" w:eastAsia="zh-CN"/>
              </w:rPr>
            </w:pPr>
            <w:r>
              <w:rPr>
                <w:rFonts w:hint="eastAsia"/>
                <w:lang w:val="en-US" w:eastAsia="zh-CN"/>
              </w:rPr>
              <w:t>9</w:t>
            </w:r>
          </w:p>
        </w:tc>
        <w:tc>
          <w:tcPr>
            <w:tcW w:w="601" w:type="pct"/>
            <w:noWrap w:val="0"/>
            <w:vAlign w:val="center"/>
          </w:tcPr>
          <w:p>
            <w:pPr>
              <w:pStyle w:val="29"/>
              <w:bidi w:val="0"/>
              <w:rPr>
                <w:rFonts w:hint="default"/>
                <w:lang w:val="en-US" w:eastAsia="zh-CN"/>
              </w:rPr>
            </w:pPr>
            <w:r>
              <w:rPr>
                <w:rFonts w:hint="eastAsia"/>
                <w:lang w:val="en-US" w:eastAsia="zh-CN"/>
              </w:rPr>
              <w:t>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center"/>
          </w:tcPr>
          <w:p>
            <w:pPr>
              <w:pStyle w:val="29"/>
              <w:bidi w:val="0"/>
            </w:pPr>
          </w:p>
        </w:tc>
        <w:tc>
          <w:tcPr>
            <w:tcW w:w="588" w:type="pct"/>
            <w:vMerge w:val="continue"/>
            <w:noWrap w:val="0"/>
            <w:vAlign w:val="center"/>
          </w:tcPr>
          <w:p>
            <w:pPr>
              <w:pStyle w:val="29"/>
              <w:bidi w:val="0"/>
            </w:pPr>
          </w:p>
        </w:tc>
        <w:tc>
          <w:tcPr>
            <w:tcW w:w="961" w:type="pct"/>
            <w:noWrap w:val="0"/>
            <w:vAlign w:val="center"/>
          </w:tcPr>
          <w:p>
            <w:pPr>
              <w:pStyle w:val="29"/>
              <w:bidi w:val="0"/>
              <w:rPr>
                <w:rFonts w:hint="eastAsia"/>
                <w:lang w:val="en-US" w:eastAsia="zh-CN"/>
              </w:rPr>
            </w:pPr>
            <w:r>
              <w:rPr>
                <w:rFonts w:hint="eastAsia"/>
                <w:lang w:val="en-US"/>
              </w:rPr>
              <w:t>总</w:t>
            </w:r>
            <w:r>
              <w:rPr>
                <w:rFonts w:hint="eastAsia"/>
                <w:lang w:val="en-US" w:eastAsia="zh-CN"/>
              </w:rPr>
              <w:t>氮</w:t>
            </w:r>
          </w:p>
        </w:tc>
        <w:tc>
          <w:tcPr>
            <w:tcW w:w="623" w:type="pct"/>
            <w:noWrap w:val="0"/>
            <w:vAlign w:val="center"/>
          </w:tcPr>
          <w:p>
            <w:pPr>
              <w:pStyle w:val="29"/>
              <w:bidi w:val="0"/>
              <w:rPr>
                <w:rFonts w:hint="default"/>
                <w:lang w:val="en-US" w:eastAsia="zh-CN"/>
              </w:rPr>
            </w:pPr>
            <w:r>
              <w:rPr>
                <w:rFonts w:hint="eastAsia"/>
                <w:lang w:val="en-US" w:eastAsia="zh-CN"/>
              </w:rPr>
              <w:t>2.41</w:t>
            </w:r>
          </w:p>
        </w:tc>
        <w:tc>
          <w:tcPr>
            <w:tcW w:w="623" w:type="pct"/>
            <w:noWrap w:val="0"/>
            <w:vAlign w:val="center"/>
          </w:tcPr>
          <w:p>
            <w:pPr>
              <w:pStyle w:val="29"/>
              <w:bidi w:val="0"/>
              <w:rPr>
                <w:rFonts w:hint="default"/>
                <w:lang w:val="en-US" w:eastAsia="zh-CN"/>
              </w:rPr>
            </w:pPr>
            <w:r>
              <w:rPr>
                <w:rFonts w:hint="eastAsia"/>
                <w:lang w:val="en-US" w:eastAsia="zh-CN"/>
              </w:rPr>
              <w:t>2.33</w:t>
            </w:r>
          </w:p>
        </w:tc>
        <w:tc>
          <w:tcPr>
            <w:tcW w:w="623" w:type="pct"/>
            <w:noWrap w:val="0"/>
            <w:vAlign w:val="center"/>
          </w:tcPr>
          <w:p>
            <w:pPr>
              <w:pStyle w:val="29"/>
              <w:bidi w:val="0"/>
              <w:rPr>
                <w:rFonts w:hint="default"/>
                <w:lang w:val="en-US" w:eastAsia="zh-CN"/>
              </w:rPr>
            </w:pPr>
            <w:r>
              <w:rPr>
                <w:rFonts w:hint="eastAsia"/>
                <w:lang w:val="en-US" w:eastAsia="zh-CN"/>
              </w:rPr>
              <w:t>2.49</w:t>
            </w:r>
          </w:p>
        </w:tc>
        <w:tc>
          <w:tcPr>
            <w:tcW w:w="634" w:type="pct"/>
            <w:noWrap w:val="0"/>
            <w:vAlign w:val="center"/>
          </w:tcPr>
          <w:p>
            <w:pPr>
              <w:pStyle w:val="29"/>
              <w:bidi w:val="0"/>
              <w:rPr>
                <w:rFonts w:hint="default"/>
                <w:lang w:val="en-US" w:eastAsia="zh-CN"/>
              </w:rPr>
            </w:pPr>
            <w:r>
              <w:rPr>
                <w:rFonts w:hint="eastAsia"/>
                <w:lang w:val="en-US" w:eastAsia="zh-CN"/>
              </w:rPr>
              <w:t>2.47</w:t>
            </w:r>
          </w:p>
        </w:tc>
        <w:tc>
          <w:tcPr>
            <w:tcW w:w="601" w:type="pct"/>
            <w:noWrap w:val="0"/>
            <w:vAlign w:val="center"/>
          </w:tcPr>
          <w:p>
            <w:pPr>
              <w:pStyle w:val="29"/>
              <w:bidi w:val="0"/>
              <w:rPr>
                <w:rFonts w:hint="default"/>
                <w:lang w:val="en-US" w:eastAsia="zh-CN"/>
              </w:rPr>
            </w:pPr>
            <w:r>
              <w:rPr>
                <w:rFonts w:hint="eastAsia"/>
                <w:lang w:val="en-US" w:eastAsia="zh-CN"/>
              </w:rPr>
              <w:t>15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center"/>
          </w:tcPr>
          <w:p>
            <w:pPr>
              <w:pStyle w:val="29"/>
              <w:bidi w:val="0"/>
            </w:pPr>
          </w:p>
        </w:tc>
        <w:tc>
          <w:tcPr>
            <w:tcW w:w="588" w:type="pct"/>
            <w:vMerge w:val="continue"/>
            <w:noWrap w:val="0"/>
            <w:vAlign w:val="center"/>
          </w:tcPr>
          <w:p>
            <w:pPr>
              <w:pStyle w:val="29"/>
              <w:bidi w:val="0"/>
            </w:pPr>
          </w:p>
        </w:tc>
        <w:tc>
          <w:tcPr>
            <w:tcW w:w="961" w:type="pct"/>
            <w:noWrap w:val="0"/>
            <w:vAlign w:val="center"/>
          </w:tcPr>
          <w:p>
            <w:pPr>
              <w:pStyle w:val="29"/>
              <w:bidi w:val="0"/>
              <w:rPr>
                <w:rFonts w:hint="eastAsia"/>
                <w:lang w:val="en-US" w:eastAsia="zh-CN"/>
              </w:rPr>
            </w:pPr>
            <w:r>
              <w:rPr>
                <w:rFonts w:hint="default"/>
                <w:lang w:val="en-US" w:eastAsia="zh-CN"/>
              </w:rPr>
              <w:t>阴离子表面活性剂</w:t>
            </w:r>
          </w:p>
        </w:tc>
        <w:tc>
          <w:tcPr>
            <w:tcW w:w="623" w:type="pct"/>
            <w:noWrap w:val="0"/>
            <w:vAlign w:val="center"/>
          </w:tcPr>
          <w:p>
            <w:pPr>
              <w:pStyle w:val="29"/>
              <w:bidi w:val="0"/>
              <w:rPr>
                <w:rFonts w:hint="eastAsia"/>
                <w:lang w:val="en-US" w:eastAsia="zh-CN"/>
              </w:rPr>
            </w:pPr>
            <w:r>
              <w:rPr>
                <w:rFonts w:hint="eastAsia"/>
                <w:lang w:val="en-US" w:eastAsia="zh-CN"/>
              </w:rPr>
              <w:t>0.05L</w:t>
            </w:r>
          </w:p>
        </w:tc>
        <w:tc>
          <w:tcPr>
            <w:tcW w:w="623" w:type="pct"/>
            <w:noWrap w:val="0"/>
            <w:vAlign w:val="center"/>
          </w:tcPr>
          <w:p>
            <w:pPr>
              <w:pStyle w:val="29"/>
              <w:bidi w:val="0"/>
              <w:rPr>
                <w:rFonts w:hint="eastAsia"/>
                <w:lang w:val="en-US" w:eastAsia="zh-CN"/>
              </w:rPr>
            </w:pPr>
            <w:r>
              <w:rPr>
                <w:rFonts w:hint="eastAsia"/>
                <w:lang w:val="en-US" w:eastAsia="zh-CN"/>
              </w:rPr>
              <w:t>0.05L</w:t>
            </w:r>
          </w:p>
        </w:tc>
        <w:tc>
          <w:tcPr>
            <w:tcW w:w="623" w:type="pct"/>
            <w:noWrap w:val="0"/>
            <w:vAlign w:val="center"/>
          </w:tcPr>
          <w:p>
            <w:pPr>
              <w:pStyle w:val="29"/>
              <w:bidi w:val="0"/>
              <w:rPr>
                <w:rFonts w:hint="eastAsia"/>
                <w:lang w:val="en-US" w:eastAsia="zh-CN"/>
              </w:rPr>
            </w:pPr>
            <w:r>
              <w:rPr>
                <w:rFonts w:hint="eastAsia"/>
                <w:lang w:val="en-US" w:eastAsia="zh-CN"/>
              </w:rPr>
              <w:t>0.05L</w:t>
            </w:r>
          </w:p>
        </w:tc>
        <w:tc>
          <w:tcPr>
            <w:tcW w:w="634" w:type="pct"/>
            <w:noWrap w:val="0"/>
            <w:vAlign w:val="center"/>
          </w:tcPr>
          <w:p>
            <w:pPr>
              <w:pStyle w:val="29"/>
              <w:bidi w:val="0"/>
              <w:rPr>
                <w:rFonts w:hint="eastAsia"/>
                <w:lang w:val="en-US" w:eastAsia="zh-CN"/>
              </w:rPr>
            </w:pPr>
            <w:r>
              <w:rPr>
                <w:rFonts w:hint="eastAsia"/>
                <w:lang w:val="en-US" w:eastAsia="zh-CN"/>
              </w:rPr>
              <w:t>0.05L</w:t>
            </w:r>
          </w:p>
        </w:tc>
        <w:tc>
          <w:tcPr>
            <w:tcW w:w="601" w:type="pct"/>
            <w:noWrap w:val="0"/>
            <w:vAlign w:val="center"/>
          </w:tcPr>
          <w:p>
            <w:pPr>
              <w:pStyle w:val="29"/>
              <w:bidi w:val="0"/>
              <w:rPr>
                <w:rFonts w:hint="default"/>
                <w:lang w:val="en-US" w:eastAsia="zh-CN"/>
              </w:rPr>
            </w:pPr>
            <w:r>
              <w:rPr>
                <w:rFonts w:hint="eastAsia"/>
                <w:lang w:val="en-US" w:eastAsia="zh-CN"/>
              </w:rPr>
              <w:t>0.5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center"/>
          </w:tcPr>
          <w:p>
            <w:pPr>
              <w:pStyle w:val="29"/>
              <w:bidi w:val="0"/>
            </w:pPr>
          </w:p>
        </w:tc>
        <w:tc>
          <w:tcPr>
            <w:tcW w:w="588" w:type="pct"/>
            <w:vMerge w:val="continue"/>
            <w:noWrap w:val="0"/>
            <w:vAlign w:val="center"/>
          </w:tcPr>
          <w:p>
            <w:pPr>
              <w:pStyle w:val="29"/>
              <w:bidi w:val="0"/>
            </w:pPr>
          </w:p>
        </w:tc>
        <w:tc>
          <w:tcPr>
            <w:tcW w:w="961" w:type="pct"/>
            <w:noWrap w:val="0"/>
            <w:vAlign w:val="center"/>
          </w:tcPr>
          <w:p>
            <w:pPr>
              <w:pStyle w:val="29"/>
              <w:bidi w:val="0"/>
              <w:rPr>
                <w:rFonts w:hint="eastAsia"/>
                <w:lang w:val="en-US" w:eastAsia="zh-CN"/>
              </w:rPr>
            </w:pPr>
            <w:r>
              <w:rPr>
                <w:rFonts w:hint="default"/>
                <w:lang w:val="en-US" w:eastAsia="zh-CN"/>
              </w:rPr>
              <w:t>动植物油</w:t>
            </w:r>
          </w:p>
        </w:tc>
        <w:tc>
          <w:tcPr>
            <w:tcW w:w="623" w:type="pct"/>
            <w:noWrap w:val="0"/>
            <w:vAlign w:val="center"/>
          </w:tcPr>
          <w:p>
            <w:pPr>
              <w:pStyle w:val="29"/>
              <w:bidi w:val="0"/>
              <w:rPr>
                <w:rFonts w:hint="default"/>
                <w:lang w:val="en-US" w:eastAsia="zh-CN"/>
              </w:rPr>
            </w:pPr>
            <w:r>
              <w:rPr>
                <w:rFonts w:hint="eastAsia"/>
                <w:lang w:val="en-US" w:eastAsia="zh-CN"/>
              </w:rPr>
              <w:t>0.25</w:t>
            </w:r>
          </w:p>
        </w:tc>
        <w:tc>
          <w:tcPr>
            <w:tcW w:w="623" w:type="pct"/>
            <w:noWrap w:val="0"/>
            <w:vAlign w:val="center"/>
          </w:tcPr>
          <w:p>
            <w:pPr>
              <w:pStyle w:val="29"/>
              <w:bidi w:val="0"/>
              <w:rPr>
                <w:rFonts w:hint="default"/>
                <w:lang w:val="en-US" w:eastAsia="zh-CN"/>
              </w:rPr>
            </w:pPr>
            <w:r>
              <w:rPr>
                <w:rFonts w:hint="eastAsia"/>
                <w:lang w:val="en-US" w:eastAsia="zh-CN"/>
              </w:rPr>
              <w:t>0.26</w:t>
            </w:r>
          </w:p>
        </w:tc>
        <w:tc>
          <w:tcPr>
            <w:tcW w:w="623" w:type="pct"/>
            <w:noWrap w:val="0"/>
            <w:vAlign w:val="center"/>
          </w:tcPr>
          <w:p>
            <w:pPr>
              <w:pStyle w:val="29"/>
              <w:bidi w:val="0"/>
              <w:rPr>
                <w:rFonts w:hint="default"/>
                <w:lang w:val="en-US" w:eastAsia="zh-CN"/>
              </w:rPr>
            </w:pPr>
            <w:r>
              <w:rPr>
                <w:rFonts w:hint="eastAsia"/>
                <w:lang w:val="en-US" w:eastAsia="zh-CN"/>
              </w:rPr>
              <w:t>0.25</w:t>
            </w:r>
          </w:p>
        </w:tc>
        <w:tc>
          <w:tcPr>
            <w:tcW w:w="634" w:type="pct"/>
            <w:noWrap w:val="0"/>
            <w:vAlign w:val="center"/>
          </w:tcPr>
          <w:p>
            <w:pPr>
              <w:pStyle w:val="29"/>
              <w:bidi w:val="0"/>
              <w:rPr>
                <w:rFonts w:hint="default"/>
                <w:lang w:val="en-US" w:eastAsia="zh-CN"/>
              </w:rPr>
            </w:pPr>
            <w:r>
              <w:rPr>
                <w:rFonts w:hint="eastAsia"/>
                <w:lang w:val="en-US" w:eastAsia="zh-CN"/>
              </w:rPr>
              <w:t>0.26</w:t>
            </w:r>
          </w:p>
        </w:tc>
        <w:tc>
          <w:tcPr>
            <w:tcW w:w="601" w:type="pct"/>
            <w:noWrap w:val="0"/>
            <w:vAlign w:val="center"/>
          </w:tcPr>
          <w:p>
            <w:pPr>
              <w:pStyle w:val="29"/>
              <w:bidi w:val="0"/>
              <w:rPr>
                <w:rFonts w:hint="default"/>
                <w:lang w:val="en-US" w:eastAsia="zh-CN"/>
              </w:rPr>
            </w:pPr>
            <w:r>
              <w:rPr>
                <w:rFonts w:hint="eastAsia"/>
                <w:lang w:val="en-US" w:eastAsia="zh-CN"/>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center"/>
          </w:tcPr>
          <w:p>
            <w:pPr>
              <w:pStyle w:val="29"/>
              <w:bidi w:val="0"/>
            </w:pPr>
          </w:p>
        </w:tc>
        <w:tc>
          <w:tcPr>
            <w:tcW w:w="588" w:type="pct"/>
            <w:vMerge w:val="continue"/>
            <w:noWrap w:val="0"/>
            <w:vAlign w:val="center"/>
          </w:tcPr>
          <w:p>
            <w:pPr>
              <w:pStyle w:val="29"/>
              <w:bidi w:val="0"/>
            </w:pPr>
          </w:p>
        </w:tc>
        <w:tc>
          <w:tcPr>
            <w:tcW w:w="961" w:type="pct"/>
            <w:noWrap w:val="0"/>
            <w:vAlign w:val="center"/>
          </w:tcPr>
          <w:p>
            <w:pPr>
              <w:pStyle w:val="29"/>
              <w:bidi w:val="0"/>
              <w:rPr>
                <w:rFonts w:hint="eastAsia"/>
                <w:lang w:val="en-US" w:eastAsia="zh-CN"/>
              </w:rPr>
            </w:pPr>
            <w:r>
              <w:rPr>
                <w:rFonts w:hint="default"/>
                <w:lang w:val="en-US" w:eastAsia="zh-CN"/>
              </w:rPr>
              <w:t>石油类</w:t>
            </w:r>
          </w:p>
        </w:tc>
        <w:tc>
          <w:tcPr>
            <w:tcW w:w="623" w:type="pct"/>
            <w:noWrap w:val="0"/>
            <w:vAlign w:val="center"/>
          </w:tcPr>
          <w:p>
            <w:pPr>
              <w:pStyle w:val="29"/>
              <w:bidi w:val="0"/>
              <w:rPr>
                <w:rFonts w:hint="default"/>
                <w:lang w:val="en-US" w:eastAsia="zh-CN"/>
              </w:rPr>
            </w:pPr>
            <w:r>
              <w:rPr>
                <w:rFonts w:hint="eastAsia"/>
                <w:lang w:val="en-US" w:eastAsia="zh-CN"/>
              </w:rPr>
              <w:t>0.11</w:t>
            </w:r>
          </w:p>
        </w:tc>
        <w:tc>
          <w:tcPr>
            <w:tcW w:w="623" w:type="pct"/>
            <w:noWrap w:val="0"/>
            <w:vAlign w:val="center"/>
          </w:tcPr>
          <w:p>
            <w:pPr>
              <w:pStyle w:val="29"/>
              <w:bidi w:val="0"/>
              <w:rPr>
                <w:rFonts w:hint="default"/>
                <w:lang w:val="en-US" w:eastAsia="zh-CN"/>
              </w:rPr>
            </w:pPr>
            <w:r>
              <w:rPr>
                <w:rFonts w:hint="eastAsia"/>
                <w:lang w:val="en-US" w:eastAsia="zh-CN"/>
              </w:rPr>
              <w:t>0.10</w:t>
            </w:r>
          </w:p>
        </w:tc>
        <w:tc>
          <w:tcPr>
            <w:tcW w:w="623" w:type="pct"/>
            <w:noWrap w:val="0"/>
            <w:vAlign w:val="center"/>
          </w:tcPr>
          <w:p>
            <w:pPr>
              <w:pStyle w:val="29"/>
              <w:bidi w:val="0"/>
              <w:rPr>
                <w:rFonts w:hint="default"/>
                <w:lang w:val="en-US" w:eastAsia="zh-CN"/>
              </w:rPr>
            </w:pPr>
            <w:r>
              <w:rPr>
                <w:rFonts w:hint="eastAsia"/>
                <w:lang w:val="en-US" w:eastAsia="zh-CN"/>
              </w:rPr>
              <w:t>0.10</w:t>
            </w:r>
          </w:p>
        </w:tc>
        <w:tc>
          <w:tcPr>
            <w:tcW w:w="634" w:type="pct"/>
            <w:noWrap w:val="0"/>
            <w:vAlign w:val="center"/>
          </w:tcPr>
          <w:p>
            <w:pPr>
              <w:pStyle w:val="29"/>
              <w:bidi w:val="0"/>
              <w:rPr>
                <w:rFonts w:hint="default"/>
                <w:lang w:val="en-US" w:eastAsia="zh-CN"/>
              </w:rPr>
            </w:pPr>
            <w:r>
              <w:rPr>
                <w:rFonts w:hint="eastAsia"/>
                <w:lang w:val="en-US" w:eastAsia="zh-CN"/>
              </w:rPr>
              <w:t>0.09</w:t>
            </w:r>
          </w:p>
        </w:tc>
        <w:tc>
          <w:tcPr>
            <w:tcW w:w="601" w:type="pct"/>
            <w:noWrap w:val="0"/>
            <w:vAlign w:val="center"/>
          </w:tcPr>
          <w:p>
            <w:pPr>
              <w:pStyle w:val="29"/>
              <w:bidi w:val="0"/>
              <w:rPr>
                <w:rFonts w:hint="default"/>
                <w:lang w:val="en-US" w:eastAsia="zh-CN"/>
              </w:rPr>
            </w:pPr>
            <w:r>
              <w:rPr>
                <w:rFonts w:hint="eastAsia"/>
                <w:lang w:val="en-US" w:eastAsia="zh-CN"/>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center"/>
          </w:tcPr>
          <w:p>
            <w:pPr>
              <w:pStyle w:val="29"/>
              <w:bidi w:val="0"/>
            </w:pPr>
          </w:p>
        </w:tc>
        <w:tc>
          <w:tcPr>
            <w:tcW w:w="588" w:type="pct"/>
            <w:vMerge w:val="continue"/>
            <w:noWrap w:val="0"/>
            <w:vAlign w:val="center"/>
          </w:tcPr>
          <w:p>
            <w:pPr>
              <w:pStyle w:val="29"/>
              <w:bidi w:val="0"/>
            </w:pPr>
          </w:p>
        </w:tc>
        <w:tc>
          <w:tcPr>
            <w:tcW w:w="961" w:type="pct"/>
            <w:noWrap w:val="0"/>
            <w:vAlign w:val="center"/>
          </w:tcPr>
          <w:p>
            <w:pPr>
              <w:pStyle w:val="29"/>
              <w:bidi w:val="0"/>
              <w:rPr>
                <w:rFonts w:hint="eastAsia"/>
                <w:lang w:val="en-US" w:eastAsia="zh-CN"/>
              </w:rPr>
            </w:pPr>
            <w:r>
              <w:rPr>
                <w:rFonts w:hint="default"/>
                <w:lang w:val="en-US" w:eastAsia="zh-CN"/>
              </w:rPr>
              <w:t>色度</w:t>
            </w:r>
          </w:p>
        </w:tc>
        <w:tc>
          <w:tcPr>
            <w:tcW w:w="623" w:type="pct"/>
            <w:noWrap w:val="0"/>
            <w:vAlign w:val="center"/>
          </w:tcPr>
          <w:p>
            <w:pPr>
              <w:pStyle w:val="29"/>
              <w:bidi w:val="0"/>
              <w:rPr>
                <w:rFonts w:hint="default"/>
                <w:lang w:val="en-US" w:eastAsia="zh-CN"/>
              </w:rPr>
            </w:pPr>
            <w:r>
              <w:rPr>
                <w:rFonts w:hint="eastAsia"/>
                <w:lang w:val="en-US" w:eastAsia="zh-CN"/>
              </w:rPr>
              <w:t>3</w:t>
            </w:r>
          </w:p>
        </w:tc>
        <w:tc>
          <w:tcPr>
            <w:tcW w:w="623" w:type="pct"/>
            <w:noWrap w:val="0"/>
            <w:vAlign w:val="center"/>
          </w:tcPr>
          <w:p>
            <w:pPr>
              <w:pStyle w:val="29"/>
              <w:bidi w:val="0"/>
              <w:rPr>
                <w:rFonts w:hint="default"/>
                <w:lang w:val="en-US" w:eastAsia="zh-CN"/>
              </w:rPr>
            </w:pPr>
            <w:r>
              <w:rPr>
                <w:rFonts w:hint="eastAsia"/>
                <w:lang w:val="en-US" w:eastAsia="zh-CN"/>
              </w:rPr>
              <w:t>3</w:t>
            </w:r>
          </w:p>
        </w:tc>
        <w:tc>
          <w:tcPr>
            <w:tcW w:w="623" w:type="pct"/>
            <w:noWrap w:val="0"/>
            <w:vAlign w:val="center"/>
          </w:tcPr>
          <w:p>
            <w:pPr>
              <w:pStyle w:val="29"/>
              <w:bidi w:val="0"/>
              <w:rPr>
                <w:rFonts w:hint="default"/>
                <w:lang w:val="en-US" w:eastAsia="zh-CN"/>
              </w:rPr>
            </w:pPr>
            <w:r>
              <w:rPr>
                <w:rFonts w:hint="eastAsia"/>
                <w:lang w:val="en-US" w:eastAsia="zh-CN"/>
              </w:rPr>
              <w:t>3</w:t>
            </w:r>
          </w:p>
        </w:tc>
        <w:tc>
          <w:tcPr>
            <w:tcW w:w="634" w:type="pct"/>
            <w:noWrap w:val="0"/>
            <w:vAlign w:val="center"/>
          </w:tcPr>
          <w:p>
            <w:pPr>
              <w:pStyle w:val="29"/>
              <w:bidi w:val="0"/>
              <w:rPr>
                <w:rFonts w:hint="default"/>
                <w:lang w:val="en-US" w:eastAsia="zh-CN"/>
              </w:rPr>
            </w:pPr>
            <w:r>
              <w:rPr>
                <w:rFonts w:hint="eastAsia"/>
                <w:lang w:val="en-US" w:eastAsia="zh-CN"/>
              </w:rPr>
              <w:t>3</w:t>
            </w:r>
          </w:p>
        </w:tc>
        <w:tc>
          <w:tcPr>
            <w:tcW w:w="601" w:type="pct"/>
            <w:noWrap w:val="0"/>
            <w:vAlign w:val="center"/>
          </w:tcPr>
          <w:p>
            <w:pPr>
              <w:pStyle w:val="29"/>
              <w:bidi w:val="0"/>
              <w:rPr>
                <w:rFonts w:hint="default"/>
                <w:lang w:val="en-US" w:eastAsia="zh-CN"/>
              </w:rPr>
            </w:pPr>
            <w:r>
              <w:rPr>
                <w:rFonts w:hint="eastAsia"/>
                <w:lang w:val="en-US" w:eastAsia="zh-CN"/>
              </w:rPr>
              <w:t>30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center"/>
          </w:tcPr>
          <w:p>
            <w:pPr>
              <w:pStyle w:val="29"/>
              <w:bidi w:val="0"/>
            </w:pPr>
          </w:p>
        </w:tc>
        <w:tc>
          <w:tcPr>
            <w:tcW w:w="588" w:type="pct"/>
            <w:vMerge w:val="continue"/>
            <w:noWrap w:val="0"/>
            <w:vAlign w:val="center"/>
          </w:tcPr>
          <w:p>
            <w:pPr>
              <w:pStyle w:val="29"/>
              <w:bidi w:val="0"/>
            </w:pPr>
          </w:p>
        </w:tc>
        <w:tc>
          <w:tcPr>
            <w:tcW w:w="961" w:type="pct"/>
            <w:noWrap w:val="0"/>
            <w:vAlign w:val="center"/>
          </w:tcPr>
          <w:p>
            <w:pPr>
              <w:pStyle w:val="29"/>
              <w:bidi w:val="0"/>
              <w:rPr>
                <w:rFonts w:hint="eastAsia"/>
                <w:lang w:val="en-US" w:eastAsia="zh-CN"/>
              </w:rPr>
            </w:pPr>
            <w:r>
              <w:rPr>
                <w:rFonts w:hint="default"/>
                <w:lang w:val="en-US"/>
              </w:rPr>
              <w:t>六价铬</w:t>
            </w:r>
          </w:p>
        </w:tc>
        <w:tc>
          <w:tcPr>
            <w:tcW w:w="623" w:type="pct"/>
            <w:noWrap w:val="0"/>
            <w:vAlign w:val="center"/>
          </w:tcPr>
          <w:p>
            <w:pPr>
              <w:pStyle w:val="29"/>
              <w:bidi w:val="0"/>
              <w:rPr>
                <w:rFonts w:hint="default"/>
                <w:lang w:val="en-US" w:eastAsia="zh-CN"/>
              </w:rPr>
            </w:pPr>
            <w:r>
              <w:rPr>
                <w:rFonts w:hint="eastAsia"/>
                <w:lang w:val="en-US" w:eastAsia="zh-CN"/>
              </w:rPr>
              <w:t>0.028</w:t>
            </w:r>
          </w:p>
        </w:tc>
        <w:tc>
          <w:tcPr>
            <w:tcW w:w="623" w:type="pct"/>
            <w:noWrap w:val="0"/>
            <w:vAlign w:val="center"/>
          </w:tcPr>
          <w:p>
            <w:pPr>
              <w:pStyle w:val="29"/>
              <w:bidi w:val="0"/>
              <w:rPr>
                <w:rFonts w:hint="default"/>
                <w:lang w:val="en-US" w:eastAsia="zh-CN"/>
              </w:rPr>
            </w:pPr>
            <w:r>
              <w:rPr>
                <w:rFonts w:hint="eastAsia"/>
                <w:lang w:val="en-US" w:eastAsia="zh-CN"/>
              </w:rPr>
              <w:t>0.028</w:t>
            </w:r>
          </w:p>
        </w:tc>
        <w:tc>
          <w:tcPr>
            <w:tcW w:w="623" w:type="pct"/>
            <w:noWrap w:val="0"/>
            <w:vAlign w:val="center"/>
          </w:tcPr>
          <w:p>
            <w:pPr>
              <w:pStyle w:val="29"/>
              <w:bidi w:val="0"/>
              <w:rPr>
                <w:rFonts w:hint="default"/>
                <w:lang w:val="en-US" w:eastAsia="zh-CN"/>
              </w:rPr>
            </w:pPr>
            <w:r>
              <w:rPr>
                <w:rFonts w:hint="eastAsia"/>
                <w:lang w:val="en-US" w:eastAsia="zh-CN"/>
              </w:rPr>
              <w:t>0.031</w:t>
            </w:r>
          </w:p>
        </w:tc>
        <w:tc>
          <w:tcPr>
            <w:tcW w:w="634" w:type="pct"/>
            <w:noWrap w:val="0"/>
            <w:vAlign w:val="center"/>
          </w:tcPr>
          <w:p>
            <w:pPr>
              <w:pStyle w:val="29"/>
              <w:bidi w:val="0"/>
              <w:rPr>
                <w:rFonts w:hint="default"/>
                <w:lang w:val="en-US" w:eastAsia="zh-CN"/>
              </w:rPr>
            </w:pPr>
            <w:r>
              <w:rPr>
                <w:rFonts w:hint="eastAsia"/>
                <w:lang w:val="en-US" w:eastAsia="zh-CN"/>
              </w:rPr>
              <w:t>0.028</w:t>
            </w:r>
          </w:p>
        </w:tc>
        <w:tc>
          <w:tcPr>
            <w:tcW w:w="601" w:type="pct"/>
            <w:noWrap w:val="0"/>
            <w:vAlign w:val="center"/>
          </w:tcPr>
          <w:p>
            <w:pPr>
              <w:pStyle w:val="29"/>
              <w:bidi w:val="0"/>
              <w:rPr>
                <w:rFonts w:hint="default"/>
                <w:lang w:val="en-US" w:eastAsia="zh-CN"/>
              </w:rPr>
            </w:pPr>
            <w:r>
              <w:rPr>
                <w:rFonts w:hint="eastAsia"/>
                <w:lang w:val="en-US" w:eastAsia="zh-CN"/>
              </w:rPr>
              <w:t>0.05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center"/>
          </w:tcPr>
          <w:p>
            <w:pPr>
              <w:pStyle w:val="29"/>
              <w:bidi w:val="0"/>
            </w:pPr>
          </w:p>
        </w:tc>
        <w:tc>
          <w:tcPr>
            <w:tcW w:w="588" w:type="pct"/>
            <w:vMerge w:val="continue"/>
            <w:noWrap w:val="0"/>
            <w:vAlign w:val="center"/>
          </w:tcPr>
          <w:p>
            <w:pPr>
              <w:pStyle w:val="29"/>
              <w:bidi w:val="0"/>
            </w:pPr>
          </w:p>
        </w:tc>
        <w:tc>
          <w:tcPr>
            <w:tcW w:w="961" w:type="pct"/>
            <w:noWrap w:val="0"/>
            <w:vAlign w:val="center"/>
          </w:tcPr>
          <w:p>
            <w:pPr>
              <w:pStyle w:val="29"/>
              <w:bidi w:val="0"/>
              <w:rPr>
                <w:rFonts w:hint="eastAsia"/>
                <w:lang w:val="en-US" w:eastAsia="zh-CN"/>
              </w:rPr>
            </w:pPr>
            <w:r>
              <w:rPr>
                <w:rFonts w:hint="eastAsia"/>
                <w:lang w:val="en-US" w:eastAsia="zh-CN"/>
              </w:rPr>
              <w:t>氟化物</w:t>
            </w:r>
          </w:p>
        </w:tc>
        <w:tc>
          <w:tcPr>
            <w:tcW w:w="623" w:type="pct"/>
            <w:noWrap w:val="0"/>
            <w:vAlign w:val="center"/>
          </w:tcPr>
          <w:p>
            <w:pPr>
              <w:pStyle w:val="29"/>
              <w:bidi w:val="0"/>
              <w:rPr>
                <w:rFonts w:hint="default"/>
                <w:lang w:val="en-US" w:eastAsia="zh-CN"/>
              </w:rPr>
            </w:pPr>
            <w:r>
              <w:rPr>
                <w:rFonts w:hint="eastAsia"/>
                <w:lang w:val="en-US" w:eastAsia="zh-CN"/>
              </w:rPr>
              <w:t>0.126</w:t>
            </w:r>
          </w:p>
        </w:tc>
        <w:tc>
          <w:tcPr>
            <w:tcW w:w="623" w:type="pct"/>
            <w:noWrap w:val="0"/>
            <w:vAlign w:val="center"/>
          </w:tcPr>
          <w:p>
            <w:pPr>
              <w:pStyle w:val="29"/>
              <w:bidi w:val="0"/>
              <w:rPr>
                <w:rFonts w:hint="default"/>
                <w:lang w:val="en-US" w:eastAsia="zh-CN"/>
              </w:rPr>
            </w:pPr>
            <w:r>
              <w:rPr>
                <w:rFonts w:hint="eastAsia"/>
                <w:lang w:val="en-US" w:eastAsia="zh-CN"/>
              </w:rPr>
              <w:t>0.110</w:t>
            </w:r>
          </w:p>
        </w:tc>
        <w:tc>
          <w:tcPr>
            <w:tcW w:w="623" w:type="pct"/>
            <w:noWrap w:val="0"/>
            <w:vAlign w:val="center"/>
          </w:tcPr>
          <w:p>
            <w:pPr>
              <w:pStyle w:val="29"/>
              <w:bidi w:val="0"/>
              <w:rPr>
                <w:rFonts w:hint="default"/>
                <w:lang w:val="en-US" w:eastAsia="zh-CN"/>
              </w:rPr>
            </w:pPr>
            <w:r>
              <w:rPr>
                <w:rFonts w:hint="eastAsia"/>
                <w:lang w:val="en-US" w:eastAsia="zh-CN"/>
              </w:rPr>
              <w:t>0.061</w:t>
            </w:r>
          </w:p>
        </w:tc>
        <w:tc>
          <w:tcPr>
            <w:tcW w:w="634" w:type="pct"/>
            <w:noWrap w:val="0"/>
            <w:vAlign w:val="center"/>
          </w:tcPr>
          <w:p>
            <w:pPr>
              <w:pStyle w:val="29"/>
              <w:bidi w:val="0"/>
              <w:rPr>
                <w:rFonts w:hint="default"/>
                <w:lang w:val="en-US" w:eastAsia="zh-CN"/>
              </w:rPr>
            </w:pPr>
            <w:r>
              <w:rPr>
                <w:rFonts w:hint="eastAsia"/>
                <w:lang w:val="en-US" w:eastAsia="zh-CN"/>
              </w:rPr>
              <w:t>0.115</w:t>
            </w:r>
          </w:p>
        </w:tc>
        <w:tc>
          <w:tcPr>
            <w:tcW w:w="601" w:type="pct"/>
            <w:noWrap w:val="0"/>
            <w:vAlign w:val="center"/>
          </w:tcPr>
          <w:p>
            <w:pPr>
              <w:pStyle w:val="29"/>
              <w:bidi w:val="0"/>
              <w:rPr>
                <w:rFonts w:hint="default"/>
                <w:lang w:val="en-US" w:eastAsia="zh-CN"/>
              </w:rPr>
            </w:pPr>
            <w:r>
              <w:rPr>
                <w:rFonts w:hint="eastAsia"/>
                <w:lang w:val="en-US"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restart"/>
            <w:noWrap w:val="0"/>
            <w:vAlign w:val="center"/>
          </w:tcPr>
          <w:p>
            <w:pPr>
              <w:pStyle w:val="29"/>
              <w:bidi w:val="0"/>
              <w:ind w:firstLine="0" w:firstLineChars="0"/>
              <w:rPr>
                <w:rFonts w:ascii="Times New Roman" w:hAnsi="Times New Roman" w:eastAsia="宋体"/>
                <w:kern w:val="2"/>
                <w:sz w:val="21"/>
                <w:szCs w:val="22"/>
                <w:lang w:val="en-US" w:eastAsia="zh-CN" w:bidi="ar-SA"/>
              </w:rPr>
            </w:pPr>
            <w:r>
              <w:rPr>
                <w:rFonts w:hint="eastAsia"/>
                <w:lang w:val="en-US" w:eastAsia="zh-CN"/>
              </w:rPr>
              <w:t>W2</w:t>
            </w:r>
          </w:p>
        </w:tc>
        <w:tc>
          <w:tcPr>
            <w:tcW w:w="588" w:type="pct"/>
            <w:vMerge w:val="restart"/>
            <w:noWrap w:val="0"/>
            <w:vAlign w:val="center"/>
          </w:tcPr>
          <w:p>
            <w:pPr>
              <w:pStyle w:val="29"/>
              <w:bidi w:val="0"/>
              <w:ind w:firstLine="0" w:firstLineChars="0"/>
              <w:rPr>
                <w:rFonts w:hint="default" w:ascii="Times New Roman" w:hAnsi="Times New Roman" w:eastAsia="宋体"/>
                <w:kern w:val="2"/>
                <w:sz w:val="21"/>
                <w:szCs w:val="22"/>
                <w:lang w:val="en-US" w:eastAsia="zh-CN" w:bidi="ar-SA"/>
              </w:rPr>
            </w:pPr>
            <w:r>
              <w:rPr>
                <w:rFonts w:hint="eastAsia"/>
                <w:lang w:val="en-US" w:eastAsia="zh-CN"/>
              </w:rPr>
              <w:t>2022-5-24</w:t>
            </w:r>
          </w:p>
        </w:tc>
        <w:tc>
          <w:tcPr>
            <w:tcW w:w="961" w:type="pct"/>
            <w:noWrap w:val="0"/>
            <w:vAlign w:val="center"/>
          </w:tcPr>
          <w:p>
            <w:pPr>
              <w:pStyle w:val="29"/>
              <w:bidi w:val="0"/>
              <w:rPr>
                <w:rFonts w:hint="eastAsia"/>
                <w:lang w:val="en-US" w:eastAsia="zh-CN"/>
              </w:rPr>
            </w:pPr>
            <w:r>
              <w:rPr>
                <w:rFonts w:hint="eastAsia"/>
                <w:lang w:val="en-US" w:eastAsia="zh-CN"/>
              </w:rPr>
              <w:t>总铬①</w:t>
            </w:r>
          </w:p>
        </w:tc>
        <w:tc>
          <w:tcPr>
            <w:tcW w:w="623" w:type="pct"/>
            <w:noWrap w:val="0"/>
            <w:vAlign w:val="center"/>
          </w:tcPr>
          <w:p>
            <w:pPr>
              <w:pStyle w:val="29"/>
              <w:bidi w:val="0"/>
              <w:rPr>
                <w:rFonts w:hint="default"/>
                <w:lang w:val="en-US" w:eastAsia="zh-CN"/>
              </w:rPr>
            </w:pPr>
            <w:r>
              <w:rPr>
                <w:rFonts w:hint="eastAsia"/>
                <w:lang w:val="en-US" w:eastAsia="zh-CN"/>
              </w:rPr>
              <w:t>3.08</w:t>
            </w:r>
            <w:r>
              <w:rPr>
                <w:rFonts w:hint="default"/>
                <w:lang w:val="en-US" w:eastAsia="zh-CN"/>
              </w:rPr>
              <w:t>×10</w:t>
            </w:r>
            <w:r>
              <w:rPr>
                <w:rFonts w:hint="default"/>
                <w:vertAlign w:val="superscript"/>
                <w:lang w:val="en-US" w:eastAsia="zh-CN"/>
              </w:rPr>
              <w:t>-</w:t>
            </w:r>
            <w:r>
              <w:rPr>
                <w:rFonts w:hint="eastAsia"/>
                <w:vertAlign w:val="superscript"/>
                <w:lang w:val="en-US" w:eastAsia="zh-CN"/>
              </w:rPr>
              <w:t>3</w:t>
            </w:r>
          </w:p>
        </w:tc>
        <w:tc>
          <w:tcPr>
            <w:tcW w:w="623" w:type="pct"/>
            <w:noWrap w:val="0"/>
            <w:vAlign w:val="center"/>
          </w:tcPr>
          <w:p>
            <w:pPr>
              <w:pStyle w:val="29"/>
              <w:bidi w:val="0"/>
              <w:rPr>
                <w:rFonts w:hint="default"/>
                <w:lang w:val="en-US" w:eastAsia="zh-CN"/>
              </w:rPr>
            </w:pPr>
            <w:r>
              <w:rPr>
                <w:rFonts w:hint="eastAsia"/>
                <w:lang w:val="en-US" w:eastAsia="zh-CN"/>
              </w:rPr>
              <w:t>2.76</w:t>
            </w:r>
            <w:r>
              <w:rPr>
                <w:rFonts w:hint="default"/>
                <w:lang w:val="en-US" w:eastAsia="zh-CN"/>
              </w:rPr>
              <w:t>×10</w:t>
            </w:r>
            <w:r>
              <w:rPr>
                <w:rFonts w:hint="default"/>
                <w:vertAlign w:val="superscript"/>
                <w:lang w:val="en-US" w:eastAsia="zh-CN"/>
              </w:rPr>
              <w:t>-</w:t>
            </w:r>
            <w:r>
              <w:rPr>
                <w:rFonts w:hint="eastAsia"/>
                <w:vertAlign w:val="superscript"/>
                <w:lang w:val="en-US" w:eastAsia="zh-CN"/>
              </w:rPr>
              <w:t>3</w:t>
            </w:r>
          </w:p>
        </w:tc>
        <w:tc>
          <w:tcPr>
            <w:tcW w:w="623" w:type="pct"/>
            <w:noWrap w:val="0"/>
            <w:vAlign w:val="center"/>
          </w:tcPr>
          <w:p>
            <w:pPr>
              <w:pStyle w:val="29"/>
              <w:bidi w:val="0"/>
              <w:rPr>
                <w:rFonts w:hint="default"/>
                <w:lang w:val="en-US" w:eastAsia="zh-CN"/>
              </w:rPr>
            </w:pPr>
            <w:r>
              <w:rPr>
                <w:rFonts w:hint="eastAsia"/>
                <w:lang w:val="en-US" w:eastAsia="zh-CN"/>
              </w:rPr>
              <w:t>2.70</w:t>
            </w:r>
            <w:r>
              <w:rPr>
                <w:rFonts w:hint="default"/>
                <w:lang w:val="en-US" w:eastAsia="zh-CN"/>
              </w:rPr>
              <w:t>×10</w:t>
            </w:r>
            <w:r>
              <w:rPr>
                <w:rFonts w:hint="default"/>
                <w:vertAlign w:val="superscript"/>
                <w:lang w:val="en-US" w:eastAsia="zh-CN"/>
              </w:rPr>
              <w:t>-</w:t>
            </w:r>
            <w:r>
              <w:rPr>
                <w:rFonts w:hint="eastAsia"/>
                <w:vertAlign w:val="superscript"/>
                <w:lang w:val="en-US" w:eastAsia="zh-CN"/>
              </w:rPr>
              <w:t>3</w:t>
            </w:r>
          </w:p>
        </w:tc>
        <w:tc>
          <w:tcPr>
            <w:tcW w:w="634" w:type="pct"/>
            <w:noWrap w:val="0"/>
            <w:vAlign w:val="center"/>
          </w:tcPr>
          <w:p>
            <w:pPr>
              <w:pStyle w:val="29"/>
              <w:bidi w:val="0"/>
              <w:rPr>
                <w:rFonts w:hint="default"/>
                <w:lang w:val="en-US" w:eastAsia="zh-CN"/>
              </w:rPr>
            </w:pPr>
            <w:r>
              <w:rPr>
                <w:rFonts w:hint="eastAsia"/>
                <w:lang w:val="en-US" w:eastAsia="zh-CN"/>
              </w:rPr>
              <w:t>2.44</w:t>
            </w:r>
            <w:r>
              <w:rPr>
                <w:rFonts w:hint="default"/>
                <w:lang w:val="en-US" w:eastAsia="zh-CN"/>
              </w:rPr>
              <w:t>×10</w:t>
            </w:r>
            <w:r>
              <w:rPr>
                <w:rFonts w:hint="default"/>
                <w:vertAlign w:val="superscript"/>
                <w:lang w:val="en-US" w:eastAsia="zh-CN"/>
              </w:rPr>
              <w:t>-</w:t>
            </w:r>
            <w:r>
              <w:rPr>
                <w:rFonts w:hint="eastAsia"/>
                <w:vertAlign w:val="superscript"/>
                <w:lang w:val="en-US" w:eastAsia="zh-CN"/>
              </w:rPr>
              <w:t>3</w:t>
            </w:r>
          </w:p>
        </w:tc>
        <w:tc>
          <w:tcPr>
            <w:tcW w:w="601" w:type="pct"/>
            <w:noWrap w:val="0"/>
            <w:vAlign w:val="center"/>
          </w:tcPr>
          <w:p>
            <w:pPr>
              <w:pStyle w:val="29"/>
              <w:bidi w:val="0"/>
              <w:rPr>
                <w:rFonts w:hint="default"/>
                <w:lang w:val="en-US" w:eastAsia="zh-CN"/>
              </w:rPr>
            </w:pPr>
            <w:r>
              <w:rPr>
                <w:rFonts w:hint="eastAsia"/>
                <w:lang w:val="en-US" w:eastAsia="zh-CN"/>
              </w:rPr>
              <w:t>0.1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center"/>
          </w:tcPr>
          <w:p>
            <w:pPr>
              <w:pStyle w:val="29"/>
              <w:bidi w:val="0"/>
            </w:pPr>
          </w:p>
        </w:tc>
        <w:tc>
          <w:tcPr>
            <w:tcW w:w="588" w:type="pct"/>
            <w:vMerge w:val="continue"/>
            <w:noWrap w:val="0"/>
            <w:vAlign w:val="center"/>
          </w:tcPr>
          <w:p>
            <w:pPr>
              <w:pStyle w:val="29"/>
              <w:bidi w:val="0"/>
            </w:pPr>
          </w:p>
        </w:tc>
        <w:tc>
          <w:tcPr>
            <w:tcW w:w="961" w:type="pct"/>
            <w:noWrap w:val="0"/>
            <w:vAlign w:val="center"/>
          </w:tcPr>
          <w:p>
            <w:pPr>
              <w:pStyle w:val="29"/>
              <w:bidi w:val="0"/>
              <w:rPr>
                <w:rFonts w:hint="eastAsia"/>
                <w:lang w:val="en-US" w:eastAsia="zh-CN"/>
              </w:rPr>
            </w:pPr>
            <w:r>
              <w:rPr>
                <w:rFonts w:hint="eastAsia"/>
                <w:lang w:val="en-US" w:eastAsia="zh-CN"/>
              </w:rPr>
              <w:t>总汞①</w:t>
            </w:r>
          </w:p>
        </w:tc>
        <w:tc>
          <w:tcPr>
            <w:tcW w:w="623" w:type="pct"/>
            <w:noWrap w:val="0"/>
            <w:vAlign w:val="center"/>
          </w:tcPr>
          <w:p>
            <w:pPr>
              <w:pStyle w:val="29"/>
              <w:bidi w:val="0"/>
              <w:rPr>
                <w:rFonts w:hint="default"/>
                <w:lang w:val="en-US" w:eastAsia="zh-CN"/>
              </w:rPr>
            </w:pPr>
            <w:r>
              <w:rPr>
                <w:rFonts w:hint="eastAsia"/>
                <w:lang w:val="en-US" w:eastAsia="zh-CN"/>
              </w:rPr>
              <w:t>8</w:t>
            </w:r>
            <w:r>
              <w:rPr>
                <w:rFonts w:hint="default"/>
                <w:lang w:val="en-US" w:eastAsia="zh-CN"/>
              </w:rPr>
              <w:t>×10</w:t>
            </w:r>
            <w:r>
              <w:rPr>
                <w:rFonts w:hint="default"/>
                <w:vertAlign w:val="superscript"/>
                <w:lang w:val="en-US" w:eastAsia="zh-CN"/>
              </w:rPr>
              <w:t>-</w:t>
            </w:r>
            <w:r>
              <w:rPr>
                <w:rFonts w:hint="eastAsia"/>
                <w:vertAlign w:val="superscript"/>
                <w:lang w:val="en-US" w:eastAsia="zh-CN"/>
              </w:rPr>
              <w:t>5</w:t>
            </w:r>
          </w:p>
        </w:tc>
        <w:tc>
          <w:tcPr>
            <w:tcW w:w="623" w:type="pct"/>
            <w:noWrap w:val="0"/>
            <w:vAlign w:val="center"/>
          </w:tcPr>
          <w:p>
            <w:pPr>
              <w:pStyle w:val="29"/>
              <w:bidi w:val="0"/>
              <w:rPr>
                <w:rFonts w:hint="default"/>
                <w:lang w:val="en-US" w:eastAsia="zh-CN"/>
              </w:rPr>
            </w:pPr>
            <w:r>
              <w:rPr>
                <w:rFonts w:hint="eastAsia"/>
                <w:lang w:val="en-US" w:eastAsia="zh-CN"/>
              </w:rPr>
              <w:t>9</w:t>
            </w:r>
            <w:r>
              <w:rPr>
                <w:rFonts w:hint="default"/>
                <w:lang w:val="en-US" w:eastAsia="zh-CN"/>
              </w:rPr>
              <w:t>×10</w:t>
            </w:r>
            <w:r>
              <w:rPr>
                <w:rFonts w:hint="default"/>
                <w:vertAlign w:val="superscript"/>
                <w:lang w:val="en-US" w:eastAsia="zh-CN"/>
              </w:rPr>
              <w:t>-</w:t>
            </w:r>
            <w:r>
              <w:rPr>
                <w:rFonts w:hint="eastAsia"/>
                <w:vertAlign w:val="superscript"/>
                <w:lang w:val="en-US" w:eastAsia="zh-CN"/>
              </w:rPr>
              <w:t>5</w:t>
            </w:r>
          </w:p>
        </w:tc>
        <w:tc>
          <w:tcPr>
            <w:tcW w:w="623" w:type="pct"/>
            <w:noWrap w:val="0"/>
            <w:vAlign w:val="center"/>
          </w:tcPr>
          <w:p>
            <w:pPr>
              <w:pStyle w:val="29"/>
              <w:bidi w:val="0"/>
              <w:rPr>
                <w:rFonts w:hint="default"/>
                <w:lang w:val="en-US" w:eastAsia="zh-CN"/>
              </w:rPr>
            </w:pPr>
            <w:r>
              <w:rPr>
                <w:rFonts w:hint="eastAsia"/>
                <w:lang w:val="en-US" w:eastAsia="zh-CN"/>
              </w:rPr>
              <w:t>9</w:t>
            </w:r>
            <w:r>
              <w:rPr>
                <w:rFonts w:hint="default"/>
                <w:lang w:val="en-US" w:eastAsia="zh-CN"/>
              </w:rPr>
              <w:t>×10</w:t>
            </w:r>
            <w:r>
              <w:rPr>
                <w:rFonts w:hint="default"/>
                <w:vertAlign w:val="superscript"/>
                <w:lang w:val="en-US" w:eastAsia="zh-CN"/>
              </w:rPr>
              <w:t>-</w:t>
            </w:r>
            <w:r>
              <w:rPr>
                <w:rFonts w:hint="eastAsia"/>
                <w:vertAlign w:val="superscript"/>
                <w:lang w:val="en-US" w:eastAsia="zh-CN"/>
              </w:rPr>
              <w:t>5</w:t>
            </w:r>
          </w:p>
        </w:tc>
        <w:tc>
          <w:tcPr>
            <w:tcW w:w="634" w:type="pct"/>
            <w:noWrap w:val="0"/>
            <w:vAlign w:val="center"/>
          </w:tcPr>
          <w:p>
            <w:pPr>
              <w:pStyle w:val="29"/>
              <w:bidi w:val="0"/>
              <w:rPr>
                <w:rFonts w:hint="default"/>
                <w:lang w:val="en-US" w:eastAsia="zh-CN"/>
              </w:rPr>
            </w:pPr>
            <w:r>
              <w:rPr>
                <w:rFonts w:hint="eastAsia"/>
                <w:lang w:val="en-US" w:eastAsia="zh-CN"/>
              </w:rPr>
              <w:t>9</w:t>
            </w:r>
            <w:r>
              <w:rPr>
                <w:rFonts w:hint="default"/>
                <w:lang w:val="en-US" w:eastAsia="zh-CN"/>
              </w:rPr>
              <w:t>×10</w:t>
            </w:r>
            <w:r>
              <w:rPr>
                <w:rFonts w:hint="default"/>
                <w:vertAlign w:val="superscript"/>
                <w:lang w:val="en-US" w:eastAsia="zh-CN"/>
              </w:rPr>
              <w:t>-</w:t>
            </w:r>
            <w:r>
              <w:rPr>
                <w:rFonts w:hint="eastAsia"/>
                <w:vertAlign w:val="superscript"/>
                <w:lang w:val="en-US" w:eastAsia="zh-CN"/>
              </w:rPr>
              <w:t>5</w:t>
            </w:r>
          </w:p>
        </w:tc>
        <w:tc>
          <w:tcPr>
            <w:tcW w:w="601" w:type="pct"/>
            <w:noWrap w:val="0"/>
            <w:vAlign w:val="center"/>
          </w:tcPr>
          <w:p>
            <w:pPr>
              <w:pStyle w:val="29"/>
              <w:bidi w:val="0"/>
              <w:rPr>
                <w:rFonts w:hint="default"/>
                <w:lang w:val="en-US" w:eastAsia="zh-CN"/>
              </w:rPr>
            </w:pPr>
            <w:r>
              <w:rPr>
                <w:rFonts w:hint="eastAsia"/>
                <w:lang w:val="en-US" w:eastAsia="zh-CN"/>
              </w:rPr>
              <w:t>0.001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center"/>
          </w:tcPr>
          <w:p>
            <w:pPr>
              <w:pStyle w:val="29"/>
              <w:bidi w:val="0"/>
            </w:pPr>
          </w:p>
        </w:tc>
        <w:tc>
          <w:tcPr>
            <w:tcW w:w="588" w:type="pct"/>
            <w:vMerge w:val="continue"/>
            <w:noWrap w:val="0"/>
            <w:vAlign w:val="center"/>
          </w:tcPr>
          <w:p>
            <w:pPr>
              <w:pStyle w:val="29"/>
              <w:bidi w:val="0"/>
            </w:pPr>
          </w:p>
        </w:tc>
        <w:tc>
          <w:tcPr>
            <w:tcW w:w="961" w:type="pct"/>
            <w:noWrap w:val="0"/>
            <w:vAlign w:val="center"/>
          </w:tcPr>
          <w:p>
            <w:pPr>
              <w:pStyle w:val="29"/>
              <w:bidi w:val="0"/>
              <w:rPr>
                <w:rFonts w:hint="eastAsia"/>
                <w:lang w:val="en-US" w:eastAsia="zh-CN"/>
              </w:rPr>
            </w:pPr>
            <w:r>
              <w:rPr>
                <w:rFonts w:hint="eastAsia"/>
                <w:lang w:val="en-US" w:eastAsia="zh-CN"/>
              </w:rPr>
              <w:t>总镉①</w:t>
            </w:r>
          </w:p>
        </w:tc>
        <w:tc>
          <w:tcPr>
            <w:tcW w:w="623" w:type="pct"/>
            <w:noWrap w:val="0"/>
            <w:vAlign w:val="center"/>
          </w:tcPr>
          <w:p>
            <w:pPr>
              <w:pStyle w:val="29"/>
              <w:bidi w:val="0"/>
              <w:rPr>
                <w:rFonts w:hint="default"/>
                <w:lang w:val="en-US" w:eastAsia="zh-CN"/>
              </w:rPr>
            </w:pPr>
            <w:r>
              <w:rPr>
                <w:rFonts w:hint="eastAsia"/>
                <w:lang w:val="en-US" w:eastAsia="zh-CN"/>
              </w:rPr>
              <w:t>1.3</w:t>
            </w:r>
            <w:r>
              <w:rPr>
                <w:rFonts w:hint="default"/>
                <w:lang w:val="en-US" w:eastAsia="zh-CN"/>
              </w:rPr>
              <w:t>×10</w:t>
            </w:r>
            <w:r>
              <w:rPr>
                <w:rFonts w:hint="default"/>
                <w:vertAlign w:val="superscript"/>
                <w:lang w:val="en-US" w:eastAsia="zh-CN"/>
              </w:rPr>
              <w:t>-</w:t>
            </w:r>
            <w:r>
              <w:rPr>
                <w:rFonts w:hint="eastAsia"/>
                <w:vertAlign w:val="superscript"/>
                <w:lang w:val="en-US" w:eastAsia="zh-CN"/>
              </w:rPr>
              <w:t>4</w:t>
            </w:r>
          </w:p>
        </w:tc>
        <w:tc>
          <w:tcPr>
            <w:tcW w:w="623" w:type="pct"/>
            <w:noWrap w:val="0"/>
            <w:vAlign w:val="center"/>
          </w:tcPr>
          <w:p>
            <w:pPr>
              <w:pStyle w:val="29"/>
              <w:bidi w:val="0"/>
              <w:rPr>
                <w:rFonts w:hint="default"/>
                <w:lang w:val="en-US" w:eastAsia="zh-CN"/>
              </w:rPr>
            </w:pPr>
            <w:r>
              <w:rPr>
                <w:rFonts w:hint="eastAsia"/>
                <w:lang w:val="en-US" w:eastAsia="zh-CN"/>
              </w:rPr>
              <w:t>1.4</w:t>
            </w:r>
            <w:r>
              <w:rPr>
                <w:rFonts w:hint="default"/>
                <w:lang w:val="en-US" w:eastAsia="zh-CN"/>
              </w:rPr>
              <w:t>×10</w:t>
            </w:r>
            <w:r>
              <w:rPr>
                <w:rFonts w:hint="default"/>
                <w:vertAlign w:val="superscript"/>
                <w:lang w:val="en-US" w:eastAsia="zh-CN"/>
              </w:rPr>
              <w:t>-</w:t>
            </w:r>
            <w:r>
              <w:rPr>
                <w:rFonts w:hint="eastAsia"/>
                <w:vertAlign w:val="superscript"/>
                <w:lang w:val="en-US" w:eastAsia="zh-CN"/>
              </w:rPr>
              <w:t>4</w:t>
            </w:r>
          </w:p>
        </w:tc>
        <w:tc>
          <w:tcPr>
            <w:tcW w:w="623" w:type="pct"/>
            <w:noWrap w:val="0"/>
            <w:vAlign w:val="center"/>
          </w:tcPr>
          <w:p>
            <w:pPr>
              <w:pStyle w:val="29"/>
              <w:bidi w:val="0"/>
              <w:rPr>
                <w:rFonts w:hint="default"/>
                <w:lang w:val="en-US" w:eastAsia="zh-CN"/>
              </w:rPr>
            </w:pPr>
            <w:r>
              <w:rPr>
                <w:rFonts w:hint="eastAsia"/>
                <w:lang w:val="en-US" w:eastAsia="zh-CN"/>
              </w:rPr>
              <w:t>9</w:t>
            </w:r>
            <w:r>
              <w:rPr>
                <w:rFonts w:hint="default"/>
                <w:lang w:val="en-US" w:eastAsia="zh-CN"/>
              </w:rPr>
              <w:t>×10</w:t>
            </w:r>
            <w:r>
              <w:rPr>
                <w:rFonts w:hint="default"/>
                <w:vertAlign w:val="superscript"/>
                <w:lang w:val="en-US" w:eastAsia="zh-CN"/>
              </w:rPr>
              <w:t>-</w:t>
            </w:r>
            <w:r>
              <w:rPr>
                <w:rFonts w:hint="eastAsia"/>
                <w:vertAlign w:val="superscript"/>
                <w:lang w:val="en-US" w:eastAsia="zh-CN"/>
              </w:rPr>
              <w:t>5</w:t>
            </w:r>
          </w:p>
        </w:tc>
        <w:tc>
          <w:tcPr>
            <w:tcW w:w="634" w:type="pct"/>
            <w:noWrap w:val="0"/>
            <w:vAlign w:val="center"/>
          </w:tcPr>
          <w:p>
            <w:pPr>
              <w:pStyle w:val="29"/>
              <w:bidi w:val="0"/>
              <w:rPr>
                <w:rFonts w:hint="default"/>
                <w:lang w:val="en-US" w:eastAsia="zh-CN"/>
              </w:rPr>
            </w:pPr>
            <w:r>
              <w:rPr>
                <w:rFonts w:hint="eastAsia"/>
                <w:lang w:val="en-US" w:eastAsia="zh-CN"/>
              </w:rPr>
              <w:t>1.5</w:t>
            </w:r>
            <w:r>
              <w:rPr>
                <w:rFonts w:hint="default"/>
                <w:lang w:val="en-US" w:eastAsia="zh-CN"/>
              </w:rPr>
              <w:t>×10</w:t>
            </w:r>
            <w:r>
              <w:rPr>
                <w:rFonts w:hint="default"/>
                <w:vertAlign w:val="superscript"/>
                <w:lang w:val="en-US" w:eastAsia="zh-CN"/>
              </w:rPr>
              <w:t>-</w:t>
            </w:r>
            <w:r>
              <w:rPr>
                <w:rFonts w:hint="eastAsia"/>
                <w:vertAlign w:val="superscript"/>
                <w:lang w:val="en-US" w:eastAsia="zh-CN"/>
              </w:rPr>
              <w:t>4</w:t>
            </w:r>
          </w:p>
        </w:tc>
        <w:tc>
          <w:tcPr>
            <w:tcW w:w="601" w:type="pct"/>
            <w:noWrap w:val="0"/>
            <w:vAlign w:val="center"/>
          </w:tcPr>
          <w:p>
            <w:pPr>
              <w:pStyle w:val="29"/>
              <w:bidi w:val="0"/>
              <w:rPr>
                <w:rFonts w:hint="default"/>
                <w:lang w:val="en-US" w:eastAsia="zh-CN"/>
              </w:rPr>
            </w:pPr>
            <w:r>
              <w:rPr>
                <w:rFonts w:hint="eastAsia"/>
                <w:lang w:val="en-US" w:eastAsia="zh-CN"/>
              </w:rPr>
              <w:t>0.01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top"/>
          </w:tcPr>
          <w:p>
            <w:pPr>
              <w:pStyle w:val="29"/>
              <w:bidi w:val="0"/>
            </w:pPr>
          </w:p>
        </w:tc>
        <w:tc>
          <w:tcPr>
            <w:tcW w:w="588" w:type="pct"/>
            <w:vMerge w:val="continue"/>
            <w:noWrap w:val="0"/>
            <w:vAlign w:val="top"/>
          </w:tcPr>
          <w:p>
            <w:pPr>
              <w:pStyle w:val="29"/>
              <w:bidi w:val="0"/>
            </w:pPr>
          </w:p>
        </w:tc>
        <w:tc>
          <w:tcPr>
            <w:tcW w:w="961" w:type="pct"/>
            <w:noWrap w:val="0"/>
            <w:vAlign w:val="center"/>
          </w:tcPr>
          <w:p>
            <w:pPr>
              <w:pStyle w:val="29"/>
              <w:bidi w:val="0"/>
              <w:rPr>
                <w:rFonts w:hint="eastAsia"/>
                <w:lang w:val="en-US" w:eastAsia="zh-CN"/>
              </w:rPr>
            </w:pPr>
            <w:r>
              <w:rPr>
                <w:rFonts w:hint="eastAsia"/>
                <w:lang w:val="en-US" w:eastAsia="zh-CN"/>
              </w:rPr>
              <w:t>总砷①</w:t>
            </w:r>
          </w:p>
        </w:tc>
        <w:tc>
          <w:tcPr>
            <w:tcW w:w="623" w:type="pct"/>
            <w:noWrap w:val="0"/>
            <w:vAlign w:val="center"/>
          </w:tcPr>
          <w:p>
            <w:pPr>
              <w:pStyle w:val="29"/>
              <w:bidi w:val="0"/>
              <w:rPr>
                <w:rFonts w:hint="default"/>
                <w:lang w:val="en-US" w:eastAsia="zh-CN"/>
              </w:rPr>
            </w:pPr>
            <w:r>
              <w:rPr>
                <w:rFonts w:hint="eastAsia"/>
                <w:lang w:val="en-US" w:eastAsia="zh-CN"/>
              </w:rPr>
              <w:t>2.2</w:t>
            </w:r>
            <w:r>
              <w:rPr>
                <w:rFonts w:hint="default"/>
                <w:lang w:val="en-US" w:eastAsia="zh-CN"/>
              </w:rPr>
              <w:t>×10</w:t>
            </w:r>
            <w:r>
              <w:rPr>
                <w:rFonts w:hint="default"/>
                <w:vertAlign w:val="superscript"/>
                <w:lang w:val="en-US" w:eastAsia="zh-CN"/>
              </w:rPr>
              <w:t>-</w:t>
            </w:r>
            <w:r>
              <w:rPr>
                <w:rFonts w:hint="eastAsia"/>
                <w:vertAlign w:val="superscript"/>
                <w:lang w:val="en-US" w:eastAsia="zh-CN"/>
              </w:rPr>
              <w:t>4</w:t>
            </w:r>
          </w:p>
        </w:tc>
        <w:tc>
          <w:tcPr>
            <w:tcW w:w="623" w:type="pct"/>
            <w:noWrap w:val="0"/>
            <w:vAlign w:val="center"/>
          </w:tcPr>
          <w:p>
            <w:pPr>
              <w:pStyle w:val="29"/>
              <w:bidi w:val="0"/>
              <w:rPr>
                <w:rFonts w:hint="default"/>
                <w:lang w:val="en-US" w:eastAsia="zh-CN"/>
              </w:rPr>
            </w:pPr>
            <w:r>
              <w:rPr>
                <w:rFonts w:hint="eastAsia"/>
                <w:lang w:val="en-US" w:eastAsia="zh-CN"/>
              </w:rPr>
              <w:t>5.8</w:t>
            </w:r>
            <w:r>
              <w:rPr>
                <w:rFonts w:hint="default"/>
                <w:lang w:val="en-US" w:eastAsia="zh-CN"/>
              </w:rPr>
              <w:t>×10</w:t>
            </w:r>
            <w:r>
              <w:rPr>
                <w:rFonts w:hint="default"/>
                <w:vertAlign w:val="superscript"/>
                <w:lang w:val="en-US" w:eastAsia="zh-CN"/>
              </w:rPr>
              <w:t>-</w:t>
            </w:r>
            <w:r>
              <w:rPr>
                <w:rFonts w:hint="eastAsia"/>
                <w:vertAlign w:val="superscript"/>
                <w:lang w:val="en-US" w:eastAsia="zh-CN"/>
              </w:rPr>
              <w:t>4</w:t>
            </w:r>
          </w:p>
        </w:tc>
        <w:tc>
          <w:tcPr>
            <w:tcW w:w="623" w:type="pct"/>
            <w:noWrap w:val="0"/>
            <w:vAlign w:val="center"/>
          </w:tcPr>
          <w:p>
            <w:pPr>
              <w:pStyle w:val="29"/>
              <w:bidi w:val="0"/>
              <w:rPr>
                <w:rFonts w:hint="default"/>
                <w:lang w:val="en-US" w:eastAsia="zh-CN"/>
              </w:rPr>
            </w:pPr>
            <w:r>
              <w:rPr>
                <w:rFonts w:hint="eastAsia"/>
                <w:lang w:val="en-US" w:eastAsia="zh-CN"/>
              </w:rPr>
              <w:t>3.4</w:t>
            </w:r>
            <w:r>
              <w:rPr>
                <w:rFonts w:hint="default"/>
                <w:lang w:val="en-US" w:eastAsia="zh-CN"/>
              </w:rPr>
              <w:t>×10</w:t>
            </w:r>
            <w:r>
              <w:rPr>
                <w:rFonts w:hint="default"/>
                <w:vertAlign w:val="superscript"/>
                <w:lang w:val="en-US" w:eastAsia="zh-CN"/>
              </w:rPr>
              <w:t>-</w:t>
            </w:r>
            <w:r>
              <w:rPr>
                <w:rFonts w:hint="eastAsia"/>
                <w:vertAlign w:val="superscript"/>
                <w:lang w:val="en-US" w:eastAsia="zh-CN"/>
              </w:rPr>
              <w:t>4</w:t>
            </w:r>
          </w:p>
        </w:tc>
        <w:tc>
          <w:tcPr>
            <w:tcW w:w="634" w:type="pct"/>
            <w:noWrap w:val="0"/>
            <w:vAlign w:val="center"/>
          </w:tcPr>
          <w:p>
            <w:pPr>
              <w:pStyle w:val="29"/>
              <w:bidi w:val="0"/>
              <w:rPr>
                <w:rFonts w:hint="default"/>
                <w:lang w:val="en-US" w:eastAsia="zh-CN"/>
              </w:rPr>
            </w:pPr>
            <w:r>
              <w:rPr>
                <w:rFonts w:hint="eastAsia"/>
                <w:vertAlign w:val="baseline"/>
                <w:lang w:val="en-US" w:eastAsia="zh-CN"/>
              </w:rPr>
              <w:t>2.4</w:t>
            </w:r>
            <w:r>
              <w:rPr>
                <w:rFonts w:hint="default"/>
                <w:vertAlign w:val="baseline"/>
                <w:lang w:val="en-US" w:eastAsia="zh-CN"/>
              </w:rPr>
              <w:t>×10</w:t>
            </w:r>
            <w:r>
              <w:rPr>
                <w:rFonts w:hint="default"/>
                <w:vertAlign w:val="superscript"/>
                <w:lang w:val="en-US" w:eastAsia="zh-CN"/>
              </w:rPr>
              <w:t>-</w:t>
            </w:r>
            <w:r>
              <w:rPr>
                <w:rFonts w:hint="eastAsia"/>
                <w:vertAlign w:val="superscript"/>
                <w:lang w:val="en-US" w:eastAsia="zh-CN"/>
              </w:rPr>
              <w:t>4</w:t>
            </w:r>
          </w:p>
        </w:tc>
        <w:tc>
          <w:tcPr>
            <w:tcW w:w="601" w:type="pct"/>
            <w:noWrap w:val="0"/>
            <w:vAlign w:val="center"/>
          </w:tcPr>
          <w:p>
            <w:pPr>
              <w:pStyle w:val="29"/>
              <w:bidi w:val="0"/>
              <w:rPr>
                <w:rFonts w:hint="default"/>
                <w:lang w:val="en-US" w:eastAsia="zh-CN"/>
              </w:rPr>
            </w:pPr>
            <w:r>
              <w:rPr>
                <w:rFonts w:hint="eastAsia"/>
                <w:lang w:val="en-US" w:eastAsia="zh-CN"/>
              </w:rPr>
              <w:t>0.1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top"/>
          </w:tcPr>
          <w:p>
            <w:pPr>
              <w:pStyle w:val="29"/>
              <w:bidi w:val="0"/>
            </w:pPr>
          </w:p>
        </w:tc>
        <w:tc>
          <w:tcPr>
            <w:tcW w:w="588" w:type="pct"/>
            <w:vMerge w:val="continue"/>
            <w:noWrap w:val="0"/>
            <w:vAlign w:val="top"/>
          </w:tcPr>
          <w:p>
            <w:pPr>
              <w:pStyle w:val="29"/>
              <w:bidi w:val="0"/>
            </w:pPr>
          </w:p>
        </w:tc>
        <w:tc>
          <w:tcPr>
            <w:tcW w:w="961" w:type="pct"/>
            <w:noWrap w:val="0"/>
            <w:vAlign w:val="center"/>
          </w:tcPr>
          <w:p>
            <w:pPr>
              <w:pStyle w:val="29"/>
              <w:bidi w:val="0"/>
              <w:rPr>
                <w:rFonts w:hint="eastAsia"/>
                <w:lang w:val="en-US" w:eastAsia="zh-CN"/>
              </w:rPr>
            </w:pPr>
            <w:r>
              <w:rPr>
                <w:rFonts w:hint="eastAsia"/>
                <w:lang w:val="en-US" w:eastAsia="zh-CN"/>
              </w:rPr>
              <w:t>总铅①</w:t>
            </w:r>
          </w:p>
        </w:tc>
        <w:tc>
          <w:tcPr>
            <w:tcW w:w="623" w:type="pct"/>
            <w:noWrap w:val="0"/>
            <w:vAlign w:val="center"/>
          </w:tcPr>
          <w:p>
            <w:pPr>
              <w:pStyle w:val="29"/>
              <w:bidi w:val="0"/>
              <w:rPr>
                <w:rFonts w:hint="eastAsia"/>
                <w:lang w:val="en-US" w:eastAsia="zh-CN"/>
              </w:rPr>
            </w:pPr>
            <w:r>
              <w:rPr>
                <w:rFonts w:hint="eastAsia"/>
                <w:lang w:val="en-US" w:eastAsia="zh-CN"/>
              </w:rPr>
              <w:t>2.7</w:t>
            </w:r>
            <w:r>
              <w:rPr>
                <w:rFonts w:hint="default"/>
                <w:lang w:val="en-US" w:eastAsia="zh-CN"/>
              </w:rPr>
              <w:t>×10</w:t>
            </w:r>
            <w:r>
              <w:rPr>
                <w:rFonts w:hint="default"/>
                <w:vertAlign w:val="superscript"/>
                <w:lang w:val="en-US" w:eastAsia="zh-CN"/>
              </w:rPr>
              <w:t>-</w:t>
            </w:r>
            <w:r>
              <w:rPr>
                <w:rFonts w:hint="eastAsia"/>
                <w:vertAlign w:val="superscript"/>
                <w:lang w:val="en-US" w:eastAsia="zh-CN"/>
              </w:rPr>
              <w:t>4</w:t>
            </w:r>
          </w:p>
        </w:tc>
        <w:tc>
          <w:tcPr>
            <w:tcW w:w="623" w:type="pct"/>
            <w:noWrap w:val="0"/>
            <w:vAlign w:val="center"/>
          </w:tcPr>
          <w:p>
            <w:pPr>
              <w:pStyle w:val="29"/>
              <w:bidi w:val="0"/>
              <w:rPr>
                <w:rFonts w:hint="default"/>
                <w:lang w:val="en-US" w:eastAsia="zh-CN"/>
              </w:rPr>
            </w:pPr>
            <w:r>
              <w:rPr>
                <w:rFonts w:hint="eastAsia"/>
                <w:lang w:val="en-US" w:eastAsia="zh-CN"/>
              </w:rPr>
              <w:t>6.7</w:t>
            </w:r>
            <w:r>
              <w:rPr>
                <w:rFonts w:hint="default"/>
                <w:lang w:val="en-US" w:eastAsia="zh-CN"/>
              </w:rPr>
              <w:t>×10</w:t>
            </w:r>
            <w:r>
              <w:rPr>
                <w:rFonts w:hint="default"/>
                <w:vertAlign w:val="superscript"/>
                <w:lang w:val="en-US" w:eastAsia="zh-CN"/>
              </w:rPr>
              <w:t>-</w:t>
            </w:r>
            <w:r>
              <w:rPr>
                <w:rFonts w:hint="eastAsia"/>
                <w:vertAlign w:val="superscript"/>
                <w:lang w:val="en-US" w:eastAsia="zh-CN"/>
              </w:rPr>
              <w:t>4</w:t>
            </w:r>
          </w:p>
        </w:tc>
        <w:tc>
          <w:tcPr>
            <w:tcW w:w="623" w:type="pct"/>
            <w:noWrap w:val="0"/>
            <w:vAlign w:val="center"/>
          </w:tcPr>
          <w:p>
            <w:pPr>
              <w:pStyle w:val="29"/>
              <w:bidi w:val="0"/>
              <w:rPr>
                <w:rFonts w:hint="default"/>
                <w:lang w:val="en-US" w:eastAsia="zh-CN"/>
              </w:rPr>
            </w:pPr>
            <w:r>
              <w:rPr>
                <w:rFonts w:hint="eastAsia"/>
                <w:lang w:val="en-US" w:eastAsia="zh-CN"/>
              </w:rPr>
              <w:t>9</w:t>
            </w:r>
            <w:r>
              <w:rPr>
                <w:rFonts w:hint="default"/>
                <w:lang w:val="en-US" w:eastAsia="zh-CN"/>
              </w:rPr>
              <w:t>×10</w:t>
            </w:r>
            <w:r>
              <w:rPr>
                <w:rFonts w:hint="default"/>
                <w:vertAlign w:val="superscript"/>
                <w:lang w:val="en-US" w:eastAsia="zh-CN"/>
              </w:rPr>
              <w:t>-</w:t>
            </w:r>
            <w:r>
              <w:rPr>
                <w:rFonts w:hint="eastAsia"/>
                <w:vertAlign w:val="superscript"/>
                <w:lang w:val="en-US" w:eastAsia="zh-CN"/>
              </w:rPr>
              <w:t>5</w:t>
            </w:r>
            <w:r>
              <w:rPr>
                <w:rFonts w:hint="eastAsia"/>
                <w:lang w:val="en-US" w:eastAsia="zh-CN"/>
              </w:rPr>
              <w:t>L</w:t>
            </w:r>
          </w:p>
        </w:tc>
        <w:tc>
          <w:tcPr>
            <w:tcW w:w="634" w:type="pct"/>
            <w:noWrap w:val="0"/>
            <w:vAlign w:val="center"/>
          </w:tcPr>
          <w:p>
            <w:pPr>
              <w:pStyle w:val="29"/>
              <w:bidi w:val="0"/>
              <w:rPr>
                <w:rFonts w:hint="default"/>
                <w:lang w:val="en-US" w:eastAsia="zh-CN"/>
              </w:rPr>
            </w:pPr>
            <w:r>
              <w:rPr>
                <w:rFonts w:hint="eastAsia"/>
                <w:lang w:val="en-US" w:eastAsia="zh-CN"/>
              </w:rPr>
              <w:t>9</w:t>
            </w:r>
            <w:r>
              <w:rPr>
                <w:rFonts w:hint="default"/>
                <w:lang w:val="en-US" w:eastAsia="zh-CN"/>
              </w:rPr>
              <w:t>×10</w:t>
            </w:r>
            <w:r>
              <w:rPr>
                <w:rFonts w:hint="default"/>
                <w:vertAlign w:val="superscript"/>
                <w:lang w:val="en-US" w:eastAsia="zh-CN"/>
              </w:rPr>
              <w:t>-</w:t>
            </w:r>
            <w:r>
              <w:rPr>
                <w:rFonts w:hint="eastAsia"/>
                <w:vertAlign w:val="superscript"/>
                <w:lang w:val="en-US" w:eastAsia="zh-CN"/>
              </w:rPr>
              <w:t>5</w:t>
            </w:r>
          </w:p>
        </w:tc>
        <w:tc>
          <w:tcPr>
            <w:tcW w:w="601" w:type="pct"/>
            <w:noWrap w:val="0"/>
            <w:vAlign w:val="center"/>
          </w:tcPr>
          <w:p>
            <w:pPr>
              <w:pStyle w:val="29"/>
              <w:bidi w:val="0"/>
              <w:rPr>
                <w:rFonts w:hint="default"/>
                <w:lang w:val="en-US" w:eastAsia="zh-CN"/>
              </w:rPr>
            </w:pPr>
            <w:r>
              <w:rPr>
                <w:rFonts w:hint="eastAsia"/>
                <w:lang w:val="en-US" w:eastAsia="zh-CN"/>
              </w:rPr>
              <w:t>0.1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top"/>
          </w:tcPr>
          <w:p>
            <w:pPr>
              <w:pStyle w:val="29"/>
              <w:bidi w:val="0"/>
            </w:pPr>
          </w:p>
        </w:tc>
        <w:tc>
          <w:tcPr>
            <w:tcW w:w="588" w:type="pct"/>
            <w:vMerge w:val="continue"/>
            <w:noWrap w:val="0"/>
            <w:vAlign w:val="top"/>
          </w:tcPr>
          <w:p>
            <w:pPr>
              <w:pStyle w:val="29"/>
              <w:bidi w:val="0"/>
            </w:pPr>
          </w:p>
        </w:tc>
        <w:tc>
          <w:tcPr>
            <w:tcW w:w="961" w:type="pct"/>
            <w:noWrap w:val="0"/>
            <w:vAlign w:val="center"/>
          </w:tcPr>
          <w:p>
            <w:pPr>
              <w:pStyle w:val="29"/>
              <w:bidi w:val="0"/>
              <w:rPr>
                <w:rFonts w:hint="eastAsia"/>
                <w:lang w:val="en-US" w:eastAsia="zh-CN"/>
              </w:rPr>
            </w:pPr>
            <w:r>
              <w:rPr>
                <w:rFonts w:hint="eastAsia"/>
                <w:lang w:val="en-US" w:eastAsia="zh-CN"/>
              </w:rPr>
              <w:t>粪大肠菌群</w:t>
            </w:r>
          </w:p>
        </w:tc>
        <w:tc>
          <w:tcPr>
            <w:tcW w:w="623" w:type="pct"/>
            <w:noWrap w:val="0"/>
            <w:vAlign w:val="center"/>
          </w:tcPr>
          <w:p>
            <w:pPr>
              <w:pStyle w:val="29"/>
              <w:bidi w:val="0"/>
              <w:rPr>
                <w:rFonts w:hint="default"/>
                <w:lang w:val="en-US" w:eastAsia="zh-CN"/>
              </w:rPr>
            </w:pPr>
            <w:r>
              <w:rPr>
                <w:rFonts w:hint="eastAsia"/>
                <w:lang w:val="en-US" w:eastAsia="zh-CN"/>
              </w:rPr>
              <w:t>4.1</w:t>
            </w:r>
            <w:r>
              <w:rPr>
                <w:rFonts w:hint="default"/>
                <w:lang w:val="en-US" w:eastAsia="zh-CN"/>
              </w:rPr>
              <w:t>×10</w:t>
            </w:r>
            <w:r>
              <w:rPr>
                <w:rFonts w:hint="eastAsia"/>
                <w:vertAlign w:val="superscript"/>
                <w:lang w:val="en-US" w:eastAsia="zh-CN"/>
              </w:rPr>
              <w:t>2</w:t>
            </w:r>
          </w:p>
        </w:tc>
        <w:tc>
          <w:tcPr>
            <w:tcW w:w="623" w:type="pct"/>
            <w:noWrap w:val="0"/>
            <w:vAlign w:val="center"/>
          </w:tcPr>
          <w:p>
            <w:pPr>
              <w:pStyle w:val="29"/>
              <w:bidi w:val="0"/>
              <w:rPr>
                <w:rFonts w:hint="default"/>
                <w:lang w:val="en-US" w:eastAsia="zh-CN"/>
              </w:rPr>
            </w:pPr>
            <w:r>
              <w:rPr>
                <w:rFonts w:hint="eastAsia"/>
                <w:lang w:val="en-US" w:eastAsia="zh-CN"/>
              </w:rPr>
              <w:t>4.4</w:t>
            </w:r>
            <w:r>
              <w:rPr>
                <w:rFonts w:hint="default"/>
                <w:lang w:val="en-US" w:eastAsia="zh-CN"/>
              </w:rPr>
              <w:t>×1</w:t>
            </w:r>
            <w:r>
              <w:rPr>
                <w:rFonts w:hint="eastAsia"/>
                <w:lang w:val="en-US" w:eastAsia="zh-CN"/>
              </w:rPr>
              <w:t>0</w:t>
            </w:r>
            <w:r>
              <w:rPr>
                <w:rFonts w:hint="eastAsia"/>
                <w:vertAlign w:val="superscript"/>
                <w:lang w:val="en-US" w:eastAsia="zh-CN"/>
              </w:rPr>
              <w:t>2</w:t>
            </w:r>
          </w:p>
        </w:tc>
        <w:tc>
          <w:tcPr>
            <w:tcW w:w="623" w:type="pct"/>
            <w:noWrap w:val="0"/>
            <w:vAlign w:val="center"/>
          </w:tcPr>
          <w:p>
            <w:pPr>
              <w:pStyle w:val="29"/>
              <w:bidi w:val="0"/>
              <w:rPr>
                <w:rFonts w:hint="default"/>
                <w:lang w:val="en-US" w:eastAsia="zh-CN"/>
              </w:rPr>
            </w:pPr>
            <w:r>
              <w:rPr>
                <w:rFonts w:hint="eastAsia"/>
                <w:lang w:val="en-US" w:eastAsia="zh-CN"/>
              </w:rPr>
              <w:t>3.6</w:t>
            </w:r>
            <w:r>
              <w:rPr>
                <w:rFonts w:hint="default"/>
                <w:lang w:val="en-US" w:eastAsia="zh-CN"/>
              </w:rPr>
              <w:t>×10</w:t>
            </w:r>
            <w:r>
              <w:rPr>
                <w:rFonts w:hint="eastAsia"/>
                <w:vertAlign w:val="superscript"/>
                <w:lang w:val="en-US" w:eastAsia="zh-CN"/>
              </w:rPr>
              <w:t>2</w:t>
            </w:r>
          </w:p>
        </w:tc>
        <w:tc>
          <w:tcPr>
            <w:tcW w:w="634" w:type="pct"/>
            <w:noWrap w:val="0"/>
            <w:vAlign w:val="center"/>
          </w:tcPr>
          <w:p>
            <w:pPr>
              <w:pStyle w:val="29"/>
              <w:bidi w:val="0"/>
              <w:rPr>
                <w:rFonts w:hint="default"/>
                <w:lang w:val="en-US" w:eastAsia="zh-CN"/>
              </w:rPr>
            </w:pPr>
            <w:r>
              <w:rPr>
                <w:rFonts w:hint="eastAsia"/>
                <w:lang w:val="en-US" w:eastAsia="zh-CN"/>
              </w:rPr>
              <w:t>4.7</w:t>
            </w:r>
            <w:r>
              <w:rPr>
                <w:rFonts w:hint="default"/>
                <w:lang w:val="en-US" w:eastAsia="zh-CN"/>
              </w:rPr>
              <w:t>×10</w:t>
            </w:r>
            <w:r>
              <w:rPr>
                <w:rFonts w:hint="eastAsia"/>
                <w:vertAlign w:val="superscript"/>
                <w:lang w:val="en-US" w:eastAsia="zh-CN"/>
              </w:rPr>
              <w:t>2</w:t>
            </w:r>
          </w:p>
        </w:tc>
        <w:tc>
          <w:tcPr>
            <w:tcW w:w="601" w:type="pct"/>
            <w:noWrap w:val="0"/>
            <w:vAlign w:val="center"/>
          </w:tcPr>
          <w:p>
            <w:pPr>
              <w:pStyle w:val="29"/>
              <w:bidi w:val="0"/>
              <w:rPr>
                <w:rFonts w:hint="default"/>
                <w:lang w:val="en-US" w:eastAsia="zh-CN"/>
              </w:rPr>
            </w:pPr>
            <w:r>
              <w:rPr>
                <w:rFonts w:hint="eastAsia"/>
                <w:lang w:val="en-US" w:eastAsia="zh-CN"/>
              </w:rPr>
              <w:t>1000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top"/>
          </w:tcPr>
          <w:p>
            <w:pPr>
              <w:pStyle w:val="29"/>
              <w:bidi w:val="0"/>
            </w:pPr>
          </w:p>
        </w:tc>
        <w:tc>
          <w:tcPr>
            <w:tcW w:w="588" w:type="pct"/>
            <w:vMerge w:val="continue"/>
            <w:noWrap w:val="0"/>
            <w:vAlign w:val="top"/>
          </w:tcPr>
          <w:p>
            <w:pPr>
              <w:pStyle w:val="29"/>
              <w:bidi w:val="0"/>
            </w:pPr>
          </w:p>
        </w:tc>
        <w:tc>
          <w:tcPr>
            <w:tcW w:w="961" w:type="pct"/>
            <w:noWrap w:val="0"/>
            <w:vAlign w:val="center"/>
          </w:tcPr>
          <w:p>
            <w:pPr>
              <w:pStyle w:val="29"/>
              <w:bidi w:val="0"/>
              <w:rPr>
                <w:rFonts w:hint="eastAsia"/>
                <w:lang w:val="en-US" w:eastAsia="zh-CN"/>
              </w:rPr>
            </w:pPr>
            <w:r>
              <w:rPr>
                <w:rFonts w:hint="eastAsia"/>
                <w:lang w:val="en-US" w:eastAsia="zh-CN"/>
              </w:rPr>
              <w:t>烷基汞②</w:t>
            </w:r>
          </w:p>
        </w:tc>
        <w:tc>
          <w:tcPr>
            <w:tcW w:w="623" w:type="pct"/>
            <w:noWrap w:val="0"/>
            <w:vAlign w:val="center"/>
          </w:tcPr>
          <w:p>
            <w:pPr>
              <w:pStyle w:val="29"/>
              <w:bidi w:val="0"/>
              <w:rPr>
                <w:rFonts w:hint="eastAsia"/>
                <w:lang w:val="en-US" w:eastAsia="zh-CN"/>
              </w:rPr>
            </w:pPr>
            <w:r>
              <w:rPr>
                <w:rFonts w:hint="eastAsia"/>
                <w:lang w:val="en-US" w:eastAsia="zh-CN"/>
              </w:rPr>
              <w:t>未检出</w:t>
            </w:r>
          </w:p>
        </w:tc>
        <w:tc>
          <w:tcPr>
            <w:tcW w:w="623" w:type="pct"/>
            <w:noWrap w:val="0"/>
            <w:vAlign w:val="center"/>
          </w:tcPr>
          <w:p>
            <w:pPr>
              <w:pStyle w:val="29"/>
              <w:bidi w:val="0"/>
              <w:rPr>
                <w:rFonts w:hint="eastAsia"/>
                <w:lang w:val="en-US" w:eastAsia="zh-CN"/>
              </w:rPr>
            </w:pPr>
            <w:r>
              <w:rPr>
                <w:rFonts w:hint="eastAsia"/>
                <w:lang w:val="en-US" w:eastAsia="zh-CN"/>
              </w:rPr>
              <w:t>未检出</w:t>
            </w:r>
          </w:p>
        </w:tc>
        <w:tc>
          <w:tcPr>
            <w:tcW w:w="623" w:type="pct"/>
            <w:noWrap w:val="0"/>
            <w:vAlign w:val="center"/>
          </w:tcPr>
          <w:p>
            <w:pPr>
              <w:pStyle w:val="29"/>
              <w:bidi w:val="0"/>
              <w:rPr>
                <w:rFonts w:hint="eastAsia"/>
                <w:lang w:val="en-US" w:eastAsia="zh-CN"/>
              </w:rPr>
            </w:pPr>
            <w:r>
              <w:rPr>
                <w:rFonts w:hint="eastAsia"/>
                <w:lang w:val="en-US" w:eastAsia="zh-CN"/>
              </w:rPr>
              <w:t>未检出</w:t>
            </w:r>
          </w:p>
        </w:tc>
        <w:tc>
          <w:tcPr>
            <w:tcW w:w="634" w:type="pct"/>
            <w:noWrap w:val="0"/>
            <w:vAlign w:val="center"/>
          </w:tcPr>
          <w:p>
            <w:pPr>
              <w:pStyle w:val="29"/>
              <w:bidi w:val="0"/>
              <w:rPr>
                <w:rFonts w:hint="eastAsia"/>
                <w:lang w:val="en-US" w:eastAsia="zh-CN"/>
              </w:rPr>
            </w:pPr>
            <w:r>
              <w:rPr>
                <w:rFonts w:hint="eastAsia"/>
                <w:lang w:val="en-US" w:eastAsia="zh-CN"/>
              </w:rPr>
              <w:t>未检出</w:t>
            </w:r>
          </w:p>
        </w:tc>
        <w:tc>
          <w:tcPr>
            <w:tcW w:w="601" w:type="pct"/>
            <w:noWrap w:val="0"/>
            <w:vAlign w:val="center"/>
          </w:tcPr>
          <w:p>
            <w:pPr>
              <w:pStyle w:val="29"/>
              <w:bidi w:val="0"/>
              <w:rPr>
                <w:rFonts w:hint="eastAsia"/>
                <w:lang w:val="en-US" w:eastAsia="zh-CN"/>
              </w:rPr>
            </w:pPr>
            <w:r>
              <w:rPr>
                <w:rFonts w:hint="eastAsia"/>
                <w:lang w:val="en-US" w:eastAsia="zh-CN"/>
              </w:rPr>
              <w:t>不得检出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restart"/>
            <w:noWrap w:val="0"/>
            <w:vAlign w:val="center"/>
          </w:tcPr>
          <w:p>
            <w:pPr>
              <w:pStyle w:val="29"/>
              <w:bidi w:val="0"/>
              <w:rPr>
                <w:rFonts w:hint="default"/>
                <w:lang w:val="en-US" w:eastAsia="zh-CN"/>
              </w:rPr>
            </w:pPr>
            <w:r>
              <w:rPr>
                <w:rFonts w:hint="eastAsia"/>
                <w:lang w:val="en-US" w:eastAsia="zh-CN"/>
              </w:rPr>
              <w:t>W2</w:t>
            </w:r>
          </w:p>
        </w:tc>
        <w:tc>
          <w:tcPr>
            <w:tcW w:w="588" w:type="pct"/>
            <w:vMerge w:val="restart"/>
            <w:noWrap w:val="0"/>
            <w:vAlign w:val="center"/>
          </w:tcPr>
          <w:p>
            <w:pPr>
              <w:pStyle w:val="29"/>
              <w:bidi w:val="0"/>
              <w:rPr>
                <w:rFonts w:hint="default"/>
                <w:lang w:val="en-US" w:eastAsia="zh-CN"/>
              </w:rPr>
            </w:pPr>
            <w:r>
              <w:rPr>
                <w:rFonts w:hint="eastAsia"/>
                <w:lang w:val="en-US" w:eastAsia="zh-CN"/>
              </w:rPr>
              <w:t>2022-5-25</w:t>
            </w:r>
          </w:p>
        </w:tc>
        <w:tc>
          <w:tcPr>
            <w:tcW w:w="961" w:type="pct"/>
            <w:noWrap w:val="0"/>
            <w:vAlign w:val="center"/>
          </w:tcPr>
          <w:p>
            <w:pPr>
              <w:pStyle w:val="29"/>
              <w:bidi w:val="0"/>
              <w:rPr>
                <w:rFonts w:hint="eastAsia"/>
                <w:lang w:val="en-US" w:eastAsia="zh-CN"/>
              </w:rPr>
            </w:pPr>
            <w:r>
              <w:rPr>
                <w:lang w:val="en-US"/>
              </w:rPr>
              <w:t>pH</w:t>
            </w:r>
          </w:p>
        </w:tc>
        <w:tc>
          <w:tcPr>
            <w:tcW w:w="623" w:type="pct"/>
            <w:noWrap w:val="0"/>
            <w:vAlign w:val="center"/>
          </w:tcPr>
          <w:p>
            <w:pPr>
              <w:pStyle w:val="29"/>
              <w:bidi w:val="0"/>
              <w:rPr>
                <w:rFonts w:hint="eastAsia"/>
                <w:lang w:val="en-US" w:eastAsia="zh-CN"/>
              </w:rPr>
            </w:pPr>
            <w:r>
              <w:rPr>
                <w:rFonts w:hint="eastAsia"/>
                <w:lang w:val="en-US" w:eastAsia="zh-CN"/>
              </w:rPr>
              <w:t>7.2</w:t>
            </w:r>
          </w:p>
        </w:tc>
        <w:tc>
          <w:tcPr>
            <w:tcW w:w="623" w:type="pct"/>
            <w:noWrap w:val="0"/>
            <w:vAlign w:val="center"/>
          </w:tcPr>
          <w:p>
            <w:pPr>
              <w:pStyle w:val="29"/>
              <w:bidi w:val="0"/>
              <w:rPr>
                <w:rFonts w:hint="eastAsia"/>
                <w:lang w:val="en-US" w:eastAsia="zh-CN"/>
              </w:rPr>
            </w:pPr>
            <w:r>
              <w:rPr>
                <w:rFonts w:hint="eastAsia"/>
                <w:lang w:val="en-US" w:eastAsia="zh-CN"/>
              </w:rPr>
              <w:t>7.2</w:t>
            </w:r>
          </w:p>
        </w:tc>
        <w:tc>
          <w:tcPr>
            <w:tcW w:w="623" w:type="pct"/>
            <w:noWrap w:val="0"/>
            <w:vAlign w:val="center"/>
          </w:tcPr>
          <w:p>
            <w:pPr>
              <w:pStyle w:val="29"/>
              <w:bidi w:val="0"/>
              <w:rPr>
                <w:rFonts w:hint="eastAsia"/>
                <w:lang w:val="en-US" w:eastAsia="zh-CN"/>
              </w:rPr>
            </w:pPr>
            <w:r>
              <w:rPr>
                <w:rFonts w:hint="eastAsia"/>
                <w:lang w:val="en-US" w:eastAsia="zh-CN"/>
              </w:rPr>
              <w:t>7.1</w:t>
            </w:r>
          </w:p>
        </w:tc>
        <w:tc>
          <w:tcPr>
            <w:tcW w:w="634" w:type="pct"/>
            <w:noWrap w:val="0"/>
            <w:vAlign w:val="center"/>
          </w:tcPr>
          <w:p>
            <w:pPr>
              <w:pStyle w:val="29"/>
              <w:bidi w:val="0"/>
              <w:rPr>
                <w:rFonts w:hint="eastAsia"/>
                <w:lang w:val="en-US" w:eastAsia="zh-CN"/>
              </w:rPr>
            </w:pPr>
            <w:r>
              <w:rPr>
                <w:rFonts w:hint="eastAsia"/>
                <w:lang w:val="en-US" w:eastAsia="zh-CN"/>
              </w:rPr>
              <w:t>7.2</w:t>
            </w:r>
          </w:p>
        </w:tc>
        <w:tc>
          <w:tcPr>
            <w:tcW w:w="601" w:type="pct"/>
            <w:noWrap w:val="0"/>
            <w:vAlign w:val="center"/>
          </w:tcPr>
          <w:p>
            <w:pPr>
              <w:pStyle w:val="29"/>
              <w:bidi w:val="0"/>
              <w:rPr>
                <w:rFonts w:hint="eastAsia"/>
                <w:lang w:val="en-US" w:eastAsia="zh-CN"/>
              </w:rPr>
            </w:pPr>
            <w:r>
              <w:rPr>
                <w:rFonts w:hint="eastAsia"/>
                <w:lang w:val="en-US" w:eastAsia="zh-CN"/>
              </w:rPr>
              <w:t>6~9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top"/>
          </w:tcPr>
          <w:p>
            <w:pPr>
              <w:pStyle w:val="29"/>
              <w:bidi w:val="0"/>
            </w:pPr>
          </w:p>
        </w:tc>
        <w:tc>
          <w:tcPr>
            <w:tcW w:w="588" w:type="pct"/>
            <w:vMerge w:val="continue"/>
            <w:noWrap w:val="0"/>
            <w:vAlign w:val="top"/>
          </w:tcPr>
          <w:p>
            <w:pPr>
              <w:pStyle w:val="29"/>
              <w:bidi w:val="0"/>
            </w:pPr>
          </w:p>
        </w:tc>
        <w:tc>
          <w:tcPr>
            <w:tcW w:w="961" w:type="pct"/>
            <w:noWrap w:val="0"/>
            <w:vAlign w:val="center"/>
          </w:tcPr>
          <w:p>
            <w:pPr>
              <w:pStyle w:val="29"/>
              <w:bidi w:val="0"/>
              <w:rPr>
                <w:rFonts w:hint="eastAsia"/>
                <w:lang w:val="en-US" w:eastAsia="zh-CN"/>
              </w:rPr>
            </w:pPr>
            <w:r>
              <w:rPr>
                <w:rFonts w:hint="eastAsia"/>
                <w:lang w:val="en-US"/>
              </w:rPr>
              <w:t>化学需氧量</w:t>
            </w:r>
          </w:p>
        </w:tc>
        <w:tc>
          <w:tcPr>
            <w:tcW w:w="623" w:type="pct"/>
            <w:noWrap w:val="0"/>
            <w:vAlign w:val="center"/>
          </w:tcPr>
          <w:p>
            <w:pPr>
              <w:pStyle w:val="29"/>
              <w:bidi w:val="0"/>
              <w:rPr>
                <w:rFonts w:hint="eastAsia"/>
                <w:lang w:val="en-US" w:eastAsia="zh-CN"/>
              </w:rPr>
            </w:pPr>
            <w:r>
              <w:rPr>
                <w:rFonts w:hint="eastAsia"/>
                <w:lang w:val="en-US" w:eastAsia="zh-CN"/>
              </w:rPr>
              <w:t>28.9</w:t>
            </w:r>
          </w:p>
        </w:tc>
        <w:tc>
          <w:tcPr>
            <w:tcW w:w="623" w:type="pct"/>
            <w:noWrap w:val="0"/>
            <w:vAlign w:val="center"/>
          </w:tcPr>
          <w:p>
            <w:pPr>
              <w:pStyle w:val="29"/>
              <w:bidi w:val="0"/>
              <w:rPr>
                <w:rFonts w:hint="eastAsia"/>
                <w:lang w:val="en-US" w:eastAsia="zh-CN"/>
              </w:rPr>
            </w:pPr>
            <w:r>
              <w:rPr>
                <w:rFonts w:hint="eastAsia"/>
                <w:lang w:val="en-US" w:eastAsia="zh-CN"/>
              </w:rPr>
              <w:t>27.1</w:t>
            </w:r>
          </w:p>
        </w:tc>
        <w:tc>
          <w:tcPr>
            <w:tcW w:w="623" w:type="pct"/>
            <w:noWrap w:val="0"/>
            <w:vAlign w:val="center"/>
          </w:tcPr>
          <w:p>
            <w:pPr>
              <w:pStyle w:val="29"/>
              <w:bidi w:val="0"/>
              <w:rPr>
                <w:rFonts w:hint="eastAsia"/>
                <w:lang w:val="en-US" w:eastAsia="zh-CN"/>
              </w:rPr>
            </w:pPr>
            <w:r>
              <w:rPr>
                <w:rFonts w:hint="eastAsia"/>
                <w:lang w:val="en-US" w:eastAsia="zh-CN"/>
              </w:rPr>
              <w:t>29.9</w:t>
            </w:r>
          </w:p>
        </w:tc>
        <w:tc>
          <w:tcPr>
            <w:tcW w:w="634" w:type="pct"/>
            <w:noWrap w:val="0"/>
            <w:vAlign w:val="center"/>
          </w:tcPr>
          <w:p>
            <w:pPr>
              <w:pStyle w:val="29"/>
              <w:bidi w:val="0"/>
              <w:rPr>
                <w:rFonts w:hint="eastAsia"/>
                <w:lang w:val="en-US" w:eastAsia="zh-CN"/>
              </w:rPr>
            </w:pPr>
            <w:r>
              <w:rPr>
                <w:rFonts w:hint="eastAsia"/>
                <w:lang w:val="en-US" w:eastAsia="zh-CN"/>
              </w:rPr>
              <w:t>26.9</w:t>
            </w:r>
          </w:p>
        </w:tc>
        <w:tc>
          <w:tcPr>
            <w:tcW w:w="601" w:type="pct"/>
            <w:noWrap w:val="0"/>
            <w:vAlign w:val="center"/>
          </w:tcPr>
          <w:p>
            <w:pPr>
              <w:pStyle w:val="29"/>
              <w:bidi w:val="0"/>
              <w:rPr>
                <w:rFonts w:hint="eastAsia"/>
                <w:lang w:val="en-US" w:eastAsia="zh-CN"/>
              </w:rPr>
            </w:pPr>
            <w:r>
              <w:rPr>
                <w:rFonts w:hint="eastAsia"/>
                <w:lang w:val="en-US" w:eastAsia="zh-CN"/>
              </w:rPr>
              <w:t>40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top"/>
          </w:tcPr>
          <w:p>
            <w:pPr>
              <w:pStyle w:val="29"/>
              <w:bidi w:val="0"/>
            </w:pPr>
          </w:p>
        </w:tc>
        <w:tc>
          <w:tcPr>
            <w:tcW w:w="588" w:type="pct"/>
            <w:vMerge w:val="continue"/>
            <w:noWrap w:val="0"/>
            <w:vAlign w:val="top"/>
          </w:tcPr>
          <w:p>
            <w:pPr>
              <w:pStyle w:val="29"/>
              <w:bidi w:val="0"/>
            </w:pPr>
          </w:p>
        </w:tc>
        <w:tc>
          <w:tcPr>
            <w:tcW w:w="961" w:type="pct"/>
            <w:noWrap w:val="0"/>
            <w:vAlign w:val="center"/>
          </w:tcPr>
          <w:p>
            <w:pPr>
              <w:pStyle w:val="29"/>
              <w:bidi w:val="0"/>
              <w:rPr>
                <w:rFonts w:hint="eastAsia"/>
                <w:lang w:val="en-US" w:eastAsia="zh-CN"/>
              </w:rPr>
            </w:pPr>
            <w:r>
              <w:rPr>
                <w:rFonts w:hint="eastAsia"/>
                <w:lang w:val="en-US"/>
              </w:rPr>
              <w:t>五日生化需氧量</w:t>
            </w:r>
          </w:p>
        </w:tc>
        <w:tc>
          <w:tcPr>
            <w:tcW w:w="623" w:type="pct"/>
            <w:noWrap w:val="0"/>
            <w:vAlign w:val="center"/>
          </w:tcPr>
          <w:p>
            <w:pPr>
              <w:pStyle w:val="29"/>
              <w:bidi w:val="0"/>
              <w:rPr>
                <w:rFonts w:hint="eastAsia"/>
                <w:lang w:val="en-US" w:eastAsia="zh-CN"/>
              </w:rPr>
            </w:pPr>
            <w:r>
              <w:rPr>
                <w:rFonts w:hint="eastAsia"/>
                <w:lang w:val="en-US" w:eastAsia="zh-CN"/>
              </w:rPr>
              <w:t>8.6</w:t>
            </w:r>
          </w:p>
        </w:tc>
        <w:tc>
          <w:tcPr>
            <w:tcW w:w="623" w:type="pct"/>
            <w:noWrap w:val="0"/>
            <w:vAlign w:val="center"/>
          </w:tcPr>
          <w:p>
            <w:pPr>
              <w:pStyle w:val="29"/>
              <w:bidi w:val="0"/>
              <w:rPr>
                <w:rFonts w:hint="eastAsia"/>
                <w:lang w:val="en-US" w:eastAsia="zh-CN"/>
              </w:rPr>
            </w:pPr>
            <w:r>
              <w:rPr>
                <w:rFonts w:hint="eastAsia"/>
                <w:lang w:val="en-US" w:eastAsia="zh-CN"/>
              </w:rPr>
              <w:t>8.3</w:t>
            </w:r>
          </w:p>
        </w:tc>
        <w:tc>
          <w:tcPr>
            <w:tcW w:w="623" w:type="pct"/>
            <w:noWrap w:val="0"/>
            <w:vAlign w:val="center"/>
          </w:tcPr>
          <w:p>
            <w:pPr>
              <w:pStyle w:val="29"/>
              <w:bidi w:val="0"/>
              <w:rPr>
                <w:rFonts w:hint="eastAsia"/>
                <w:lang w:val="en-US" w:eastAsia="zh-CN"/>
              </w:rPr>
            </w:pPr>
            <w:r>
              <w:rPr>
                <w:rFonts w:hint="eastAsia"/>
                <w:lang w:val="en-US" w:eastAsia="zh-CN"/>
              </w:rPr>
              <w:t>8.0</w:t>
            </w:r>
          </w:p>
        </w:tc>
        <w:tc>
          <w:tcPr>
            <w:tcW w:w="634" w:type="pct"/>
            <w:noWrap w:val="0"/>
            <w:vAlign w:val="center"/>
          </w:tcPr>
          <w:p>
            <w:pPr>
              <w:pStyle w:val="29"/>
              <w:bidi w:val="0"/>
              <w:rPr>
                <w:rFonts w:hint="eastAsia"/>
                <w:lang w:val="en-US" w:eastAsia="zh-CN"/>
              </w:rPr>
            </w:pPr>
            <w:r>
              <w:rPr>
                <w:rFonts w:hint="eastAsia"/>
                <w:lang w:val="en-US" w:eastAsia="zh-CN"/>
              </w:rPr>
              <w:t>9.0</w:t>
            </w:r>
          </w:p>
        </w:tc>
        <w:tc>
          <w:tcPr>
            <w:tcW w:w="601" w:type="pct"/>
            <w:noWrap w:val="0"/>
            <w:vAlign w:val="center"/>
          </w:tcPr>
          <w:p>
            <w:pPr>
              <w:pStyle w:val="29"/>
              <w:bidi w:val="0"/>
              <w:rPr>
                <w:rFonts w:hint="eastAsia"/>
                <w:lang w:val="en-US" w:eastAsia="zh-CN"/>
              </w:rPr>
            </w:pPr>
            <w:r>
              <w:rPr>
                <w:rFonts w:hint="eastAsia"/>
                <w:lang w:val="en-US" w:eastAsia="zh-CN"/>
              </w:rPr>
              <w:t>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top"/>
          </w:tcPr>
          <w:p>
            <w:pPr>
              <w:pStyle w:val="29"/>
              <w:bidi w:val="0"/>
            </w:pPr>
          </w:p>
        </w:tc>
        <w:tc>
          <w:tcPr>
            <w:tcW w:w="588" w:type="pct"/>
            <w:vMerge w:val="continue"/>
            <w:noWrap w:val="0"/>
            <w:vAlign w:val="top"/>
          </w:tcPr>
          <w:p>
            <w:pPr>
              <w:pStyle w:val="29"/>
              <w:bidi w:val="0"/>
            </w:pPr>
          </w:p>
        </w:tc>
        <w:tc>
          <w:tcPr>
            <w:tcW w:w="961" w:type="pct"/>
            <w:noWrap w:val="0"/>
            <w:vAlign w:val="center"/>
          </w:tcPr>
          <w:p>
            <w:pPr>
              <w:pStyle w:val="29"/>
              <w:bidi w:val="0"/>
              <w:rPr>
                <w:rFonts w:hint="eastAsia"/>
                <w:lang w:val="en-US" w:eastAsia="zh-CN"/>
              </w:rPr>
            </w:pPr>
            <w:r>
              <w:rPr>
                <w:lang w:val="en-US"/>
              </w:rPr>
              <w:t>氨氮</w:t>
            </w:r>
          </w:p>
        </w:tc>
        <w:tc>
          <w:tcPr>
            <w:tcW w:w="623" w:type="pct"/>
            <w:noWrap w:val="0"/>
            <w:vAlign w:val="center"/>
          </w:tcPr>
          <w:p>
            <w:pPr>
              <w:pStyle w:val="29"/>
              <w:bidi w:val="0"/>
              <w:rPr>
                <w:rFonts w:hint="eastAsia"/>
                <w:lang w:val="en-US" w:eastAsia="zh-CN"/>
              </w:rPr>
            </w:pPr>
            <w:r>
              <w:rPr>
                <w:rFonts w:hint="eastAsia"/>
                <w:lang w:val="en-US" w:eastAsia="zh-CN"/>
              </w:rPr>
              <w:t>0.99</w:t>
            </w:r>
          </w:p>
        </w:tc>
        <w:tc>
          <w:tcPr>
            <w:tcW w:w="623" w:type="pct"/>
            <w:noWrap w:val="0"/>
            <w:vAlign w:val="center"/>
          </w:tcPr>
          <w:p>
            <w:pPr>
              <w:pStyle w:val="29"/>
              <w:bidi w:val="0"/>
              <w:rPr>
                <w:rFonts w:hint="eastAsia"/>
                <w:lang w:val="en-US" w:eastAsia="zh-CN"/>
              </w:rPr>
            </w:pPr>
            <w:r>
              <w:rPr>
                <w:rFonts w:hint="eastAsia"/>
                <w:lang w:val="en-US" w:eastAsia="zh-CN"/>
              </w:rPr>
              <w:t>1.01</w:t>
            </w:r>
          </w:p>
        </w:tc>
        <w:tc>
          <w:tcPr>
            <w:tcW w:w="623" w:type="pct"/>
            <w:noWrap w:val="0"/>
            <w:vAlign w:val="center"/>
          </w:tcPr>
          <w:p>
            <w:pPr>
              <w:pStyle w:val="29"/>
              <w:bidi w:val="0"/>
              <w:rPr>
                <w:rFonts w:hint="eastAsia"/>
                <w:lang w:val="en-US" w:eastAsia="zh-CN"/>
              </w:rPr>
            </w:pPr>
            <w:r>
              <w:rPr>
                <w:rFonts w:hint="eastAsia"/>
                <w:lang w:val="en-US" w:eastAsia="zh-CN"/>
              </w:rPr>
              <w:t>1.03</w:t>
            </w:r>
          </w:p>
        </w:tc>
        <w:tc>
          <w:tcPr>
            <w:tcW w:w="634" w:type="pct"/>
            <w:noWrap w:val="0"/>
            <w:vAlign w:val="center"/>
          </w:tcPr>
          <w:p>
            <w:pPr>
              <w:pStyle w:val="29"/>
              <w:bidi w:val="0"/>
              <w:rPr>
                <w:rFonts w:hint="eastAsia"/>
                <w:lang w:val="en-US" w:eastAsia="zh-CN"/>
              </w:rPr>
            </w:pPr>
            <w:r>
              <w:rPr>
                <w:rFonts w:hint="eastAsia"/>
                <w:lang w:val="en-US" w:eastAsia="zh-CN"/>
              </w:rPr>
              <w:t>1.01</w:t>
            </w:r>
          </w:p>
        </w:tc>
        <w:tc>
          <w:tcPr>
            <w:tcW w:w="601" w:type="pct"/>
            <w:noWrap w:val="0"/>
            <w:vAlign w:val="center"/>
          </w:tcPr>
          <w:p>
            <w:pPr>
              <w:pStyle w:val="29"/>
              <w:bidi w:val="0"/>
              <w:rPr>
                <w:rFonts w:hint="eastAsia"/>
                <w:lang w:val="en-US" w:eastAsia="zh-CN"/>
              </w:rPr>
            </w:pPr>
            <w:r>
              <w:rPr>
                <w:rFonts w:hint="eastAsia"/>
                <w:lang w:val="en-US" w:eastAsia="zh-CN"/>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top"/>
          </w:tcPr>
          <w:p>
            <w:pPr>
              <w:pStyle w:val="29"/>
              <w:bidi w:val="0"/>
            </w:pPr>
          </w:p>
        </w:tc>
        <w:tc>
          <w:tcPr>
            <w:tcW w:w="588" w:type="pct"/>
            <w:vMerge w:val="continue"/>
            <w:noWrap w:val="0"/>
            <w:vAlign w:val="top"/>
          </w:tcPr>
          <w:p>
            <w:pPr>
              <w:pStyle w:val="29"/>
              <w:bidi w:val="0"/>
            </w:pPr>
          </w:p>
        </w:tc>
        <w:tc>
          <w:tcPr>
            <w:tcW w:w="961" w:type="pct"/>
            <w:noWrap w:val="0"/>
            <w:vAlign w:val="center"/>
          </w:tcPr>
          <w:p>
            <w:pPr>
              <w:pStyle w:val="29"/>
              <w:bidi w:val="0"/>
              <w:rPr>
                <w:rFonts w:hint="eastAsia"/>
                <w:lang w:val="en-US" w:eastAsia="zh-CN"/>
              </w:rPr>
            </w:pPr>
            <w:r>
              <w:rPr>
                <w:rFonts w:hint="default"/>
                <w:lang w:val="en-US" w:eastAsia="zh-CN"/>
              </w:rPr>
              <w:t>总磷</w:t>
            </w:r>
          </w:p>
        </w:tc>
        <w:tc>
          <w:tcPr>
            <w:tcW w:w="623" w:type="pct"/>
            <w:noWrap w:val="0"/>
            <w:vAlign w:val="center"/>
          </w:tcPr>
          <w:p>
            <w:pPr>
              <w:pStyle w:val="29"/>
              <w:bidi w:val="0"/>
              <w:rPr>
                <w:rFonts w:hint="eastAsia"/>
                <w:lang w:val="en-US" w:eastAsia="zh-CN"/>
              </w:rPr>
            </w:pPr>
            <w:r>
              <w:rPr>
                <w:rFonts w:hint="eastAsia"/>
                <w:lang w:val="en-US" w:eastAsia="zh-CN"/>
              </w:rPr>
              <w:t>0.11</w:t>
            </w:r>
          </w:p>
        </w:tc>
        <w:tc>
          <w:tcPr>
            <w:tcW w:w="623" w:type="pct"/>
            <w:noWrap w:val="0"/>
            <w:vAlign w:val="center"/>
          </w:tcPr>
          <w:p>
            <w:pPr>
              <w:pStyle w:val="29"/>
              <w:bidi w:val="0"/>
              <w:rPr>
                <w:rFonts w:hint="eastAsia"/>
                <w:lang w:val="en-US" w:eastAsia="zh-CN"/>
              </w:rPr>
            </w:pPr>
            <w:r>
              <w:rPr>
                <w:rFonts w:hint="eastAsia"/>
                <w:lang w:val="en-US" w:eastAsia="zh-CN"/>
              </w:rPr>
              <w:t>0.10</w:t>
            </w:r>
          </w:p>
        </w:tc>
        <w:tc>
          <w:tcPr>
            <w:tcW w:w="623" w:type="pct"/>
            <w:noWrap w:val="0"/>
            <w:vAlign w:val="center"/>
          </w:tcPr>
          <w:p>
            <w:pPr>
              <w:pStyle w:val="29"/>
              <w:bidi w:val="0"/>
              <w:rPr>
                <w:rFonts w:hint="eastAsia"/>
                <w:lang w:val="en-US" w:eastAsia="zh-CN"/>
              </w:rPr>
            </w:pPr>
            <w:r>
              <w:rPr>
                <w:rFonts w:hint="eastAsia"/>
                <w:lang w:val="en-US" w:eastAsia="zh-CN"/>
              </w:rPr>
              <w:t>0.11</w:t>
            </w:r>
          </w:p>
        </w:tc>
        <w:tc>
          <w:tcPr>
            <w:tcW w:w="634" w:type="pct"/>
            <w:noWrap w:val="0"/>
            <w:vAlign w:val="center"/>
          </w:tcPr>
          <w:p>
            <w:pPr>
              <w:pStyle w:val="29"/>
              <w:bidi w:val="0"/>
              <w:rPr>
                <w:rFonts w:hint="eastAsia"/>
                <w:lang w:val="en-US" w:eastAsia="zh-CN"/>
              </w:rPr>
            </w:pPr>
            <w:r>
              <w:rPr>
                <w:rFonts w:hint="eastAsia"/>
                <w:lang w:val="en-US" w:eastAsia="zh-CN"/>
              </w:rPr>
              <w:t>0.11</w:t>
            </w:r>
          </w:p>
        </w:tc>
        <w:tc>
          <w:tcPr>
            <w:tcW w:w="601" w:type="pct"/>
            <w:noWrap w:val="0"/>
            <w:vAlign w:val="center"/>
          </w:tcPr>
          <w:p>
            <w:pPr>
              <w:pStyle w:val="29"/>
              <w:bidi w:val="0"/>
              <w:rPr>
                <w:rFonts w:hint="eastAsia"/>
                <w:lang w:val="en-US" w:eastAsia="zh-CN"/>
              </w:rPr>
            </w:pPr>
            <w:r>
              <w:rPr>
                <w:rFonts w:hint="eastAsia"/>
                <w:lang w:val="en-US" w:eastAsia="zh-CN"/>
              </w:rPr>
              <w:t>0.5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top"/>
          </w:tcPr>
          <w:p>
            <w:pPr>
              <w:pStyle w:val="29"/>
              <w:bidi w:val="0"/>
            </w:pPr>
          </w:p>
        </w:tc>
        <w:tc>
          <w:tcPr>
            <w:tcW w:w="588" w:type="pct"/>
            <w:vMerge w:val="continue"/>
            <w:noWrap w:val="0"/>
            <w:vAlign w:val="top"/>
          </w:tcPr>
          <w:p>
            <w:pPr>
              <w:pStyle w:val="29"/>
              <w:bidi w:val="0"/>
            </w:pPr>
          </w:p>
        </w:tc>
        <w:tc>
          <w:tcPr>
            <w:tcW w:w="961" w:type="pct"/>
            <w:noWrap w:val="0"/>
            <w:vAlign w:val="center"/>
          </w:tcPr>
          <w:p>
            <w:pPr>
              <w:pStyle w:val="29"/>
              <w:bidi w:val="0"/>
              <w:rPr>
                <w:rFonts w:hint="eastAsia"/>
                <w:lang w:val="en-US" w:eastAsia="zh-CN"/>
              </w:rPr>
            </w:pPr>
            <w:r>
              <w:rPr>
                <w:rFonts w:hint="default"/>
                <w:lang w:val="en-US" w:eastAsia="zh-CN"/>
              </w:rPr>
              <w:t>悬浮物</w:t>
            </w:r>
          </w:p>
        </w:tc>
        <w:tc>
          <w:tcPr>
            <w:tcW w:w="623" w:type="pct"/>
            <w:noWrap w:val="0"/>
            <w:vAlign w:val="center"/>
          </w:tcPr>
          <w:p>
            <w:pPr>
              <w:pStyle w:val="29"/>
              <w:bidi w:val="0"/>
              <w:rPr>
                <w:rFonts w:hint="eastAsia"/>
                <w:lang w:val="en-US" w:eastAsia="zh-CN"/>
              </w:rPr>
            </w:pPr>
            <w:r>
              <w:rPr>
                <w:rFonts w:hint="eastAsia"/>
                <w:lang w:val="en-US" w:eastAsia="zh-CN"/>
              </w:rPr>
              <w:t>8</w:t>
            </w:r>
          </w:p>
        </w:tc>
        <w:tc>
          <w:tcPr>
            <w:tcW w:w="623" w:type="pct"/>
            <w:noWrap w:val="0"/>
            <w:vAlign w:val="center"/>
          </w:tcPr>
          <w:p>
            <w:pPr>
              <w:pStyle w:val="29"/>
              <w:bidi w:val="0"/>
              <w:rPr>
                <w:rFonts w:hint="eastAsia"/>
                <w:lang w:val="en-US" w:eastAsia="zh-CN"/>
              </w:rPr>
            </w:pPr>
            <w:r>
              <w:rPr>
                <w:rFonts w:hint="eastAsia"/>
                <w:lang w:val="en-US" w:eastAsia="zh-CN"/>
              </w:rPr>
              <w:t>7</w:t>
            </w:r>
          </w:p>
        </w:tc>
        <w:tc>
          <w:tcPr>
            <w:tcW w:w="623" w:type="pct"/>
            <w:noWrap w:val="0"/>
            <w:vAlign w:val="center"/>
          </w:tcPr>
          <w:p>
            <w:pPr>
              <w:pStyle w:val="29"/>
              <w:bidi w:val="0"/>
              <w:rPr>
                <w:rFonts w:hint="eastAsia"/>
                <w:lang w:val="en-US" w:eastAsia="zh-CN"/>
              </w:rPr>
            </w:pPr>
            <w:r>
              <w:rPr>
                <w:rFonts w:hint="eastAsia"/>
                <w:lang w:val="en-US" w:eastAsia="zh-CN"/>
              </w:rPr>
              <w:t>9</w:t>
            </w:r>
          </w:p>
        </w:tc>
        <w:tc>
          <w:tcPr>
            <w:tcW w:w="634" w:type="pct"/>
            <w:noWrap w:val="0"/>
            <w:vAlign w:val="center"/>
          </w:tcPr>
          <w:p>
            <w:pPr>
              <w:pStyle w:val="29"/>
              <w:bidi w:val="0"/>
              <w:rPr>
                <w:rFonts w:hint="eastAsia"/>
                <w:lang w:val="en-US" w:eastAsia="zh-CN"/>
              </w:rPr>
            </w:pPr>
            <w:r>
              <w:rPr>
                <w:rFonts w:hint="eastAsia"/>
                <w:lang w:val="en-US" w:eastAsia="zh-CN"/>
              </w:rPr>
              <w:t>8</w:t>
            </w:r>
          </w:p>
        </w:tc>
        <w:tc>
          <w:tcPr>
            <w:tcW w:w="601" w:type="pct"/>
            <w:noWrap w:val="0"/>
            <w:vAlign w:val="center"/>
          </w:tcPr>
          <w:p>
            <w:pPr>
              <w:pStyle w:val="29"/>
              <w:bidi w:val="0"/>
              <w:rPr>
                <w:rFonts w:hint="eastAsia"/>
                <w:lang w:val="en-US" w:eastAsia="zh-CN"/>
              </w:rPr>
            </w:pPr>
            <w:r>
              <w:rPr>
                <w:rFonts w:hint="eastAsia"/>
                <w:lang w:val="en-US" w:eastAsia="zh-CN"/>
              </w:rPr>
              <w:t>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top"/>
          </w:tcPr>
          <w:p>
            <w:pPr>
              <w:pStyle w:val="29"/>
              <w:bidi w:val="0"/>
            </w:pPr>
          </w:p>
        </w:tc>
        <w:tc>
          <w:tcPr>
            <w:tcW w:w="588" w:type="pct"/>
            <w:vMerge w:val="continue"/>
            <w:noWrap w:val="0"/>
            <w:vAlign w:val="top"/>
          </w:tcPr>
          <w:p>
            <w:pPr>
              <w:pStyle w:val="29"/>
              <w:bidi w:val="0"/>
            </w:pPr>
          </w:p>
        </w:tc>
        <w:tc>
          <w:tcPr>
            <w:tcW w:w="961" w:type="pct"/>
            <w:noWrap w:val="0"/>
            <w:vAlign w:val="center"/>
          </w:tcPr>
          <w:p>
            <w:pPr>
              <w:pStyle w:val="29"/>
              <w:bidi w:val="0"/>
              <w:rPr>
                <w:rFonts w:hint="eastAsia"/>
                <w:lang w:val="en-US" w:eastAsia="zh-CN"/>
              </w:rPr>
            </w:pPr>
            <w:r>
              <w:rPr>
                <w:rFonts w:hint="eastAsia"/>
                <w:lang w:val="en-US"/>
              </w:rPr>
              <w:t>总</w:t>
            </w:r>
            <w:r>
              <w:rPr>
                <w:rFonts w:hint="eastAsia"/>
                <w:lang w:val="en-US" w:eastAsia="zh-CN"/>
              </w:rPr>
              <w:t>氮</w:t>
            </w:r>
          </w:p>
        </w:tc>
        <w:tc>
          <w:tcPr>
            <w:tcW w:w="623" w:type="pct"/>
            <w:noWrap w:val="0"/>
            <w:vAlign w:val="center"/>
          </w:tcPr>
          <w:p>
            <w:pPr>
              <w:pStyle w:val="29"/>
              <w:bidi w:val="0"/>
              <w:rPr>
                <w:rFonts w:hint="eastAsia"/>
                <w:lang w:val="en-US" w:eastAsia="zh-CN"/>
              </w:rPr>
            </w:pPr>
            <w:r>
              <w:rPr>
                <w:rFonts w:hint="eastAsia"/>
                <w:lang w:val="en-US" w:eastAsia="zh-CN"/>
              </w:rPr>
              <w:t>2.32</w:t>
            </w:r>
          </w:p>
        </w:tc>
        <w:tc>
          <w:tcPr>
            <w:tcW w:w="623" w:type="pct"/>
            <w:noWrap w:val="0"/>
            <w:vAlign w:val="center"/>
          </w:tcPr>
          <w:p>
            <w:pPr>
              <w:pStyle w:val="29"/>
              <w:bidi w:val="0"/>
              <w:rPr>
                <w:rFonts w:hint="eastAsia"/>
                <w:lang w:val="en-US" w:eastAsia="zh-CN"/>
              </w:rPr>
            </w:pPr>
            <w:r>
              <w:rPr>
                <w:rFonts w:hint="eastAsia"/>
                <w:lang w:val="en-US" w:eastAsia="zh-CN"/>
              </w:rPr>
              <w:t>2.19</w:t>
            </w:r>
          </w:p>
        </w:tc>
        <w:tc>
          <w:tcPr>
            <w:tcW w:w="623" w:type="pct"/>
            <w:noWrap w:val="0"/>
            <w:vAlign w:val="center"/>
          </w:tcPr>
          <w:p>
            <w:pPr>
              <w:pStyle w:val="29"/>
              <w:bidi w:val="0"/>
              <w:rPr>
                <w:rFonts w:hint="eastAsia"/>
                <w:lang w:val="en-US" w:eastAsia="zh-CN"/>
              </w:rPr>
            </w:pPr>
            <w:r>
              <w:rPr>
                <w:rFonts w:hint="eastAsia"/>
                <w:lang w:val="en-US" w:eastAsia="zh-CN"/>
              </w:rPr>
              <w:t>2.39</w:t>
            </w:r>
          </w:p>
        </w:tc>
        <w:tc>
          <w:tcPr>
            <w:tcW w:w="634" w:type="pct"/>
            <w:noWrap w:val="0"/>
            <w:vAlign w:val="center"/>
          </w:tcPr>
          <w:p>
            <w:pPr>
              <w:pStyle w:val="29"/>
              <w:bidi w:val="0"/>
              <w:rPr>
                <w:rFonts w:hint="eastAsia"/>
                <w:lang w:val="en-US" w:eastAsia="zh-CN"/>
              </w:rPr>
            </w:pPr>
            <w:r>
              <w:rPr>
                <w:rFonts w:hint="eastAsia"/>
                <w:lang w:val="en-US" w:eastAsia="zh-CN"/>
              </w:rPr>
              <w:t>2.46</w:t>
            </w:r>
          </w:p>
        </w:tc>
        <w:tc>
          <w:tcPr>
            <w:tcW w:w="601" w:type="pct"/>
            <w:noWrap w:val="0"/>
            <w:vAlign w:val="center"/>
          </w:tcPr>
          <w:p>
            <w:pPr>
              <w:pStyle w:val="29"/>
              <w:bidi w:val="0"/>
              <w:rPr>
                <w:rFonts w:hint="eastAsia"/>
                <w:lang w:val="en-US" w:eastAsia="zh-CN"/>
              </w:rPr>
            </w:pPr>
            <w:r>
              <w:rPr>
                <w:rFonts w:hint="eastAsia"/>
                <w:lang w:val="en-US" w:eastAsia="zh-CN"/>
              </w:rPr>
              <w:t>15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top"/>
          </w:tcPr>
          <w:p>
            <w:pPr>
              <w:pStyle w:val="29"/>
              <w:bidi w:val="0"/>
            </w:pPr>
          </w:p>
        </w:tc>
        <w:tc>
          <w:tcPr>
            <w:tcW w:w="588" w:type="pct"/>
            <w:vMerge w:val="continue"/>
            <w:noWrap w:val="0"/>
            <w:vAlign w:val="top"/>
          </w:tcPr>
          <w:p>
            <w:pPr>
              <w:pStyle w:val="29"/>
              <w:bidi w:val="0"/>
            </w:pPr>
          </w:p>
        </w:tc>
        <w:tc>
          <w:tcPr>
            <w:tcW w:w="961" w:type="pct"/>
            <w:noWrap w:val="0"/>
            <w:vAlign w:val="center"/>
          </w:tcPr>
          <w:p>
            <w:pPr>
              <w:pStyle w:val="29"/>
              <w:bidi w:val="0"/>
              <w:rPr>
                <w:rFonts w:hint="eastAsia"/>
                <w:lang w:val="en-US" w:eastAsia="zh-CN"/>
              </w:rPr>
            </w:pPr>
            <w:r>
              <w:rPr>
                <w:rFonts w:hint="default"/>
                <w:lang w:val="en-US" w:eastAsia="zh-CN"/>
              </w:rPr>
              <w:t>阴离子表面活性剂</w:t>
            </w:r>
          </w:p>
        </w:tc>
        <w:tc>
          <w:tcPr>
            <w:tcW w:w="623" w:type="pct"/>
            <w:noWrap w:val="0"/>
            <w:vAlign w:val="center"/>
          </w:tcPr>
          <w:p>
            <w:pPr>
              <w:pStyle w:val="29"/>
              <w:bidi w:val="0"/>
              <w:rPr>
                <w:rFonts w:hint="eastAsia"/>
                <w:lang w:val="en-US" w:eastAsia="zh-CN"/>
              </w:rPr>
            </w:pPr>
            <w:r>
              <w:rPr>
                <w:rFonts w:hint="eastAsia"/>
                <w:lang w:val="en-US" w:eastAsia="zh-CN"/>
              </w:rPr>
              <w:t>0.05L</w:t>
            </w:r>
          </w:p>
        </w:tc>
        <w:tc>
          <w:tcPr>
            <w:tcW w:w="623" w:type="pct"/>
            <w:noWrap w:val="0"/>
            <w:vAlign w:val="center"/>
          </w:tcPr>
          <w:p>
            <w:pPr>
              <w:pStyle w:val="29"/>
              <w:bidi w:val="0"/>
              <w:rPr>
                <w:rFonts w:hint="eastAsia"/>
                <w:lang w:val="en-US" w:eastAsia="zh-CN"/>
              </w:rPr>
            </w:pPr>
            <w:r>
              <w:rPr>
                <w:rFonts w:hint="eastAsia"/>
                <w:lang w:val="en-US" w:eastAsia="zh-CN"/>
              </w:rPr>
              <w:t>0.05L</w:t>
            </w:r>
          </w:p>
        </w:tc>
        <w:tc>
          <w:tcPr>
            <w:tcW w:w="623" w:type="pct"/>
            <w:noWrap w:val="0"/>
            <w:vAlign w:val="center"/>
          </w:tcPr>
          <w:p>
            <w:pPr>
              <w:pStyle w:val="29"/>
              <w:bidi w:val="0"/>
              <w:rPr>
                <w:rFonts w:hint="eastAsia"/>
                <w:lang w:val="en-US" w:eastAsia="zh-CN"/>
              </w:rPr>
            </w:pPr>
            <w:r>
              <w:rPr>
                <w:rFonts w:hint="eastAsia"/>
                <w:lang w:val="en-US" w:eastAsia="zh-CN"/>
              </w:rPr>
              <w:t>0.05L</w:t>
            </w:r>
          </w:p>
        </w:tc>
        <w:tc>
          <w:tcPr>
            <w:tcW w:w="634" w:type="pct"/>
            <w:noWrap w:val="0"/>
            <w:vAlign w:val="center"/>
          </w:tcPr>
          <w:p>
            <w:pPr>
              <w:pStyle w:val="29"/>
              <w:bidi w:val="0"/>
              <w:rPr>
                <w:rFonts w:hint="eastAsia"/>
                <w:lang w:val="en-US" w:eastAsia="zh-CN"/>
              </w:rPr>
            </w:pPr>
            <w:r>
              <w:rPr>
                <w:rFonts w:hint="eastAsia"/>
                <w:lang w:val="en-US" w:eastAsia="zh-CN"/>
              </w:rPr>
              <w:t>0.05L</w:t>
            </w:r>
          </w:p>
        </w:tc>
        <w:tc>
          <w:tcPr>
            <w:tcW w:w="601" w:type="pct"/>
            <w:noWrap w:val="0"/>
            <w:vAlign w:val="center"/>
          </w:tcPr>
          <w:p>
            <w:pPr>
              <w:pStyle w:val="29"/>
              <w:bidi w:val="0"/>
              <w:rPr>
                <w:rFonts w:hint="eastAsia"/>
                <w:lang w:val="en-US" w:eastAsia="zh-CN"/>
              </w:rPr>
            </w:pPr>
            <w:r>
              <w:rPr>
                <w:rFonts w:hint="eastAsia"/>
                <w:lang w:val="en-US" w:eastAsia="zh-CN"/>
              </w:rPr>
              <w:t>0.5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top"/>
          </w:tcPr>
          <w:p>
            <w:pPr>
              <w:pStyle w:val="29"/>
              <w:bidi w:val="0"/>
            </w:pPr>
          </w:p>
        </w:tc>
        <w:tc>
          <w:tcPr>
            <w:tcW w:w="588" w:type="pct"/>
            <w:vMerge w:val="continue"/>
            <w:noWrap w:val="0"/>
            <w:vAlign w:val="top"/>
          </w:tcPr>
          <w:p>
            <w:pPr>
              <w:pStyle w:val="29"/>
              <w:bidi w:val="0"/>
            </w:pPr>
          </w:p>
        </w:tc>
        <w:tc>
          <w:tcPr>
            <w:tcW w:w="961" w:type="pct"/>
            <w:noWrap w:val="0"/>
            <w:vAlign w:val="center"/>
          </w:tcPr>
          <w:p>
            <w:pPr>
              <w:pStyle w:val="29"/>
              <w:bidi w:val="0"/>
              <w:rPr>
                <w:rFonts w:hint="eastAsia"/>
                <w:lang w:val="en-US" w:eastAsia="zh-CN"/>
              </w:rPr>
            </w:pPr>
            <w:r>
              <w:rPr>
                <w:rFonts w:hint="default"/>
                <w:lang w:val="en-US" w:eastAsia="zh-CN"/>
              </w:rPr>
              <w:t>动植物油</w:t>
            </w:r>
          </w:p>
        </w:tc>
        <w:tc>
          <w:tcPr>
            <w:tcW w:w="623" w:type="pct"/>
            <w:noWrap w:val="0"/>
            <w:vAlign w:val="center"/>
          </w:tcPr>
          <w:p>
            <w:pPr>
              <w:pStyle w:val="29"/>
              <w:bidi w:val="0"/>
              <w:rPr>
                <w:rFonts w:hint="eastAsia"/>
                <w:lang w:val="en-US" w:eastAsia="zh-CN"/>
              </w:rPr>
            </w:pPr>
            <w:r>
              <w:rPr>
                <w:rFonts w:hint="eastAsia"/>
                <w:lang w:val="en-US" w:eastAsia="zh-CN"/>
              </w:rPr>
              <w:t>0.25</w:t>
            </w:r>
          </w:p>
        </w:tc>
        <w:tc>
          <w:tcPr>
            <w:tcW w:w="623" w:type="pct"/>
            <w:noWrap w:val="0"/>
            <w:vAlign w:val="center"/>
          </w:tcPr>
          <w:p>
            <w:pPr>
              <w:pStyle w:val="29"/>
              <w:bidi w:val="0"/>
              <w:rPr>
                <w:rFonts w:hint="eastAsia"/>
                <w:lang w:val="en-US" w:eastAsia="zh-CN"/>
              </w:rPr>
            </w:pPr>
            <w:r>
              <w:rPr>
                <w:rFonts w:hint="eastAsia"/>
                <w:lang w:val="en-US" w:eastAsia="zh-CN"/>
              </w:rPr>
              <w:t>0.23</w:t>
            </w:r>
          </w:p>
        </w:tc>
        <w:tc>
          <w:tcPr>
            <w:tcW w:w="623" w:type="pct"/>
            <w:noWrap w:val="0"/>
            <w:vAlign w:val="center"/>
          </w:tcPr>
          <w:p>
            <w:pPr>
              <w:pStyle w:val="29"/>
              <w:bidi w:val="0"/>
              <w:rPr>
                <w:rFonts w:hint="eastAsia"/>
                <w:lang w:val="en-US" w:eastAsia="zh-CN"/>
              </w:rPr>
            </w:pPr>
            <w:r>
              <w:rPr>
                <w:rFonts w:hint="eastAsia"/>
                <w:lang w:val="en-US" w:eastAsia="zh-CN"/>
              </w:rPr>
              <w:t>0.24</w:t>
            </w:r>
          </w:p>
        </w:tc>
        <w:tc>
          <w:tcPr>
            <w:tcW w:w="634" w:type="pct"/>
            <w:noWrap w:val="0"/>
            <w:vAlign w:val="center"/>
          </w:tcPr>
          <w:p>
            <w:pPr>
              <w:pStyle w:val="29"/>
              <w:bidi w:val="0"/>
              <w:rPr>
                <w:rFonts w:hint="eastAsia"/>
                <w:lang w:val="en-US" w:eastAsia="zh-CN"/>
              </w:rPr>
            </w:pPr>
            <w:r>
              <w:rPr>
                <w:rFonts w:hint="eastAsia"/>
                <w:lang w:val="en-US" w:eastAsia="zh-CN"/>
              </w:rPr>
              <w:t>0.21</w:t>
            </w:r>
          </w:p>
        </w:tc>
        <w:tc>
          <w:tcPr>
            <w:tcW w:w="601" w:type="pct"/>
            <w:noWrap w:val="0"/>
            <w:vAlign w:val="center"/>
          </w:tcPr>
          <w:p>
            <w:pPr>
              <w:pStyle w:val="29"/>
              <w:bidi w:val="0"/>
              <w:rPr>
                <w:rFonts w:hint="eastAsia"/>
                <w:lang w:val="en-US" w:eastAsia="zh-CN"/>
              </w:rPr>
            </w:pPr>
            <w:r>
              <w:rPr>
                <w:rFonts w:hint="eastAsia"/>
                <w:lang w:val="en-US" w:eastAsia="zh-CN"/>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top"/>
          </w:tcPr>
          <w:p>
            <w:pPr>
              <w:pStyle w:val="29"/>
              <w:bidi w:val="0"/>
            </w:pPr>
          </w:p>
        </w:tc>
        <w:tc>
          <w:tcPr>
            <w:tcW w:w="588" w:type="pct"/>
            <w:vMerge w:val="continue"/>
            <w:noWrap w:val="0"/>
            <w:vAlign w:val="top"/>
          </w:tcPr>
          <w:p>
            <w:pPr>
              <w:pStyle w:val="29"/>
              <w:bidi w:val="0"/>
            </w:pPr>
          </w:p>
        </w:tc>
        <w:tc>
          <w:tcPr>
            <w:tcW w:w="961" w:type="pct"/>
            <w:noWrap w:val="0"/>
            <w:vAlign w:val="center"/>
          </w:tcPr>
          <w:p>
            <w:pPr>
              <w:pStyle w:val="29"/>
              <w:bidi w:val="0"/>
              <w:rPr>
                <w:rFonts w:hint="eastAsia"/>
                <w:lang w:val="en-US" w:eastAsia="zh-CN"/>
              </w:rPr>
            </w:pPr>
            <w:r>
              <w:rPr>
                <w:rFonts w:hint="default"/>
                <w:lang w:val="en-US" w:eastAsia="zh-CN"/>
              </w:rPr>
              <w:t>石油类</w:t>
            </w:r>
          </w:p>
        </w:tc>
        <w:tc>
          <w:tcPr>
            <w:tcW w:w="623" w:type="pct"/>
            <w:noWrap w:val="0"/>
            <w:vAlign w:val="center"/>
          </w:tcPr>
          <w:p>
            <w:pPr>
              <w:pStyle w:val="29"/>
              <w:bidi w:val="0"/>
              <w:rPr>
                <w:rFonts w:hint="eastAsia"/>
                <w:lang w:val="en-US" w:eastAsia="zh-CN"/>
              </w:rPr>
            </w:pPr>
            <w:r>
              <w:rPr>
                <w:rFonts w:hint="eastAsia"/>
                <w:lang w:val="en-US" w:eastAsia="zh-CN"/>
              </w:rPr>
              <w:t>0.09</w:t>
            </w:r>
          </w:p>
        </w:tc>
        <w:tc>
          <w:tcPr>
            <w:tcW w:w="623" w:type="pct"/>
            <w:noWrap w:val="0"/>
            <w:vAlign w:val="center"/>
          </w:tcPr>
          <w:p>
            <w:pPr>
              <w:pStyle w:val="29"/>
              <w:bidi w:val="0"/>
              <w:rPr>
                <w:rFonts w:hint="eastAsia"/>
                <w:lang w:val="en-US" w:eastAsia="zh-CN"/>
              </w:rPr>
            </w:pPr>
            <w:r>
              <w:rPr>
                <w:rFonts w:hint="eastAsia"/>
                <w:lang w:val="en-US" w:eastAsia="zh-CN"/>
              </w:rPr>
              <w:t>0.10</w:t>
            </w:r>
          </w:p>
        </w:tc>
        <w:tc>
          <w:tcPr>
            <w:tcW w:w="623" w:type="pct"/>
            <w:noWrap w:val="0"/>
            <w:vAlign w:val="center"/>
          </w:tcPr>
          <w:p>
            <w:pPr>
              <w:pStyle w:val="29"/>
              <w:bidi w:val="0"/>
              <w:rPr>
                <w:rFonts w:hint="eastAsia"/>
                <w:lang w:val="en-US" w:eastAsia="zh-CN"/>
              </w:rPr>
            </w:pPr>
            <w:r>
              <w:rPr>
                <w:rFonts w:hint="eastAsia"/>
                <w:lang w:val="en-US" w:eastAsia="zh-CN"/>
              </w:rPr>
              <w:t>0.10</w:t>
            </w:r>
          </w:p>
        </w:tc>
        <w:tc>
          <w:tcPr>
            <w:tcW w:w="634" w:type="pct"/>
            <w:noWrap w:val="0"/>
            <w:vAlign w:val="center"/>
          </w:tcPr>
          <w:p>
            <w:pPr>
              <w:pStyle w:val="29"/>
              <w:bidi w:val="0"/>
              <w:rPr>
                <w:rFonts w:hint="eastAsia"/>
                <w:lang w:val="en-US" w:eastAsia="zh-CN"/>
              </w:rPr>
            </w:pPr>
            <w:r>
              <w:rPr>
                <w:rFonts w:hint="eastAsia"/>
                <w:lang w:val="en-US" w:eastAsia="zh-CN"/>
              </w:rPr>
              <w:t>0.11</w:t>
            </w:r>
          </w:p>
        </w:tc>
        <w:tc>
          <w:tcPr>
            <w:tcW w:w="601" w:type="pct"/>
            <w:noWrap w:val="0"/>
            <w:vAlign w:val="center"/>
          </w:tcPr>
          <w:p>
            <w:pPr>
              <w:pStyle w:val="29"/>
              <w:bidi w:val="0"/>
              <w:rPr>
                <w:rFonts w:hint="eastAsia"/>
                <w:lang w:val="en-US" w:eastAsia="zh-CN"/>
              </w:rPr>
            </w:pPr>
            <w:r>
              <w:rPr>
                <w:rFonts w:hint="eastAsia"/>
                <w:lang w:val="en-US" w:eastAsia="zh-CN"/>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top"/>
          </w:tcPr>
          <w:p>
            <w:pPr>
              <w:pStyle w:val="29"/>
              <w:bidi w:val="0"/>
            </w:pPr>
          </w:p>
        </w:tc>
        <w:tc>
          <w:tcPr>
            <w:tcW w:w="588" w:type="pct"/>
            <w:vMerge w:val="continue"/>
            <w:noWrap w:val="0"/>
            <w:vAlign w:val="top"/>
          </w:tcPr>
          <w:p>
            <w:pPr>
              <w:pStyle w:val="29"/>
              <w:bidi w:val="0"/>
            </w:pPr>
          </w:p>
        </w:tc>
        <w:tc>
          <w:tcPr>
            <w:tcW w:w="961" w:type="pct"/>
            <w:noWrap w:val="0"/>
            <w:vAlign w:val="center"/>
          </w:tcPr>
          <w:p>
            <w:pPr>
              <w:pStyle w:val="29"/>
              <w:bidi w:val="0"/>
              <w:rPr>
                <w:rFonts w:hint="eastAsia"/>
                <w:lang w:val="en-US" w:eastAsia="zh-CN"/>
              </w:rPr>
            </w:pPr>
            <w:r>
              <w:rPr>
                <w:rFonts w:hint="default"/>
                <w:lang w:val="en-US" w:eastAsia="zh-CN"/>
              </w:rPr>
              <w:t>色度</w:t>
            </w:r>
          </w:p>
        </w:tc>
        <w:tc>
          <w:tcPr>
            <w:tcW w:w="623" w:type="pct"/>
            <w:noWrap w:val="0"/>
            <w:vAlign w:val="center"/>
          </w:tcPr>
          <w:p>
            <w:pPr>
              <w:pStyle w:val="29"/>
              <w:bidi w:val="0"/>
              <w:rPr>
                <w:rFonts w:hint="eastAsia"/>
                <w:lang w:val="en-US" w:eastAsia="zh-CN"/>
              </w:rPr>
            </w:pPr>
            <w:r>
              <w:rPr>
                <w:rFonts w:hint="eastAsia"/>
                <w:lang w:val="en-US" w:eastAsia="zh-CN"/>
              </w:rPr>
              <w:t>3</w:t>
            </w:r>
          </w:p>
        </w:tc>
        <w:tc>
          <w:tcPr>
            <w:tcW w:w="623" w:type="pct"/>
            <w:noWrap w:val="0"/>
            <w:vAlign w:val="center"/>
          </w:tcPr>
          <w:p>
            <w:pPr>
              <w:pStyle w:val="29"/>
              <w:bidi w:val="0"/>
              <w:rPr>
                <w:rFonts w:hint="eastAsia"/>
                <w:lang w:val="en-US" w:eastAsia="zh-CN"/>
              </w:rPr>
            </w:pPr>
            <w:r>
              <w:rPr>
                <w:rFonts w:hint="eastAsia"/>
                <w:lang w:val="en-US" w:eastAsia="zh-CN"/>
              </w:rPr>
              <w:t>3</w:t>
            </w:r>
          </w:p>
        </w:tc>
        <w:tc>
          <w:tcPr>
            <w:tcW w:w="623" w:type="pct"/>
            <w:noWrap w:val="0"/>
            <w:vAlign w:val="center"/>
          </w:tcPr>
          <w:p>
            <w:pPr>
              <w:pStyle w:val="29"/>
              <w:bidi w:val="0"/>
              <w:rPr>
                <w:rFonts w:hint="eastAsia"/>
                <w:lang w:val="en-US" w:eastAsia="zh-CN"/>
              </w:rPr>
            </w:pPr>
            <w:r>
              <w:rPr>
                <w:rFonts w:hint="eastAsia"/>
                <w:lang w:val="en-US" w:eastAsia="zh-CN"/>
              </w:rPr>
              <w:t>3</w:t>
            </w:r>
          </w:p>
        </w:tc>
        <w:tc>
          <w:tcPr>
            <w:tcW w:w="634" w:type="pct"/>
            <w:noWrap w:val="0"/>
            <w:vAlign w:val="center"/>
          </w:tcPr>
          <w:p>
            <w:pPr>
              <w:pStyle w:val="29"/>
              <w:bidi w:val="0"/>
              <w:rPr>
                <w:rFonts w:hint="eastAsia"/>
                <w:lang w:val="en-US" w:eastAsia="zh-CN"/>
              </w:rPr>
            </w:pPr>
            <w:r>
              <w:rPr>
                <w:rFonts w:hint="eastAsia"/>
                <w:lang w:val="en-US" w:eastAsia="zh-CN"/>
              </w:rPr>
              <w:t>3</w:t>
            </w:r>
          </w:p>
        </w:tc>
        <w:tc>
          <w:tcPr>
            <w:tcW w:w="601" w:type="pct"/>
            <w:noWrap w:val="0"/>
            <w:vAlign w:val="center"/>
          </w:tcPr>
          <w:p>
            <w:pPr>
              <w:pStyle w:val="29"/>
              <w:bidi w:val="0"/>
              <w:rPr>
                <w:rFonts w:hint="eastAsia"/>
                <w:lang w:val="en-US" w:eastAsia="zh-CN"/>
              </w:rPr>
            </w:pPr>
            <w:r>
              <w:rPr>
                <w:rFonts w:hint="eastAsia"/>
                <w:lang w:val="en-US" w:eastAsia="zh-CN"/>
              </w:rPr>
              <w:t>30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top"/>
          </w:tcPr>
          <w:p>
            <w:pPr>
              <w:pStyle w:val="29"/>
              <w:bidi w:val="0"/>
            </w:pPr>
          </w:p>
        </w:tc>
        <w:tc>
          <w:tcPr>
            <w:tcW w:w="588" w:type="pct"/>
            <w:vMerge w:val="continue"/>
            <w:noWrap w:val="0"/>
            <w:vAlign w:val="top"/>
          </w:tcPr>
          <w:p>
            <w:pPr>
              <w:pStyle w:val="29"/>
              <w:bidi w:val="0"/>
            </w:pPr>
          </w:p>
        </w:tc>
        <w:tc>
          <w:tcPr>
            <w:tcW w:w="961" w:type="pct"/>
            <w:noWrap w:val="0"/>
            <w:vAlign w:val="center"/>
          </w:tcPr>
          <w:p>
            <w:pPr>
              <w:pStyle w:val="29"/>
              <w:bidi w:val="0"/>
              <w:rPr>
                <w:rFonts w:hint="eastAsia"/>
                <w:lang w:val="en-US" w:eastAsia="zh-CN"/>
              </w:rPr>
            </w:pPr>
            <w:r>
              <w:rPr>
                <w:rFonts w:hint="default"/>
                <w:lang w:val="en-US"/>
              </w:rPr>
              <w:t>六价铬</w:t>
            </w:r>
          </w:p>
        </w:tc>
        <w:tc>
          <w:tcPr>
            <w:tcW w:w="623" w:type="pct"/>
            <w:noWrap w:val="0"/>
            <w:vAlign w:val="center"/>
          </w:tcPr>
          <w:p>
            <w:pPr>
              <w:pStyle w:val="29"/>
              <w:bidi w:val="0"/>
              <w:rPr>
                <w:rFonts w:hint="eastAsia"/>
                <w:lang w:val="en-US" w:eastAsia="zh-CN"/>
              </w:rPr>
            </w:pPr>
            <w:r>
              <w:rPr>
                <w:rFonts w:hint="eastAsia"/>
                <w:lang w:val="en-US" w:eastAsia="zh-CN"/>
              </w:rPr>
              <w:t>0.020</w:t>
            </w:r>
          </w:p>
        </w:tc>
        <w:tc>
          <w:tcPr>
            <w:tcW w:w="623" w:type="pct"/>
            <w:noWrap w:val="0"/>
            <w:vAlign w:val="center"/>
          </w:tcPr>
          <w:p>
            <w:pPr>
              <w:pStyle w:val="29"/>
              <w:bidi w:val="0"/>
              <w:rPr>
                <w:rFonts w:hint="eastAsia"/>
                <w:lang w:val="en-US" w:eastAsia="zh-CN"/>
              </w:rPr>
            </w:pPr>
            <w:r>
              <w:rPr>
                <w:rFonts w:hint="eastAsia"/>
                <w:lang w:val="en-US" w:eastAsia="zh-CN"/>
              </w:rPr>
              <w:t>0.023</w:t>
            </w:r>
          </w:p>
        </w:tc>
        <w:tc>
          <w:tcPr>
            <w:tcW w:w="623" w:type="pct"/>
            <w:noWrap w:val="0"/>
            <w:vAlign w:val="center"/>
          </w:tcPr>
          <w:p>
            <w:pPr>
              <w:pStyle w:val="29"/>
              <w:bidi w:val="0"/>
              <w:rPr>
                <w:rFonts w:hint="eastAsia"/>
                <w:lang w:val="en-US" w:eastAsia="zh-CN"/>
              </w:rPr>
            </w:pPr>
            <w:r>
              <w:rPr>
                <w:rFonts w:hint="eastAsia"/>
                <w:lang w:val="en-US" w:eastAsia="zh-CN"/>
              </w:rPr>
              <w:t>0.023</w:t>
            </w:r>
          </w:p>
        </w:tc>
        <w:tc>
          <w:tcPr>
            <w:tcW w:w="634" w:type="pct"/>
            <w:noWrap w:val="0"/>
            <w:vAlign w:val="center"/>
          </w:tcPr>
          <w:p>
            <w:pPr>
              <w:pStyle w:val="29"/>
              <w:bidi w:val="0"/>
              <w:rPr>
                <w:rFonts w:hint="eastAsia"/>
                <w:lang w:val="en-US" w:eastAsia="zh-CN"/>
              </w:rPr>
            </w:pPr>
            <w:r>
              <w:rPr>
                <w:rFonts w:hint="eastAsia"/>
                <w:lang w:val="en-US" w:eastAsia="zh-CN"/>
              </w:rPr>
              <w:t>0.026</w:t>
            </w:r>
          </w:p>
        </w:tc>
        <w:tc>
          <w:tcPr>
            <w:tcW w:w="601" w:type="pct"/>
            <w:noWrap w:val="0"/>
            <w:vAlign w:val="center"/>
          </w:tcPr>
          <w:p>
            <w:pPr>
              <w:pStyle w:val="29"/>
              <w:bidi w:val="0"/>
              <w:rPr>
                <w:rFonts w:hint="eastAsia"/>
                <w:lang w:val="en-US" w:eastAsia="zh-CN"/>
              </w:rPr>
            </w:pPr>
            <w:r>
              <w:rPr>
                <w:rFonts w:hint="eastAsia"/>
                <w:lang w:val="en-US" w:eastAsia="zh-CN"/>
              </w:rPr>
              <w:t>0.05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top"/>
          </w:tcPr>
          <w:p>
            <w:pPr>
              <w:pStyle w:val="29"/>
              <w:bidi w:val="0"/>
            </w:pPr>
          </w:p>
        </w:tc>
        <w:tc>
          <w:tcPr>
            <w:tcW w:w="588" w:type="pct"/>
            <w:vMerge w:val="continue"/>
            <w:noWrap w:val="0"/>
            <w:vAlign w:val="top"/>
          </w:tcPr>
          <w:p>
            <w:pPr>
              <w:pStyle w:val="29"/>
              <w:bidi w:val="0"/>
            </w:pPr>
          </w:p>
        </w:tc>
        <w:tc>
          <w:tcPr>
            <w:tcW w:w="961" w:type="pct"/>
            <w:noWrap w:val="0"/>
            <w:vAlign w:val="center"/>
          </w:tcPr>
          <w:p>
            <w:pPr>
              <w:pStyle w:val="29"/>
              <w:bidi w:val="0"/>
              <w:rPr>
                <w:rFonts w:hint="eastAsia"/>
                <w:lang w:val="en-US" w:eastAsia="zh-CN"/>
              </w:rPr>
            </w:pPr>
            <w:r>
              <w:rPr>
                <w:rFonts w:hint="eastAsia"/>
                <w:lang w:val="en-US" w:eastAsia="zh-CN"/>
              </w:rPr>
              <w:t>氟化物</w:t>
            </w:r>
          </w:p>
        </w:tc>
        <w:tc>
          <w:tcPr>
            <w:tcW w:w="623" w:type="pct"/>
            <w:noWrap w:val="0"/>
            <w:vAlign w:val="center"/>
          </w:tcPr>
          <w:p>
            <w:pPr>
              <w:pStyle w:val="29"/>
              <w:bidi w:val="0"/>
              <w:rPr>
                <w:rFonts w:hint="eastAsia"/>
                <w:lang w:val="en-US" w:eastAsia="zh-CN"/>
              </w:rPr>
            </w:pPr>
            <w:r>
              <w:rPr>
                <w:rFonts w:hint="eastAsia"/>
                <w:lang w:val="en-US" w:eastAsia="zh-CN"/>
              </w:rPr>
              <w:t>0.108</w:t>
            </w:r>
          </w:p>
        </w:tc>
        <w:tc>
          <w:tcPr>
            <w:tcW w:w="623" w:type="pct"/>
            <w:noWrap w:val="0"/>
            <w:vAlign w:val="center"/>
          </w:tcPr>
          <w:p>
            <w:pPr>
              <w:pStyle w:val="29"/>
              <w:bidi w:val="0"/>
              <w:rPr>
                <w:rFonts w:hint="eastAsia"/>
                <w:lang w:val="en-US" w:eastAsia="zh-CN"/>
              </w:rPr>
            </w:pPr>
            <w:r>
              <w:rPr>
                <w:rFonts w:hint="eastAsia"/>
                <w:lang w:val="en-US" w:eastAsia="zh-CN"/>
              </w:rPr>
              <w:t>0.063</w:t>
            </w:r>
          </w:p>
        </w:tc>
        <w:tc>
          <w:tcPr>
            <w:tcW w:w="623" w:type="pct"/>
            <w:noWrap w:val="0"/>
            <w:vAlign w:val="center"/>
          </w:tcPr>
          <w:p>
            <w:pPr>
              <w:pStyle w:val="29"/>
              <w:bidi w:val="0"/>
              <w:rPr>
                <w:rFonts w:hint="eastAsia"/>
                <w:lang w:val="en-US" w:eastAsia="zh-CN"/>
              </w:rPr>
            </w:pPr>
            <w:r>
              <w:rPr>
                <w:rFonts w:hint="eastAsia"/>
                <w:lang w:val="en-US" w:eastAsia="zh-CN"/>
              </w:rPr>
              <w:t>0.063</w:t>
            </w:r>
          </w:p>
        </w:tc>
        <w:tc>
          <w:tcPr>
            <w:tcW w:w="634" w:type="pct"/>
            <w:noWrap w:val="0"/>
            <w:vAlign w:val="center"/>
          </w:tcPr>
          <w:p>
            <w:pPr>
              <w:pStyle w:val="29"/>
              <w:bidi w:val="0"/>
              <w:rPr>
                <w:rFonts w:hint="eastAsia"/>
                <w:lang w:val="en-US" w:eastAsia="zh-CN"/>
              </w:rPr>
            </w:pPr>
            <w:r>
              <w:rPr>
                <w:rFonts w:hint="eastAsia"/>
                <w:lang w:val="en-US" w:eastAsia="zh-CN"/>
              </w:rPr>
              <w:t>0.104</w:t>
            </w:r>
          </w:p>
        </w:tc>
        <w:tc>
          <w:tcPr>
            <w:tcW w:w="601" w:type="pct"/>
            <w:noWrap w:val="0"/>
            <w:vAlign w:val="center"/>
          </w:tcPr>
          <w:p>
            <w:pPr>
              <w:pStyle w:val="29"/>
              <w:bidi w:val="0"/>
              <w:rPr>
                <w:rFonts w:hint="eastAsia"/>
                <w:lang w:val="en-US" w:eastAsia="zh-CN"/>
              </w:rPr>
            </w:pPr>
            <w:r>
              <w:rPr>
                <w:rFonts w:hint="eastAsia"/>
                <w:lang w:val="en-US"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top"/>
          </w:tcPr>
          <w:p>
            <w:pPr>
              <w:pStyle w:val="29"/>
              <w:bidi w:val="0"/>
            </w:pPr>
          </w:p>
        </w:tc>
        <w:tc>
          <w:tcPr>
            <w:tcW w:w="588" w:type="pct"/>
            <w:vMerge w:val="continue"/>
            <w:noWrap w:val="0"/>
            <w:vAlign w:val="top"/>
          </w:tcPr>
          <w:p>
            <w:pPr>
              <w:pStyle w:val="29"/>
              <w:bidi w:val="0"/>
            </w:pPr>
          </w:p>
        </w:tc>
        <w:tc>
          <w:tcPr>
            <w:tcW w:w="961" w:type="pct"/>
            <w:noWrap w:val="0"/>
            <w:vAlign w:val="center"/>
          </w:tcPr>
          <w:p>
            <w:pPr>
              <w:pStyle w:val="29"/>
              <w:bidi w:val="0"/>
              <w:rPr>
                <w:rFonts w:hint="eastAsia"/>
                <w:lang w:val="en-US" w:eastAsia="zh-CN"/>
              </w:rPr>
            </w:pPr>
            <w:r>
              <w:rPr>
                <w:rFonts w:hint="eastAsia"/>
                <w:lang w:val="en-US" w:eastAsia="zh-CN"/>
              </w:rPr>
              <w:t>总铬①</w:t>
            </w:r>
          </w:p>
        </w:tc>
        <w:tc>
          <w:tcPr>
            <w:tcW w:w="623" w:type="pct"/>
            <w:noWrap w:val="0"/>
            <w:vAlign w:val="center"/>
          </w:tcPr>
          <w:p>
            <w:pPr>
              <w:pStyle w:val="29"/>
              <w:bidi w:val="0"/>
              <w:rPr>
                <w:rFonts w:hint="eastAsia"/>
                <w:lang w:val="en-US" w:eastAsia="zh-CN"/>
              </w:rPr>
            </w:pPr>
            <w:r>
              <w:rPr>
                <w:rFonts w:hint="eastAsia"/>
                <w:lang w:val="en-US" w:eastAsia="zh-CN"/>
              </w:rPr>
              <w:t>2.29</w:t>
            </w:r>
            <w:r>
              <w:rPr>
                <w:rFonts w:hint="default"/>
                <w:lang w:val="en-US" w:eastAsia="zh-CN"/>
              </w:rPr>
              <w:t>×10</w:t>
            </w:r>
            <w:r>
              <w:rPr>
                <w:rFonts w:hint="default"/>
                <w:vertAlign w:val="superscript"/>
                <w:lang w:val="en-US" w:eastAsia="zh-CN"/>
              </w:rPr>
              <w:t>-</w:t>
            </w:r>
            <w:r>
              <w:rPr>
                <w:rFonts w:hint="eastAsia"/>
                <w:vertAlign w:val="superscript"/>
                <w:lang w:val="en-US" w:eastAsia="zh-CN"/>
              </w:rPr>
              <w:t>3</w:t>
            </w:r>
          </w:p>
        </w:tc>
        <w:tc>
          <w:tcPr>
            <w:tcW w:w="623" w:type="pct"/>
            <w:noWrap w:val="0"/>
            <w:vAlign w:val="center"/>
          </w:tcPr>
          <w:p>
            <w:pPr>
              <w:pStyle w:val="29"/>
              <w:bidi w:val="0"/>
              <w:rPr>
                <w:rFonts w:hint="eastAsia"/>
                <w:lang w:val="en-US" w:eastAsia="zh-CN"/>
              </w:rPr>
            </w:pPr>
            <w:r>
              <w:rPr>
                <w:rFonts w:hint="eastAsia"/>
                <w:lang w:val="en-US" w:eastAsia="zh-CN"/>
              </w:rPr>
              <w:t>1.87</w:t>
            </w:r>
            <w:r>
              <w:rPr>
                <w:rFonts w:hint="default"/>
                <w:lang w:val="en-US" w:eastAsia="zh-CN"/>
              </w:rPr>
              <w:t>×10</w:t>
            </w:r>
            <w:r>
              <w:rPr>
                <w:rFonts w:hint="default"/>
                <w:vertAlign w:val="superscript"/>
                <w:lang w:val="en-US" w:eastAsia="zh-CN"/>
              </w:rPr>
              <w:t>-</w:t>
            </w:r>
            <w:r>
              <w:rPr>
                <w:rFonts w:hint="eastAsia"/>
                <w:vertAlign w:val="superscript"/>
                <w:lang w:val="en-US" w:eastAsia="zh-CN"/>
              </w:rPr>
              <w:t>3</w:t>
            </w:r>
          </w:p>
        </w:tc>
        <w:tc>
          <w:tcPr>
            <w:tcW w:w="623" w:type="pct"/>
            <w:noWrap w:val="0"/>
            <w:vAlign w:val="center"/>
          </w:tcPr>
          <w:p>
            <w:pPr>
              <w:pStyle w:val="29"/>
              <w:bidi w:val="0"/>
              <w:rPr>
                <w:rFonts w:hint="eastAsia"/>
                <w:lang w:val="en-US" w:eastAsia="zh-CN"/>
              </w:rPr>
            </w:pPr>
            <w:r>
              <w:rPr>
                <w:rFonts w:hint="eastAsia"/>
                <w:lang w:val="en-US" w:eastAsia="zh-CN"/>
              </w:rPr>
              <w:t>2.45</w:t>
            </w:r>
            <w:r>
              <w:rPr>
                <w:rFonts w:hint="default"/>
                <w:lang w:val="en-US" w:eastAsia="zh-CN"/>
              </w:rPr>
              <w:t>×10</w:t>
            </w:r>
            <w:r>
              <w:rPr>
                <w:rFonts w:hint="default"/>
                <w:vertAlign w:val="superscript"/>
                <w:lang w:val="en-US" w:eastAsia="zh-CN"/>
              </w:rPr>
              <w:t>-</w:t>
            </w:r>
            <w:r>
              <w:rPr>
                <w:rFonts w:hint="eastAsia"/>
                <w:vertAlign w:val="superscript"/>
                <w:lang w:val="en-US" w:eastAsia="zh-CN"/>
              </w:rPr>
              <w:t>3</w:t>
            </w:r>
          </w:p>
        </w:tc>
        <w:tc>
          <w:tcPr>
            <w:tcW w:w="634" w:type="pct"/>
            <w:noWrap w:val="0"/>
            <w:vAlign w:val="center"/>
          </w:tcPr>
          <w:p>
            <w:pPr>
              <w:pStyle w:val="29"/>
              <w:bidi w:val="0"/>
              <w:rPr>
                <w:rFonts w:hint="eastAsia"/>
                <w:lang w:val="en-US" w:eastAsia="zh-CN"/>
              </w:rPr>
            </w:pPr>
            <w:r>
              <w:rPr>
                <w:rFonts w:hint="eastAsia"/>
                <w:lang w:val="en-US" w:eastAsia="zh-CN"/>
              </w:rPr>
              <w:t>2.54</w:t>
            </w:r>
            <w:r>
              <w:rPr>
                <w:rFonts w:hint="default"/>
                <w:lang w:val="en-US" w:eastAsia="zh-CN"/>
              </w:rPr>
              <w:t>×10</w:t>
            </w:r>
            <w:r>
              <w:rPr>
                <w:rFonts w:hint="default"/>
                <w:vertAlign w:val="superscript"/>
                <w:lang w:val="en-US" w:eastAsia="zh-CN"/>
              </w:rPr>
              <w:t>-</w:t>
            </w:r>
            <w:r>
              <w:rPr>
                <w:rFonts w:hint="eastAsia"/>
                <w:vertAlign w:val="superscript"/>
                <w:lang w:val="en-US" w:eastAsia="zh-CN"/>
              </w:rPr>
              <w:t>3</w:t>
            </w:r>
          </w:p>
        </w:tc>
        <w:tc>
          <w:tcPr>
            <w:tcW w:w="601" w:type="pct"/>
            <w:noWrap w:val="0"/>
            <w:vAlign w:val="center"/>
          </w:tcPr>
          <w:p>
            <w:pPr>
              <w:pStyle w:val="29"/>
              <w:bidi w:val="0"/>
              <w:rPr>
                <w:rFonts w:hint="eastAsia"/>
                <w:lang w:val="en-US" w:eastAsia="zh-CN"/>
              </w:rPr>
            </w:pPr>
            <w:r>
              <w:rPr>
                <w:rFonts w:hint="eastAsia"/>
                <w:lang w:val="en-US" w:eastAsia="zh-CN"/>
              </w:rPr>
              <w:t>0.1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top"/>
          </w:tcPr>
          <w:p>
            <w:pPr>
              <w:pStyle w:val="29"/>
              <w:bidi w:val="0"/>
            </w:pPr>
          </w:p>
        </w:tc>
        <w:tc>
          <w:tcPr>
            <w:tcW w:w="588" w:type="pct"/>
            <w:vMerge w:val="continue"/>
            <w:noWrap w:val="0"/>
            <w:vAlign w:val="top"/>
          </w:tcPr>
          <w:p>
            <w:pPr>
              <w:pStyle w:val="29"/>
              <w:bidi w:val="0"/>
            </w:pPr>
          </w:p>
        </w:tc>
        <w:tc>
          <w:tcPr>
            <w:tcW w:w="961" w:type="pct"/>
            <w:noWrap w:val="0"/>
            <w:vAlign w:val="center"/>
          </w:tcPr>
          <w:p>
            <w:pPr>
              <w:pStyle w:val="29"/>
              <w:bidi w:val="0"/>
              <w:rPr>
                <w:rFonts w:hint="eastAsia"/>
                <w:lang w:val="en-US" w:eastAsia="zh-CN"/>
              </w:rPr>
            </w:pPr>
            <w:r>
              <w:rPr>
                <w:rFonts w:hint="eastAsia"/>
                <w:lang w:val="en-US" w:eastAsia="zh-CN"/>
              </w:rPr>
              <w:t>总汞①</w:t>
            </w:r>
          </w:p>
        </w:tc>
        <w:tc>
          <w:tcPr>
            <w:tcW w:w="623" w:type="pct"/>
            <w:noWrap w:val="0"/>
            <w:vAlign w:val="center"/>
          </w:tcPr>
          <w:p>
            <w:pPr>
              <w:pStyle w:val="29"/>
              <w:bidi w:val="0"/>
              <w:rPr>
                <w:rFonts w:hint="eastAsia"/>
                <w:lang w:val="en-US" w:eastAsia="zh-CN"/>
              </w:rPr>
            </w:pPr>
            <w:r>
              <w:rPr>
                <w:rFonts w:hint="eastAsia"/>
                <w:lang w:val="en-US" w:eastAsia="zh-CN"/>
              </w:rPr>
              <w:t>8</w:t>
            </w:r>
            <w:r>
              <w:rPr>
                <w:rFonts w:hint="default"/>
                <w:lang w:val="en-US" w:eastAsia="zh-CN"/>
              </w:rPr>
              <w:t>×10</w:t>
            </w:r>
            <w:r>
              <w:rPr>
                <w:rFonts w:hint="default"/>
                <w:vertAlign w:val="superscript"/>
                <w:lang w:val="en-US" w:eastAsia="zh-CN"/>
              </w:rPr>
              <w:t>-</w:t>
            </w:r>
            <w:r>
              <w:rPr>
                <w:rFonts w:hint="eastAsia"/>
                <w:vertAlign w:val="superscript"/>
                <w:lang w:val="en-US" w:eastAsia="zh-CN"/>
              </w:rPr>
              <w:t>5</w:t>
            </w:r>
          </w:p>
        </w:tc>
        <w:tc>
          <w:tcPr>
            <w:tcW w:w="623" w:type="pct"/>
            <w:noWrap w:val="0"/>
            <w:vAlign w:val="center"/>
          </w:tcPr>
          <w:p>
            <w:pPr>
              <w:pStyle w:val="29"/>
              <w:bidi w:val="0"/>
              <w:rPr>
                <w:rFonts w:hint="eastAsia"/>
                <w:lang w:val="en-US" w:eastAsia="zh-CN"/>
              </w:rPr>
            </w:pPr>
            <w:r>
              <w:rPr>
                <w:rFonts w:hint="eastAsia"/>
                <w:lang w:val="en-US" w:eastAsia="zh-CN"/>
              </w:rPr>
              <w:t>8</w:t>
            </w:r>
            <w:r>
              <w:rPr>
                <w:rFonts w:hint="default"/>
                <w:lang w:val="en-US" w:eastAsia="zh-CN"/>
              </w:rPr>
              <w:t>×10</w:t>
            </w:r>
            <w:r>
              <w:rPr>
                <w:rFonts w:hint="default"/>
                <w:vertAlign w:val="superscript"/>
                <w:lang w:val="en-US" w:eastAsia="zh-CN"/>
              </w:rPr>
              <w:t>-</w:t>
            </w:r>
            <w:r>
              <w:rPr>
                <w:rFonts w:hint="eastAsia"/>
                <w:vertAlign w:val="superscript"/>
                <w:lang w:val="en-US" w:eastAsia="zh-CN"/>
              </w:rPr>
              <w:t>5</w:t>
            </w:r>
          </w:p>
        </w:tc>
        <w:tc>
          <w:tcPr>
            <w:tcW w:w="623" w:type="pct"/>
            <w:noWrap w:val="0"/>
            <w:vAlign w:val="center"/>
          </w:tcPr>
          <w:p>
            <w:pPr>
              <w:pStyle w:val="29"/>
              <w:bidi w:val="0"/>
              <w:rPr>
                <w:rFonts w:hint="eastAsia"/>
                <w:lang w:val="en-US" w:eastAsia="zh-CN"/>
              </w:rPr>
            </w:pPr>
            <w:r>
              <w:rPr>
                <w:rFonts w:hint="eastAsia"/>
                <w:lang w:val="en-US" w:eastAsia="zh-CN"/>
              </w:rPr>
              <w:t>8</w:t>
            </w:r>
            <w:r>
              <w:rPr>
                <w:rFonts w:hint="default"/>
                <w:lang w:val="en-US" w:eastAsia="zh-CN"/>
              </w:rPr>
              <w:t>×10</w:t>
            </w:r>
            <w:r>
              <w:rPr>
                <w:rFonts w:hint="default"/>
                <w:vertAlign w:val="superscript"/>
                <w:lang w:val="en-US" w:eastAsia="zh-CN"/>
              </w:rPr>
              <w:t>-</w:t>
            </w:r>
            <w:r>
              <w:rPr>
                <w:rFonts w:hint="eastAsia"/>
                <w:vertAlign w:val="superscript"/>
                <w:lang w:val="en-US" w:eastAsia="zh-CN"/>
              </w:rPr>
              <w:t>5</w:t>
            </w:r>
          </w:p>
        </w:tc>
        <w:tc>
          <w:tcPr>
            <w:tcW w:w="634" w:type="pct"/>
            <w:noWrap w:val="0"/>
            <w:vAlign w:val="center"/>
          </w:tcPr>
          <w:p>
            <w:pPr>
              <w:pStyle w:val="29"/>
              <w:bidi w:val="0"/>
              <w:rPr>
                <w:rFonts w:hint="eastAsia"/>
                <w:lang w:val="en-US" w:eastAsia="zh-CN"/>
              </w:rPr>
            </w:pPr>
            <w:r>
              <w:rPr>
                <w:rFonts w:hint="eastAsia"/>
                <w:lang w:val="en-US" w:eastAsia="zh-CN"/>
              </w:rPr>
              <w:t>7</w:t>
            </w:r>
            <w:r>
              <w:rPr>
                <w:rFonts w:hint="default"/>
                <w:lang w:val="en-US" w:eastAsia="zh-CN"/>
              </w:rPr>
              <w:t>×10</w:t>
            </w:r>
            <w:r>
              <w:rPr>
                <w:rFonts w:hint="default"/>
                <w:vertAlign w:val="superscript"/>
                <w:lang w:val="en-US" w:eastAsia="zh-CN"/>
              </w:rPr>
              <w:t>-</w:t>
            </w:r>
            <w:r>
              <w:rPr>
                <w:rFonts w:hint="eastAsia"/>
                <w:vertAlign w:val="superscript"/>
                <w:lang w:val="en-US" w:eastAsia="zh-CN"/>
              </w:rPr>
              <w:t>5</w:t>
            </w:r>
          </w:p>
        </w:tc>
        <w:tc>
          <w:tcPr>
            <w:tcW w:w="601" w:type="pct"/>
            <w:noWrap w:val="0"/>
            <w:vAlign w:val="center"/>
          </w:tcPr>
          <w:p>
            <w:pPr>
              <w:pStyle w:val="29"/>
              <w:bidi w:val="0"/>
              <w:rPr>
                <w:rFonts w:hint="eastAsia"/>
                <w:lang w:val="en-US" w:eastAsia="zh-CN"/>
              </w:rPr>
            </w:pPr>
            <w:r>
              <w:rPr>
                <w:rFonts w:hint="eastAsia"/>
                <w:lang w:val="en-US" w:eastAsia="zh-CN"/>
              </w:rPr>
              <w:t>0.001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top"/>
          </w:tcPr>
          <w:p>
            <w:pPr>
              <w:pStyle w:val="29"/>
              <w:bidi w:val="0"/>
            </w:pPr>
          </w:p>
        </w:tc>
        <w:tc>
          <w:tcPr>
            <w:tcW w:w="588" w:type="pct"/>
            <w:vMerge w:val="continue"/>
            <w:noWrap w:val="0"/>
            <w:vAlign w:val="top"/>
          </w:tcPr>
          <w:p>
            <w:pPr>
              <w:pStyle w:val="29"/>
              <w:bidi w:val="0"/>
            </w:pPr>
          </w:p>
        </w:tc>
        <w:tc>
          <w:tcPr>
            <w:tcW w:w="961" w:type="pct"/>
            <w:noWrap w:val="0"/>
            <w:vAlign w:val="center"/>
          </w:tcPr>
          <w:p>
            <w:pPr>
              <w:pStyle w:val="29"/>
              <w:bidi w:val="0"/>
              <w:rPr>
                <w:rFonts w:hint="eastAsia"/>
                <w:lang w:val="en-US" w:eastAsia="zh-CN"/>
              </w:rPr>
            </w:pPr>
            <w:r>
              <w:rPr>
                <w:rFonts w:hint="eastAsia"/>
                <w:lang w:val="en-US" w:eastAsia="zh-CN"/>
              </w:rPr>
              <w:t>总镉①</w:t>
            </w:r>
          </w:p>
        </w:tc>
        <w:tc>
          <w:tcPr>
            <w:tcW w:w="623" w:type="pct"/>
            <w:noWrap w:val="0"/>
            <w:vAlign w:val="center"/>
          </w:tcPr>
          <w:p>
            <w:pPr>
              <w:pStyle w:val="29"/>
              <w:bidi w:val="0"/>
              <w:rPr>
                <w:rFonts w:hint="eastAsia"/>
                <w:lang w:val="en-US" w:eastAsia="zh-CN"/>
              </w:rPr>
            </w:pPr>
            <w:r>
              <w:rPr>
                <w:rFonts w:hint="eastAsia"/>
                <w:lang w:val="en-US" w:eastAsia="zh-CN"/>
              </w:rPr>
              <w:t>1.0</w:t>
            </w:r>
            <w:r>
              <w:rPr>
                <w:rFonts w:hint="default"/>
                <w:lang w:val="en-US" w:eastAsia="zh-CN"/>
              </w:rPr>
              <w:t>×10</w:t>
            </w:r>
            <w:r>
              <w:rPr>
                <w:rFonts w:hint="default"/>
                <w:vertAlign w:val="superscript"/>
                <w:lang w:val="en-US" w:eastAsia="zh-CN"/>
              </w:rPr>
              <w:t>-</w:t>
            </w:r>
            <w:r>
              <w:rPr>
                <w:rFonts w:hint="eastAsia"/>
                <w:vertAlign w:val="superscript"/>
                <w:lang w:val="en-US" w:eastAsia="zh-CN"/>
              </w:rPr>
              <w:t>4</w:t>
            </w:r>
          </w:p>
        </w:tc>
        <w:tc>
          <w:tcPr>
            <w:tcW w:w="623" w:type="pct"/>
            <w:noWrap w:val="0"/>
            <w:vAlign w:val="center"/>
          </w:tcPr>
          <w:p>
            <w:pPr>
              <w:pStyle w:val="29"/>
              <w:bidi w:val="0"/>
              <w:rPr>
                <w:rFonts w:hint="eastAsia"/>
                <w:lang w:val="en-US" w:eastAsia="zh-CN"/>
              </w:rPr>
            </w:pPr>
            <w:r>
              <w:rPr>
                <w:rFonts w:hint="eastAsia"/>
                <w:lang w:val="en-US" w:eastAsia="zh-CN"/>
              </w:rPr>
              <w:t>8</w:t>
            </w:r>
            <w:r>
              <w:rPr>
                <w:rFonts w:hint="default"/>
                <w:lang w:val="en-US" w:eastAsia="zh-CN"/>
              </w:rPr>
              <w:t>×10</w:t>
            </w:r>
            <w:r>
              <w:rPr>
                <w:rFonts w:hint="default"/>
                <w:vertAlign w:val="superscript"/>
                <w:lang w:val="en-US" w:eastAsia="zh-CN"/>
              </w:rPr>
              <w:t>-</w:t>
            </w:r>
            <w:r>
              <w:rPr>
                <w:rFonts w:hint="eastAsia"/>
                <w:vertAlign w:val="superscript"/>
                <w:lang w:val="en-US" w:eastAsia="zh-CN"/>
              </w:rPr>
              <w:t>5</w:t>
            </w:r>
          </w:p>
        </w:tc>
        <w:tc>
          <w:tcPr>
            <w:tcW w:w="623" w:type="pct"/>
            <w:noWrap w:val="0"/>
            <w:vAlign w:val="center"/>
          </w:tcPr>
          <w:p>
            <w:pPr>
              <w:pStyle w:val="29"/>
              <w:bidi w:val="0"/>
              <w:rPr>
                <w:rFonts w:hint="eastAsia"/>
                <w:lang w:val="en-US" w:eastAsia="zh-CN"/>
              </w:rPr>
            </w:pPr>
            <w:r>
              <w:rPr>
                <w:rFonts w:hint="eastAsia"/>
                <w:lang w:val="en-US" w:eastAsia="zh-CN"/>
              </w:rPr>
              <w:t>5</w:t>
            </w:r>
            <w:r>
              <w:rPr>
                <w:rFonts w:hint="default"/>
                <w:lang w:val="en-US" w:eastAsia="zh-CN"/>
              </w:rPr>
              <w:t>×10</w:t>
            </w:r>
            <w:r>
              <w:rPr>
                <w:rFonts w:hint="default"/>
                <w:vertAlign w:val="superscript"/>
                <w:lang w:val="en-US" w:eastAsia="zh-CN"/>
              </w:rPr>
              <w:t>-</w:t>
            </w:r>
            <w:r>
              <w:rPr>
                <w:rFonts w:hint="eastAsia"/>
                <w:vertAlign w:val="superscript"/>
                <w:lang w:val="en-US" w:eastAsia="zh-CN"/>
              </w:rPr>
              <w:t>5</w:t>
            </w:r>
            <w:r>
              <w:rPr>
                <w:rFonts w:hint="eastAsia"/>
                <w:lang w:val="en-US" w:eastAsia="zh-CN"/>
              </w:rPr>
              <w:t>L</w:t>
            </w:r>
          </w:p>
        </w:tc>
        <w:tc>
          <w:tcPr>
            <w:tcW w:w="634" w:type="pct"/>
            <w:noWrap w:val="0"/>
            <w:vAlign w:val="center"/>
          </w:tcPr>
          <w:p>
            <w:pPr>
              <w:pStyle w:val="29"/>
              <w:bidi w:val="0"/>
              <w:rPr>
                <w:rFonts w:hint="eastAsia"/>
                <w:lang w:val="en-US" w:eastAsia="zh-CN"/>
              </w:rPr>
            </w:pPr>
            <w:r>
              <w:rPr>
                <w:rFonts w:hint="eastAsia"/>
                <w:lang w:val="en-US" w:eastAsia="zh-CN"/>
              </w:rPr>
              <w:t>5</w:t>
            </w:r>
            <w:r>
              <w:rPr>
                <w:rFonts w:hint="default"/>
                <w:lang w:val="en-US" w:eastAsia="zh-CN"/>
              </w:rPr>
              <w:t>×10</w:t>
            </w:r>
            <w:r>
              <w:rPr>
                <w:rFonts w:hint="default"/>
                <w:vertAlign w:val="superscript"/>
                <w:lang w:val="en-US" w:eastAsia="zh-CN"/>
              </w:rPr>
              <w:t>-</w:t>
            </w:r>
            <w:r>
              <w:rPr>
                <w:rFonts w:hint="eastAsia"/>
                <w:vertAlign w:val="superscript"/>
                <w:lang w:val="en-US" w:eastAsia="zh-CN"/>
              </w:rPr>
              <w:t>5</w:t>
            </w:r>
            <w:r>
              <w:rPr>
                <w:rFonts w:hint="eastAsia"/>
                <w:lang w:val="en-US" w:eastAsia="zh-CN"/>
              </w:rPr>
              <w:t>L</w:t>
            </w:r>
          </w:p>
        </w:tc>
        <w:tc>
          <w:tcPr>
            <w:tcW w:w="601" w:type="pct"/>
            <w:noWrap w:val="0"/>
            <w:vAlign w:val="center"/>
          </w:tcPr>
          <w:p>
            <w:pPr>
              <w:pStyle w:val="29"/>
              <w:bidi w:val="0"/>
              <w:rPr>
                <w:rFonts w:hint="eastAsia"/>
                <w:lang w:val="en-US" w:eastAsia="zh-CN"/>
              </w:rPr>
            </w:pPr>
            <w:r>
              <w:rPr>
                <w:rFonts w:hint="eastAsia"/>
                <w:lang w:val="en-US" w:eastAsia="zh-CN"/>
              </w:rPr>
              <w:t>0.01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top"/>
          </w:tcPr>
          <w:p>
            <w:pPr>
              <w:pStyle w:val="29"/>
              <w:bidi w:val="0"/>
            </w:pPr>
          </w:p>
        </w:tc>
        <w:tc>
          <w:tcPr>
            <w:tcW w:w="588" w:type="pct"/>
            <w:vMerge w:val="continue"/>
            <w:noWrap w:val="0"/>
            <w:vAlign w:val="top"/>
          </w:tcPr>
          <w:p>
            <w:pPr>
              <w:pStyle w:val="29"/>
              <w:bidi w:val="0"/>
            </w:pPr>
          </w:p>
        </w:tc>
        <w:tc>
          <w:tcPr>
            <w:tcW w:w="961" w:type="pct"/>
            <w:noWrap w:val="0"/>
            <w:vAlign w:val="center"/>
          </w:tcPr>
          <w:p>
            <w:pPr>
              <w:pStyle w:val="29"/>
              <w:bidi w:val="0"/>
              <w:rPr>
                <w:rFonts w:hint="eastAsia"/>
                <w:lang w:val="en-US" w:eastAsia="zh-CN"/>
              </w:rPr>
            </w:pPr>
            <w:r>
              <w:rPr>
                <w:rFonts w:hint="eastAsia"/>
                <w:lang w:val="en-US" w:eastAsia="zh-CN"/>
              </w:rPr>
              <w:t>总砷①</w:t>
            </w:r>
          </w:p>
        </w:tc>
        <w:tc>
          <w:tcPr>
            <w:tcW w:w="623" w:type="pct"/>
            <w:noWrap w:val="0"/>
            <w:vAlign w:val="center"/>
          </w:tcPr>
          <w:p>
            <w:pPr>
              <w:pStyle w:val="29"/>
              <w:bidi w:val="0"/>
              <w:rPr>
                <w:rFonts w:hint="eastAsia"/>
                <w:lang w:val="en-US" w:eastAsia="zh-CN"/>
              </w:rPr>
            </w:pPr>
            <w:r>
              <w:rPr>
                <w:rFonts w:hint="eastAsia"/>
                <w:lang w:val="en-US" w:eastAsia="zh-CN"/>
              </w:rPr>
              <w:t>2.8</w:t>
            </w:r>
            <w:r>
              <w:rPr>
                <w:rFonts w:hint="default"/>
                <w:lang w:val="en-US" w:eastAsia="zh-CN"/>
              </w:rPr>
              <w:t>×10</w:t>
            </w:r>
            <w:r>
              <w:rPr>
                <w:rFonts w:hint="default"/>
                <w:vertAlign w:val="superscript"/>
                <w:lang w:val="en-US" w:eastAsia="zh-CN"/>
              </w:rPr>
              <w:t>-</w:t>
            </w:r>
            <w:r>
              <w:rPr>
                <w:rFonts w:hint="eastAsia"/>
                <w:vertAlign w:val="superscript"/>
                <w:lang w:val="en-US" w:eastAsia="zh-CN"/>
              </w:rPr>
              <w:t>4</w:t>
            </w:r>
          </w:p>
        </w:tc>
        <w:tc>
          <w:tcPr>
            <w:tcW w:w="623" w:type="pct"/>
            <w:noWrap w:val="0"/>
            <w:vAlign w:val="center"/>
          </w:tcPr>
          <w:p>
            <w:pPr>
              <w:pStyle w:val="29"/>
              <w:bidi w:val="0"/>
              <w:rPr>
                <w:rFonts w:hint="eastAsia"/>
                <w:lang w:val="en-US" w:eastAsia="zh-CN"/>
              </w:rPr>
            </w:pPr>
            <w:r>
              <w:rPr>
                <w:rFonts w:hint="eastAsia"/>
                <w:lang w:val="en-US" w:eastAsia="zh-CN"/>
              </w:rPr>
              <w:t>3.8</w:t>
            </w:r>
            <w:r>
              <w:rPr>
                <w:rFonts w:hint="default"/>
                <w:lang w:val="en-US" w:eastAsia="zh-CN"/>
              </w:rPr>
              <w:t>×10</w:t>
            </w:r>
            <w:r>
              <w:rPr>
                <w:rFonts w:hint="default"/>
                <w:vertAlign w:val="superscript"/>
                <w:lang w:val="en-US" w:eastAsia="zh-CN"/>
              </w:rPr>
              <w:t>-</w:t>
            </w:r>
            <w:r>
              <w:rPr>
                <w:rFonts w:hint="eastAsia"/>
                <w:vertAlign w:val="superscript"/>
                <w:lang w:val="en-US" w:eastAsia="zh-CN"/>
              </w:rPr>
              <w:t>4</w:t>
            </w:r>
          </w:p>
        </w:tc>
        <w:tc>
          <w:tcPr>
            <w:tcW w:w="623" w:type="pct"/>
            <w:noWrap w:val="0"/>
            <w:vAlign w:val="center"/>
          </w:tcPr>
          <w:p>
            <w:pPr>
              <w:pStyle w:val="29"/>
              <w:bidi w:val="0"/>
              <w:rPr>
                <w:rFonts w:hint="eastAsia"/>
                <w:lang w:val="en-US" w:eastAsia="zh-CN"/>
              </w:rPr>
            </w:pPr>
            <w:r>
              <w:rPr>
                <w:rFonts w:hint="eastAsia"/>
                <w:lang w:val="en-US" w:eastAsia="zh-CN"/>
              </w:rPr>
              <w:t>2.9</w:t>
            </w:r>
            <w:r>
              <w:rPr>
                <w:rFonts w:hint="default"/>
                <w:lang w:val="en-US" w:eastAsia="zh-CN"/>
              </w:rPr>
              <w:t>×10</w:t>
            </w:r>
            <w:r>
              <w:rPr>
                <w:rFonts w:hint="default"/>
                <w:vertAlign w:val="superscript"/>
                <w:lang w:val="en-US" w:eastAsia="zh-CN"/>
              </w:rPr>
              <w:t>-</w:t>
            </w:r>
            <w:r>
              <w:rPr>
                <w:rFonts w:hint="eastAsia"/>
                <w:vertAlign w:val="superscript"/>
                <w:lang w:val="en-US" w:eastAsia="zh-CN"/>
              </w:rPr>
              <w:t>4</w:t>
            </w:r>
          </w:p>
        </w:tc>
        <w:tc>
          <w:tcPr>
            <w:tcW w:w="634" w:type="pct"/>
            <w:noWrap w:val="0"/>
            <w:vAlign w:val="center"/>
          </w:tcPr>
          <w:p>
            <w:pPr>
              <w:pStyle w:val="29"/>
              <w:bidi w:val="0"/>
              <w:rPr>
                <w:rFonts w:hint="eastAsia"/>
                <w:lang w:val="en-US" w:eastAsia="zh-CN"/>
              </w:rPr>
            </w:pPr>
            <w:r>
              <w:rPr>
                <w:rFonts w:hint="eastAsia"/>
                <w:lang w:val="en-US" w:eastAsia="zh-CN"/>
              </w:rPr>
              <w:t>3.0</w:t>
            </w:r>
            <w:r>
              <w:rPr>
                <w:rFonts w:hint="default"/>
                <w:lang w:val="en-US" w:eastAsia="zh-CN"/>
              </w:rPr>
              <w:t>×10</w:t>
            </w:r>
            <w:r>
              <w:rPr>
                <w:rFonts w:hint="default"/>
                <w:vertAlign w:val="superscript"/>
                <w:lang w:val="en-US" w:eastAsia="zh-CN"/>
              </w:rPr>
              <w:t>-</w:t>
            </w:r>
            <w:r>
              <w:rPr>
                <w:rFonts w:hint="eastAsia"/>
                <w:vertAlign w:val="superscript"/>
                <w:lang w:val="en-US" w:eastAsia="zh-CN"/>
              </w:rPr>
              <w:t>4</w:t>
            </w:r>
          </w:p>
        </w:tc>
        <w:tc>
          <w:tcPr>
            <w:tcW w:w="601" w:type="pct"/>
            <w:noWrap w:val="0"/>
            <w:vAlign w:val="center"/>
          </w:tcPr>
          <w:p>
            <w:pPr>
              <w:pStyle w:val="29"/>
              <w:bidi w:val="0"/>
              <w:rPr>
                <w:rFonts w:hint="eastAsia"/>
                <w:lang w:val="en-US" w:eastAsia="zh-CN"/>
              </w:rPr>
            </w:pPr>
            <w:r>
              <w:rPr>
                <w:rFonts w:hint="eastAsia"/>
                <w:lang w:val="en-US" w:eastAsia="zh-CN"/>
              </w:rPr>
              <w:t>0.1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top"/>
          </w:tcPr>
          <w:p>
            <w:pPr>
              <w:pStyle w:val="29"/>
              <w:bidi w:val="0"/>
            </w:pPr>
          </w:p>
        </w:tc>
        <w:tc>
          <w:tcPr>
            <w:tcW w:w="588" w:type="pct"/>
            <w:vMerge w:val="continue"/>
            <w:noWrap w:val="0"/>
            <w:vAlign w:val="top"/>
          </w:tcPr>
          <w:p>
            <w:pPr>
              <w:pStyle w:val="29"/>
              <w:bidi w:val="0"/>
            </w:pPr>
          </w:p>
        </w:tc>
        <w:tc>
          <w:tcPr>
            <w:tcW w:w="961" w:type="pct"/>
            <w:noWrap w:val="0"/>
            <w:vAlign w:val="center"/>
          </w:tcPr>
          <w:p>
            <w:pPr>
              <w:pStyle w:val="29"/>
              <w:bidi w:val="0"/>
              <w:rPr>
                <w:rFonts w:hint="eastAsia"/>
                <w:lang w:val="en-US" w:eastAsia="zh-CN"/>
              </w:rPr>
            </w:pPr>
            <w:r>
              <w:rPr>
                <w:rFonts w:hint="eastAsia"/>
                <w:lang w:val="en-US" w:eastAsia="zh-CN"/>
              </w:rPr>
              <w:t>总铅①</w:t>
            </w:r>
          </w:p>
        </w:tc>
        <w:tc>
          <w:tcPr>
            <w:tcW w:w="623" w:type="pct"/>
            <w:noWrap w:val="0"/>
            <w:vAlign w:val="center"/>
          </w:tcPr>
          <w:p>
            <w:pPr>
              <w:pStyle w:val="29"/>
              <w:bidi w:val="0"/>
              <w:rPr>
                <w:rFonts w:hint="eastAsia"/>
                <w:lang w:val="en-US" w:eastAsia="zh-CN"/>
              </w:rPr>
            </w:pPr>
            <w:r>
              <w:rPr>
                <w:rFonts w:hint="eastAsia"/>
                <w:lang w:val="en-US" w:eastAsia="zh-CN"/>
              </w:rPr>
              <w:t>1.7</w:t>
            </w:r>
            <w:r>
              <w:rPr>
                <w:rFonts w:hint="default"/>
                <w:lang w:val="en-US" w:eastAsia="zh-CN"/>
              </w:rPr>
              <w:t>×10</w:t>
            </w:r>
            <w:r>
              <w:rPr>
                <w:rFonts w:hint="default"/>
                <w:vertAlign w:val="superscript"/>
                <w:lang w:val="en-US" w:eastAsia="zh-CN"/>
              </w:rPr>
              <w:t>-</w:t>
            </w:r>
            <w:r>
              <w:rPr>
                <w:rFonts w:hint="eastAsia"/>
                <w:vertAlign w:val="superscript"/>
                <w:lang w:val="en-US" w:eastAsia="zh-CN"/>
              </w:rPr>
              <w:t>4</w:t>
            </w:r>
          </w:p>
        </w:tc>
        <w:tc>
          <w:tcPr>
            <w:tcW w:w="623" w:type="pct"/>
            <w:noWrap w:val="0"/>
            <w:vAlign w:val="center"/>
          </w:tcPr>
          <w:p>
            <w:pPr>
              <w:pStyle w:val="29"/>
              <w:bidi w:val="0"/>
              <w:rPr>
                <w:rFonts w:hint="eastAsia"/>
                <w:lang w:val="en-US" w:eastAsia="zh-CN"/>
              </w:rPr>
            </w:pPr>
            <w:r>
              <w:rPr>
                <w:rFonts w:hint="eastAsia"/>
                <w:lang w:val="en-US" w:eastAsia="zh-CN"/>
              </w:rPr>
              <w:t>9</w:t>
            </w:r>
            <w:r>
              <w:rPr>
                <w:rFonts w:hint="default"/>
                <w:lang w:val="en-US" w:eastAsia="zh-CN"/>
              </w:rPr>
              <w:t>×10</w:t>
            </w:r>
            <w:r>
              <w:rPr>
                <w:rFonts w:hint="default"/>
                <w:vertAlign w:val="superscript"/>
                <w:lang w:val="en-US" w:eastAsia="zh-CN"/>
              </w:rPr>
              <w:t>-</w:t>
            </w:r>
            <w:r>
              <w:rPr>
                <w:rFonts w:hint="eastAsia"/>
                <w:vertAlign w:val="superscript"/>
                <w:lang w:val="en-US" w:eastAsia="zh-CN"/>
              </w:rPr>
              <w:t>5</w:t>
            </w:r>
            <w:r>
              <w:rPr>
                <w:rFonts w:hint="eastAsia"/>
                <w:lang w:val="en-US" w:eastAsia="zh-CN"/>
              </w:rPr>
              <w:t>L</w:t>
            </w:r>
          </w:p>
        </w:tc>
        <w:tc>
          <w:tcPr>
            <w:tcW w:w="623" w:type="pct"/>
            <w:noWrap w:val="0"/>
            <w:vAlign w:val="center"/>
          </w:tcPr>
          <w:p>
            <w:pPr>
              <w:pStyle w:val="29"/>
              <w:bidi w:val="0"/>
              <w:rPr>
                <w:rFonts w:hint="eastAsia"/>
                <w:lang w:val="en-US" w:eastAsia="zh-CN"/>
              </w:rPr>
            </w:pPr>
            <w:r>
              <w:rPr>
                <w:rFonts w:hint="eastAsia"/>
                <w:lang w:val="en-US" w:eastAsia="zh-CN"/>
              </w:rPr>
              <w:t>9</w:t>
            </w:r>
            <w:r>
              <w:rPr>
                <w:rFonts w:hint="default"/>
                <w:lang w:val="en-US" w:eastAsia="zh-CN"/>
              </w:rPr>
              <w:t>×10</w:t>
            </w:r>
            <w:r>
              <w:rPr>
                <w:rFonts w:hint="default"/>
                <w:vertAlign w:val="superscript"/>
                <w:lang w:val="en-US" w:eastAsia="zh-CN"/>
              </w:rPr>
              <w:t>-</w:t>
            </w:r>
            <w:r>
              <w:rPr>
                <w:rFonts w:hint="eastAsia"/>
                <w:vertAlign w:val="superscript"/>
                <w:lang w:val="en-US" w:eastAsia="zh-CN"/>
              </w:rPr>
              <w:t>5</w:t>
            </w:r>
          </w:p>
        </w:tc>
        <w:tc>
          <w:tcPr>
            <w:tcW w:w="634" w:type="pct"/>
            <w:noWrap w:val="0"/>
            <w:vAlign w:val="center"/>
          </w:tcPr>
          <w:p>
            <w:pPr>
              <w:pStyle w:val="29"/>
              <w:bidi w:val="0"/>
              <w:rPr>
                <w:rFonts w:hint="eastAsia"/>
                <w:lang w:val="en-US" w:eastAsia="zh-CN"/>
              </w:rPr>
            </w:pPr>
            <w:r>
              <w:rPr>
                <w:rFonts w:hint="eastAsia"/>
                <w:lang w:val="en-US" w:eastAsia="zh-CN"/>
              </w:rPr>
              <w:t>9</w:t>
            </w:r>
            <w:r>
              <w:rPr>
                <w:rFonts w:hint="default"/>
                <w:lang w:val="en-US" w:eastAsia="zh-CN"/>
              </w:rPr>
              <w:t>×10</w:t>
            </w:r>
            <w:r>
              <w:rPr>
                <w:rFonts w:hint="default"/>
                <w:vertAlign w:val="superscript"/>
                <w:lang w:val="en-US" w:eastAsia="zh-CN"/>
              </w:rPr>
              <w:t>-</w:t>
            </w:r>
            <w:r>
              <w:rPr>
                <w:rFonts w:hint="eastAsia"/>
                <w:vertAlign w:val="superscript"/>
                <w:lang w:val="en-US" w:eastAsia="zh-CN"/>
              </w:rPr>
              <w:t>5</w:t>
            </w:r>
            <w:r>
              <w:rPr>
                <w:rFonts w:hint="eastAsia"/>
                <w:lang w:val="en-US" w:eastAsia="zh-CN"/>
              </w:rPr>
              <w:t>L</w:t>
            </w:r>
          </w:p>
        </w:tc>
        <w:tc>
          <w:tcPr>
            <w:tcW w:w="601" w:type="pct"/>
            <w:noWrap w:val="0"/>
            <w:vAlign w:val="center"/>
          </w:tcPr>
          <w:p>
            <w:pPr>
              <w:pStyle w:val="29"/>
              <w:bidi w:val="0"/>
              <w:rPr>
                <w:rFonts w:hint="eastAsia"/>
                <w:lang w:val="en-US" w:eastAsia="zh-CN"/>
              </w:rPr>
            </w:pPr>
            <w:r>
              <w:rPr>
                <w:rFonts w:hint="eastAsia"/>
                <w:lang w:val="en-US" w:eastAsia="zh-CN"/>
              </w:rPr>
              <w:t>0.1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top"/>
          </w:tcPr>
          <w:p>
            <w:pPr>
              <w:pStyle w:val="29"/>
              <w:bidi w:val="0"/>
            </w:pPr>
          </w:p>
        </w:tc>
        <w:tc>
          <w:tcPr>
            <w:tcW w:w="588" w:type="pct"/>
            <w:vMerge w:val="continue"/>
            <w:noWrap w:val="0"/>
            <w:vAlign w:val="top"/>
          </w:tcPr>
          <w:p>
            <w:pPr>
              <w:pStyle w:val="29"/>
              <w:bidi w:val="0"/>
            </w:pPr>
          </w:p>
        </w:tc>
        <w:tc>
          <w:tcPr>
            <w:tcW w:w="961" w:type="pct"/>
            <w:noWrap w:val="0"/>
            <w:vAlign w:val="center"/>
          </w:tcPr>
          <w:p>
            <w:pPr>
              <w:pStyle w:val="29"/>
              <w:bidi w:val="0"/>
              <w:rPr>
                <w:rFonts w:hint="eastAsia"/>
                <w:lang w:val="en-US" w:eastAsia="zh-CN"/>
              </w:rPr>
            </w:pPr>
            <w:r>
              <w:rPr>
                <w:rFonts w:hint="eastAsia"/>
                <w:lang w:val="en-US" w:eastAsia="zh-CN"/>
              </w:rPr>
              <w:t>粪大肠菌群</w:t>
            </w:r>
          </w:p>
        </w:tc>
        <w:tc>
          <w:tcPr>
            <w:tcW w:w="623" w:type="pct"/>
            <w:noWrap w:val="0"/>
            <w:vAlign w:val="center"/>
          </w:tcPr>
          <w:p>
            <w:pPr>
              <w:pStyle w:val="29"/>
              <w:bidi w:val="0"/>
              <w:rPr>
                <w:rFonts w:hint="eastAsia"/>
                <w:lang w:val="en-US" w:eastAsia="zh-CN"/>
              </w:rPr>
            </w:pPr>
            <w:r>
              <w:rPr>
                <w:rFonts w:hint="eastAsia"/>
                <w:lang w:val="en-US" w:eastAsia="zh-CN"/>
              </w:rPr>
              <w:t>4.6</w:t>
            </w:r>
            <w:r>
              <w:rPr>
                <w:rFonts w:hint="default"/>
                <w:lang w:val="en-US" w:eastAsia="zh-CN"/>
              </w:rPr>
              <w:t>×10</w:t>
            </w:r>
            <w:r>
              <w:rPr>
                <w:rFonts w:hint="eastAsia"/>
                <w:vertAlign w:val="superscript"/>
                <w:lang w:val="en-US" w:eastAsia="zh-CN"/>
              </w:rPr>
              <w:t>2</w:t>
            </w:r>
          </w:p>
        </w:tc>
        <w:tc>
          <w:tcPr>
            <w:tcW w:w="623" w:type="pct"/>
            <w:noWrap w:val="0"/>
            <w:vAlign w:val="center"/>
          </w:tcPr>
          <w:p>
            <w:pPr>
              <w:pStyle w:val="29"/>
              <w:bidi w:val="0"/>
              <w:rPr>
                <w:rFonts w:hint="eastAsia"/>
                <w:lang w:val="en-US" w:eastAsia="zh-CN"/>
              </w:rPr>
            </w:pPr>
            <w:r>
              <w:rPr>
                <w:rFonts w:hint="eastAsia"/>
                <w:lang w:val="en-US" w:eastAsia="zh-CN"/>
              </w:rPr>
              <w:t>4.5</w:t>
            </w:r>
            <w:r>
              <w:rPr>
                <w:rFonts w:hint="default"/>
                <w:lang w:val="en-US" w:eastAsia="zh-CN"/>
              </w:rPr>
              <w:t>×10</w:t>
            </w:r>
            <w:r>
              <w:rPr>
                <w:rFonts w:hint="eastAsia"/>
                <w:lang w:val="en-US" w:eastAsia="zh-CN"/>
              </w:rPr>
              <w:t>2</w:t>
            </w:r>
          </w:p>
        </w:tc>
        <w:tc>
          <w:tcPr>
            <w:tcW w:w="623" w:type="pct"/>
            <w:noWrap w:val="0"/>
            <w:vAlign w:val="center"/>
          </w:tcPr>
          <w:p>
            <w:pPr>
              <w:pStyle w:val="29"/>
              <w:bidi w:val="0"/>
              <w:rPr>
                <w:rFonts w:hint="eastAsia"/>
                <w:lang w:val="en-US" w:eastAsia="zh-CN"/>
              </w:rPr>
            </w:pPr>
            <w:r>
              <w:rPr>
                <w:rFonts w:hint="eastAsia"/>
                <w:lang w:val="en-US" w:eastAsia="zh-CN"/>
              </w:rPr>
              <w:t>4.3</w:t>
            </w:r>
            <w:r>
              <w:rPr>
                <w:rFonts w:hint="default"/>
                <w:lang w:val="en-US" w:eastAsia="zh-CN"/>
              </w:rPr>
              <w:t>×10</w:t>
            </w:r>
            <w:r>
              <w:rPr>
                <w:rFonts w:hint="eastAsia"/>
                <w:vertAlign w:val="superscript"/>
                <w:lang w:val="en-US" w:eastAsia="zh-CN"/>
              </w:rPr>
              <w:t>2</w:t>
            </w:r>
          </w:p>
        </w:tc>
        <w:tc>
          <w:tcPr>
            <w:tcW w:w="634" w:type="pct"/>
            <w:noWrap w:val="0"/>
            <w:vAlign w:val="center"/>
          </w:tcPr>
          <w:p>
            <w:pPr>
              <w:pStyle w:val="29"/>
              <w:bidi w:val="0"/>
              <w:rPr>
                <w:rFonts w:hint="eastAsia"/>
                <w:lang w:val="en-US" w:eastAsia="zh-CN"/>
              </w:rPr>
            </w:pPr>
            <w:r>
              <w:rPr>
                <w:rFonts w:hint="eastAsia"/>
                <w:lang w:val="en-US" w:eastAsia="zh-CN"/>
              </w:rPr>
              <w:t>4.6</w:t>
            </w:r>
            <w:r>
              <w:rPr>
                <w:rFonts w:hint="default"/>
                <w:lang w:val="en-US" w:eastAsia="zh-CN"/>
              </w:rPr>
              <w:t>×10</w:t>
            </w:r>
            <w:r>
              <w:rPr>
                <w:rFonts w:hint="eastAsia"/>
                <w:vertAlign w:val="superscript"/>
                <w:lang w:val="en-US" w:eastAsia="zh-CN"/>
              </w:rPr>
              <w:t>2</w:t>
            </w:r>
          </w:p>
        </w:tc>
        <w:tc>
          <w:tcPr>
            <w:tcW w:w="601" w:type="pct"/>
            <w:noWrap w:val="0"/>
            <w:vAlign w:val="center"/>
          </w:tcPr>
          <w:p>
            <w:pPr>
              <w:pStyle w:val="29"/>
              <w:bidi w:val="0"/>
              <w:rPr>
                <w:rFonts w:hint="eastAsia"/>
                <w:lang w:val="en-US" w:eastAsia="zh-CN"/>
              </w:rPr>
            </w:pPr>
            <w:r>
              <w:rPr>
                <w:rFonts w:hint="eastAsia"/>
                <w:lang w:val="en-US" w:eastAsia="zh-CN"/>
              </w:rPr>
              <w:t>1000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4" w:type="pct"/>
            <w:vMerge w:val="continue"/>
            <w:noWrap w:val="0"/>
            <w:vAlign w:val="top"/>
          </w:tcPr>
          <w:p>
            <w:pPr>
              <w:pStyle w:val="29"/>
              <w:bidi w:val="0"/>
            </w:pPr>
          </w:p>
        </w:tc>
        <w:tc>
          <w:tcPr>
            <w:tcW w:w="588" w:type="pct"/>
            <w:vMerge w:val="continue"/>
            <w:noWrap w:val="0"/>
            <w:vAlign w:val="top"/>
          </w:tcPr>
          <w:p>
            <w:pPr>
              <w:pStyle w:val="29"/>
              <w:bidi w:val="0"/>
            </w:pPr>
          </w:p>
        </w:tc>
        <w:tc>
          <w:tcPr>
            <w:tcW w:w="961" w:type="pct"/>
            <w:noWrap w:val="0"/>
            <w:vAlign w:val="center"/>
          </w:tcPr>
          <w:p>
            <w:pPr>
              <w:pStyle w:val="29"/>
              <w:bidi w:val="0"/>
              <w:rPr>
                <w:rFonts w:hint="eastAsia"/>
                <w:lang w:val="en-US" w:eastAsia="zh-CN"/>
              </w:rPr>
            </w:pPr>
            <w:r>
              <w:rPr>
                <w:rFonts w:hint="eastAsia"/>
                <w:lang w:val="en-US" w:eastAsia="zh-CN"/>
              </w:rPr>
              <w:t>烷基汞②</w:t>
            </w:r>
          </w:p>
        </w:tc>
        <w:tc>
          <w:tcPr>
            <w:tcW w:w="623" w:type="pct"/>
            <w:noWrap w:val="0"/>
            <w:vAlign w:val="center"/>
          </w:tcPr>
          <w:p>
            <w:pPr>
              <w:pStyle w:val="29"/>
              <w:bidi w:val="0"/>
              <w:rPr>
                <w:rFonts w:hint="eastAsia"/>
                <w:lang w:val="en-US" w:eastAsia="zh-CN"/>
              </w:rPr>
            </w:pPr>
            <w:r>
              <w:rPr>
                <w:rFonts w:hint="eastAsia"/>
                <w:lang w:val="en-US" w:eastAsia="zh-CN"/>
              </w:rPr>
              <w:t>未检出</w:t>
            </w:r>
          </w:p>
        </w:tc>
        <w:tc>
          <w:tcPr>
            <w:tcW w:w="623" w:type="pct"/>
            <w:noWrap w:val="0"/>
            <w:vAlign w:val="center"/>
          </w:tcPr>
          <w:p>
            <w:pPr>
              <w:pStyle w:val="29"/>
              <w:bidi w:val="0"/>
              <w:rPr>
                <w:rFonts w:hint="eastAsia"/>
                <w:lang w:val="en-US" w:eastAsia="zh-CN"/>
              </w:rPr>
            </w:pPr>
            <w:r>
              <w:rPr>
                <w:rFonts w:hint="eastAsia"/>
                <w:lang w:val="en-US" w:eastAsia="zh-CN"/>
              </w:rPr>
              <w:t>未检出</w:t>
            </w:r>
          </w:p>
        </w:tc>
        <w:tc>
          <w:tcPr>
            <w:tcW w:w="623" w:type="pct"/>
            <w:noWrap w:val="0"/>
            <w:vAlign w:val="center"/>
          </w:tcPr>
          <w:p>
            <w:pPr>
              <w:pStyle w:val="29"/>
              <w:bidi w:val="0"/>
              <w:rPr>
                <w:rFonts w:hint="eastAsia"/>
                <w:lang w:val="en-US" w:eastAsia="zh-CN"/>
              </w:rPr>
            </w:pPr>
            <w:r>
              <w:rPr>
                <w:rFonts w:hint="eastAsia"/>
                <w:lang w:val="en-US" w:eastAsia="zh-CN"/>
              </w:rPr>
              <w:t>未检出</w:t>
            </w:r>
          </w:p>
        </w:tc>
        <w:tc>
          <w:tcPr>
            <w:tcW w:w="634" w:type="pct"/>
            <w:noWrap w:val="0"/>
            <w:vAlign w:val="center"/>
          </w:tcPr>
          <w:p>
            <w:pPr>
              <w:pStyle w:val="29"/>
              <w:bidi w:val="0"/>
              <w:rPr>
                <w:rFonts w:hint="eastAsia"/>
                <w:lang w:val="en-US" w:eastAsia="zh-CN"/>
              </w:rPr>
            </w:pPr>
            <w:r>
              <w:rPr>
                <w:rFonts w:hint="eastAsia"/>
                <w:lang w:val="en-US" w:eastAsia="zh-CN"/>
              </w:rPr>
              <w:t>未检出</w:t>
            </w:r>
          </w:p>
        </w:tc>
        <w:tc>
          <w:tcPr>
            <w:tcW w:w="601" w:type="pct"/>
            <w:noWrap w:val="0"/>
            <w:vAlign w:val="center"/>
          </w:tcPr>
          <w:p>
            <w:pPr>
              <w:pStyle w:val="29"/>
              <w:bidi w:val="0"/>
              <w:rPr>
                <w:rFonts w:hint="eastAsia"/>
                <w:lang w:val="en-US" w:eastAsia="zh-CN"/>
              </w:rPr>
            </w:pPr>
            <w:r>
              <w:rPr>
                <w:rFonts w:hint="eastAsia"/>
                <w:lang w:val="en-US" w:eastAsia="zh-CN"/>
              </w:rPr>
              <w:t>不得检出</w:t>
            </w:r>
          </w:p>
        </w:tc>
      </w:tr>
    </w:tbl>
    <w:p>
      <w:r>
        <w:t>验收监测期间，项目</w:t>
      </w:r>
      <w:r>
        <w:rPr>
          <w:rFonts w:hint="eastAsia"/>
          <w:lang w:eastAsia="zh-CN"/>
        </w:rPr>
        <w:t>排水</w:t>
      </w:r>
      <w:r>
        <w:t>水质监测结果表明：pH范围、悬浮物、阴离子表面活性剂、动植物油、石油类、粪大肠菌群的日均排放浓度均符合《城镇污水处理厂污染物排放标准》（GB18918-2002）“表1”中一级A标准；总汞、六价铬、总铬、总砷、总汞、总铅、总镉、烷基汞的日均排放浓度均符合《城镇污水处理厂污染物排放标准》（GB18918-2002）“表2”标准；化学需氧量、五日生化需氧量、总磷、总氮、氨氮的日均排放浓度均符合《四川省岷江、沱江流域水污染物排放标准》（DB51/2311-2016）“表1”标准。</w:t>
      </w:r>
    </w:p>
    <w:p>
      <w:pPr>
        <w:pStyle w:val="7"/>
        <w:numPr>
          <w:ilvl w:val="3"/>
          <w:numId w:val="0"/>
        </w:numPr>
      </w:pPr>
      <w:r>
        <w:t>9.2.2.2废气</w:t>
      </w:r>
    </w:p>
    <w:p>
      <w:r>
        <w:t>本项目废气（有组织）监测结果见表9-5；</w:t>
      </w:r>
    </w:p>
    <w:p>
      <w:pPr>
        <w:pStyle w:val="28"/>
        <w:ind w:firstLine="482"/>
      </w:pPr>
      <w:r>
        <w:t>表9-5  废气（有组织）监测结果</w:t>
      </w:r>
    </w:p>
    <w:p>
      <w:pPr>
        <w:adjustRightInd w:val="0"/>
        <w:snapToGrid w:val="0"/>
        <w:spacing w:line="312" w:lineRule="exact"/>
        <w:ind w:firstLine="0" w:firstLineChars="0"/>
        <w:jc w:val="right"/>
        <w:rPr>
          <w:bCs/>
          <w:sz w:val="21"/>
          <w:szCs w:val="21"/>
        </w:rPr>
      </w:pPr>
      <w:r>
        <w:rPr>
          <w:rFonts w:eastAsia="黑体"/>
          <w:sz w:val="24"/>
          <w:szCs w:val="24"/>
        </w:rPr>
        <w:t xml:space="preserve"> </w:t>
      </w:r>
      <w:r>
        <w:rPr>
          <w:rFonts w:eastAsia="仿宋_GB2312"/>
          <w:bCs/>
          <w:sz w:val="21"/>
          <w:szCs w:val="21"/>
        </w:rPr>
        <w:t xml:space="preserve">          </w:t>
      </w:r>
      <w:r>
        <w:rPr>
          <w:bCs/>
          <w:sz w:val="21"/>
          <w:szCs w:val="21"/>
        </w:rPr>
        <w:t>单位：排放浓度：mg/m</w:t>
      </w:r>
      <w:r>
        <w:rPr>
          <w:bCs/>
          <w:sz w:val="21"/>
          <w:szCs w:val="21"/>
          <w:vertAlign w:val="superscript"/>
        </w:rPr>
        <w:t>3</w:t>
      </w:r>
      <w:r>
        <w:rPr>
          <w:bCs/>
          <w:sz w:val="21"/>
          <w:szCs w:val="21"/>
        </w:rPr>
        <w:t>；排放速率：kg/h；标干流量：m</w:t>
      </w:r>
      <w:r>
        <w:rPr>
          <w:bCs/>
          <w:sz w:val="21"/>
          <w:szCs w:val="21"/>
          <w:vertAlign w:val="superscript"/>
        </w:rPr>
        <w:t>3</w:t>
      </w:r>
      <w:r>
        <w:rPr>
          <w:bCs/>
          <w:sz w:val="21"/>
          <w:szCs w:val="21"/>
        </w:rPr>
        <w:t>/h；臭气浓度：无量纲</w:t>
      </w:r>
    </w:p>
    <w:tbl>
      <w:tblPr>
        <w:tblStyle w:val="19"/>
        <w:tblW w:w="4999"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1225"/>
        <w:gridCol w:w="491"/>
        <w:gridCol w:w="1178"/>
        <w:gridCol w:w="1258"/>
        <w:gridCol w:w="1258"/>
        <w:gridCol w:w="1264"/>
        <w:gridCol w:w="138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59" w:type="pct"/>
            <w:vMerge w:val="restart"/>
            <w:noWrap w:val="0"/>
            <w:vAlign w:val="center"/>
          </w:tcPr>
          <w:p>
            <w:pPr>
              <w:pStyle w:val="29"/>
              <w:bidi w:val="0"/>
              <w:rPr>
                <w:b/>
                <w:bCs/>
              </w:rPr>
            </w:pPr>
            <w:r>
              <w:rPr>
                <w:b/>
                <w:bCs/>
              </w:rPr>
              <w:t>点位编号</w:t>
            </w:r>
          </w:p>
        </w:tc>
        <w:tc>
          <w:tcPr>
            <w:tcW w:w="659" w:type="pct"/>
            <w:vMerge w:val="restart"/>
            <w:noWrap w:val="0"/>
            <w:vAlign w:val="center"/>
          </w:tcPr>
          <w:p>
            <w:pPr>
              <w:pStyle w:val="29"/>
              <w:bidi w:val="0"/>
              <w:rPr>
                <w:b/>
                <w:bCs/>
              </w:rPr>
            </w:pPr>
            <w:r>
              <w:rPr>
                <w:b/>
                <w:bCs/>
              </w:rPr>
              <w:t>采样日期</w:t>
            </w:r>
          </w:p>
        </w:tc>
        <w:tc>
          <w:tcPr>
            <w:tcW w:w="898" w:type="pct"/>
            <w:gridSpan w:val="2"/>
            <w:vMerge w:val="restart"/>
            <w:noWrap w:val="0"/>
            <w:vAlign w:val="center"/>
          </w:tcPr>
          <w:p>
            <w:pPr>
              <w:pStyle w:val="29"/>
              <w:bidi w:val="0"/>
              <w:rPr>
                <w:b/>
                <w:bCs/>
              </w:rPr>
            </w:pPr>
            <w:r>
              <w:rPr>
                <w:b/>
                <w:bCs/>
              </w:rPr>
              <w:t>监测项目</w:t>
            </w:r>
          </w:p>
        </w:tc>
        <w:tc>
          <w:tcPr>
            <w:tcW w:w="2034" w:type="pct"/>
            <w:gridSpan w:val="3"/>
            <w:noWrap w:val="0"/>
            <w:vAlign w:val="center"/>
          </w:tcPr>
          <w:p>
            <w:pPr>
              <w:pStyle w:val="29"/>
              <w:bidi w:val="0"/>
              <w:rPr>
                <w:b/>
                <w:bCs/>
              </w:rPr>
            </w:pPr>
            <w:r>
              <w:rPr>
                <w:b/>
                <w:bCs/>
              </w:rPr>
              <w:t>监测结果</w:t>
            </w:r>
          </w:p>
        </w:tc>
        <w:tc>
          <w:tcPr>
            <w:tcW w:w="747" w:type="pct"/>
            <w:vMerge w:val="restart"/>
            <w:noWrap w:val="0"/>
            <w:vAlign w:val="center"/>
          </w:tcPr>
          <w:p>
            <w:pPr>
              <w:pStyle w:val="29"/>
              <w:bidi w:val="0"/>
              <w:rPr>
                <w:b/>
                <w:bCs/>
              </w:rPr>
            </w:pPr>
            <w:r>
              <w:rPr>
                <w:b/>
                <w:bCs/>
              </w:rPr>
              <w:t>排放限值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59" w:type="pct"/>
            <w:vMerge w:val="continue"/>
            <w:noWrap w:val="0"/>
            <w:vAlign w:val="center"/>
          </w:tcPr>
          <w:p>
            <w:pPr>
              <w:pStyle w:val="29"/>
              <w:bidi w:val="0"/>
              <w:rPr>
                <w:b/>
                <w:bCs/>
              </w:rPr>
            </w:pPr>
          </w:p>
        </w:tc>
        <w:tc>
          <w:tcPr>
            <w:tcW w:w="659" w:type="pct"/>
            <w:vMerge w:val="continue"/>
            <w:noWrap w:val="0"/>
            <w:vAlign w:val="center"/>
          </w:tcPr>
          <w:p>
            <w:pPr>
              <w:pStyle w:val="29"/>
              <w:bidi w:val="0"/>
              <w:rPr>
                <w:b/>
                <w:bCs/>
              </w:rPr>
            </w:pPr>
          </w:p>
        </w:tc>
        <w:tc>
          <w:tcPr>
            <w:tcW w:w="898" w:type="pct"/>
            <w:gridSpan w:val="2"/>
            <w:vMerge w:val="continue"/>
            <w:noWrap w:val="0"/>
            <w:vAlign w:val="center"/>
          </w:tcPr>
          <w:p>
            <w:pPr>
              <w:pStyle w:val="29"/>
              <w:bidi w:val="0"/>
              <w:rPr>
                <w:b/>
                <w:bCs/>
              </w:rPr>
            </w:pPr>
          </w:p>
        </w:tc>
        <w:tc>
          <w:tcPr>
            <w:tcW w:w="677" w:type="pct"/>
            <w:noWrap w:val="0"/>
            <w:vAlign w:val="center"/>
          </w:tcPr>
          <w:p>
            <w:pPr>
              <w:pStyle w:val="29"/>
              <w:bidi w:val="0"/>
              <w:rPr>
                <w:b/>
                <w:bCs/>
              </w:rPr>
            </w:pPr>
            <w:r>
              <w:rPr>
                <w:b/>
                <w:bCs/>
              </w:rPr>
              <w:t>第一次</w:t>
            </w:r>
          </w:p>
        </w:tc>
        <w:tc>
          <w:tcPr>
            <w:tcW w:w="677" w:type="pct"/>
            <w:noWrap w:val="0"/>
            <w:vAlign w:val="center"/>
          </w:tcPr>
          <w:p>
            <w:pPr>
              <w:pStyle w:val="29"/>
              <w:bidi w:val="0"/>
              <w:rPr>
                <w:b/>
                <w:bCs/>
              </w:rPr>
            </w:pPr>
            <w:r>
              <w:rPr>
                <w:b/>
                <w:bCs/>
              </w:rPr>
              <w:t>第二次</w:t>
            </w:r>
          </w:p>
        </w:tc>
        <w:tc>
          <w:tcPr>
            <w:tcW w:w="678" w:type="pct"/>
            <w:noWrap w:val="0"/>
            <w:vAlign w:val="center"/>
          </w:tcPr>
          <w:p>
            <w:pPr>
              <w:pStyle w:val="29"/>
              <w:bidi w:val="0"/>
              <w:rPr>
                <w:b/>
                <w:bCs/>
              </w:rPr>
            </w:pPr>
            <w:r>
              <w:rPr>
                <w:b/>
                <w:bCs/>
              </w:rPr>
              <w:t>第三次</w:t>
            </w:r>
          </w:p>
        </w:tc>
        <w:tc>
          <w:tcPr>
            <w:tcW w:w="747" w:type="pct"/>
            <w:vMerge w:val="continue"/>
            <w:noWrap w:val="0"/>
            <w:vAlign w:val="center"/>
          </w:tcPr>
          <w:p>
            <w:pPr>
              <w:pStyle w:val="29"/>
              <w:bidi w:val="0"/>
              <w:rPr>
                <w:b/>
                <w:bCs/>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59" w:type="pct"/>
            <w:vMerge w:val="restart"/>
            <w:noWrap w:val="0"/>
            <w:vAlign w:val="center"/>
          </w:tcPr>
          <w:p>
            <w:pPr>
              <w:pStyle w:val="29"/>
              <w:bidi w:val="0"/>
              <w:rPr>
                <w:rFonts w:hint="eastAsia"/>
                <w:lang w:val="en-US" w:eastAsia="zh-CN"/>
              </w:rPr>
            </w:pPr>
            <w:r>
              <w:t>F</w:t>
            </w:r>
            <w:r>
              <w:rPr>
                <w:rFonts w:hint="eastAsia"/>
                <w:lang w:val="en-US" w:eastAsia="zh-CN"/>
              </w:rPr>
              <w:t>1</w:t>
            </w:r>
          </w:p>
        </w:tc>
        <w:tc>
          <w:tcPr>
            <w:tcW w:w="659" w:type="pct"/>
            <w:vMerge w:val="restart"/>
            <w:noWrap w:val="0"/>
            <w:vAlign w:val="center"/>
          </w:tcPr>
          <w:p>
            <w:pPr>
              <w:pStyle w:val="29"/>
              <w:bidi w:val="0"/>
            </w:pPr>
            <w:r>
              <w:rPr>
                <w:rFonts w:hint="eastAsia"/>
                <w:lang w:val="en-US" w:eastAsia="zh-CN"/>
              </w:rPr>
              <w:t>2022-5-24</w:t>
            </w:r>
          </w:p>
        </w:tc>
        <w:tc>
          <w:tcPr>
            <w:tcW w:w="898" w:type="pct"/>
            <w:gridSpan w:val="2"/>
            <w:noWrap w:val="0"/>
            <w:vAlign w:val="center"/>
          </w:tcPr>
          <w:p>
            <w:pPr>
              <w:pStyle w:val="29"/>
              <w:bidi w:val="0"/>
            </w:pPr>
            <w:r>
              <w:t>标干流量</w:t>
            </w:r>
          </w:p>
        </w:tc>
        <w:tc>
          <w:tcPr>
            <w:tcW w:w="677" w:type="pct"/>
            <w:noWrap w:val="0"/>
            <w:vAlign w:val="center"/>
          </w:tcPr>
          <w:p>
            <w:pPr>
              <w:pStyle w:val="29"/>
              <w:bidi w:val="0"/>
            </w:pPr>
            <w:r>
              <w:rPr>
                <w:rFonts w:hint="eastAsia"/>
                <w:lang w:val="en-US" w:eastAsia="zh-CN"/>
              </w:rPr>
              <w:t>3419</w:t>
            </w:r>
          </w:p>
        </w:tc>
        <w:tc>
          <w:tcPr>
            <w:tcW w:w="677" w:type="pct"/>
            <w:noWrap w:val="0"/>
            <w:vAlign w:val="center"/>
          </w:tcPr>
          <w:p>
            <w:pPr>
              <w:pStyle w:val="29"/>
              <w:bidi w:val="0"/>
            </w:pPr>
            <w:r>
              <w:rPr>
                <w:rFonts w:hint="eastAsia"/>
                <w:lang w:val="en-US" w:eastAsia="zh-CN"/>
              </w:rPr>
              <w:t>3636</w:t>
            </w:r>
          </w:p>
        </w:tc>
        <w:tc>
          <w:tcPr>
            <w:tcW w:w="678" w:type="pct"/>
            <w:noWrap w:val="0"/>
            <w:vAlign w:val="center"/>
          </w:tcPr>
          <w:p>
            <w:pPr>
              <w:pStyle w:val="29"/>
              <w:bidi w:val="0"/>
            </w:pPr>
            <w:r>
              <w:rPr>
                <w:rFonts w:hint="eastAsia"/>
                <w:lang w:val="en-US" w:eastAsia="zh-CN"/>
              </w:rPr>
              <w:t>3421</w:t>
            </w:r>
          </w:p>
        </w:tc>
        <w:tc>
          <w:tcPr>
            <w:tcW w:w="747" w:type="pct"/>
            <w:noWrap w:val="0"/>
            <w:vAlign w:val="center"/>
          </w:tcPr>
          <w:p>
            <w:pPr>
              <w:pStyle w:val="29"/>
              <w:bidi w:val="0"/>
            </w:pPr>
            <w: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59" w:type="pct"/>
            <w:vMerge w:val="continue"/>
            <w:noWrap w:val="0"/>
            <w:vAlign w:val="center"/>
          </w:tcPr>
          <w:p>
            <w:pPr>
              <w:pStyle w:val="29"/>
              <w:bidi w:val="0"/>
            </w:pPr>
          </w:p>
        </w:tc>
        <w:tc>
          <w:tcPr>
            <w:tcW w:w="659" w:type="pct"/>
            <w:vMerge w:val="continue"/>
            <w:noWrap w:val="0"/>
            <w:vAlign w:val="center"/>
          </w:tcPr>
          <w:p>
            <w:pPr>
              <w:pStyle w:val="29"/>
              <w:bidi w:val="0"/>
            </w:pPr>
          </w:p>
        </w:tc>
        <w:tc>
          <w:tcPr>
            <w:tcW w:w="898" w:type="pct"/>
            <w:gridSpan w:val="2"/>
            <w:noWrap w:val="0"/>
            <w:vAlign w:val="center"/>
          </w:tcPr>
          <w:p>
            <w:pPr>
              <w:pStyle w:val="29"/>
              <w:bidi w:val="0"/>
            </w:pPr>
            <w:r>
              <w:t>臭气浓度</w:t>
            </w:r>
          </w:p>
        </w:tc>
        <w:tc>
          <w:tcPr>
            <w:tcW w:w="677" w:type="pct"/>
            <w:noWrap w:val="0"/>
            <w:vAlign w:val="center"/>
          </w:tcPr>
          <w:p>
            <w:pPr>
              <w:pStyle w:val="29"/>
              <w:bidi w:val="0"/>
              <w:rPr>
                <w:rFonts w:hint="default"/>
                <w:lang w:val="en-US" w:eastAsia="zh-CN"/>
              </w:rPr>
            </w:pPr>
            <w:r>
              <w:rPr>
                <w:rFonts w:hint="eastAsia"/>
                <w:lang w:val="en-US" w:eastAsia="zh-CN"/>
              </w:rPr>
              <w:t>309</w:t>
            </w:r>
          </w:p>
        </w:tc>
        <w:tc>
          <w:tcPr>
            <w:tcW w:w="677" w:type="pct"/>
            <w:noWrap w:val="0"/>
            <w:vAlign w:val="center"/>
          </w:tcPr>
          <w:p>
            <w:pPr>
              <w:pStyle w:val="29"/>
              <w:bidi w:val="0"/>
              <w:rPr>
                <w:rFonts w:hint="default"/>
                <w:lang w:val="en-US" w:eastAsia="zh-CN"/>
              </w:rPr>
            </w:pPr>
            <w:r>
              <w:rPr>
                <w:rFonts w:hint="eastAsia"/>
                <w:lang w:val="en-US" w:eastAsia="zh-CN"/>
              </w:rPr>
              <w:t>412</w:t>
            </w:r>
          </w:p>
        </w:tc>
        <w:tc>
          <w:tcPr>
            <w:tcW w:w="678" w:type="pct"/>
            <w:noWrap w:val="0"/>
            <w:vAlign w:val="center"/>
          </w:tcPr>
          <w:p>
            <w:pPr>
              <w:pStyle w:val="29"/>
              <w:bidi w:val="0"/>
              <w:rPr>
                <w:rFonts w:hint="default"/>
                <w:lang w:val="en-US" w:eastAsia="zh-CN"/>
              </w:rPr>
            </w:pPr>
            <w:r>
              <w:rPr>
                <w:rFonts w:hint="eastAsia"/>
                <w:lang w:val="en-US" w:eastAsia="zh-CN"/>
              </w:rPr>
              <w:t>309</w:t>
            </w:r>
          </w:p>
        </w:tc>
        <w:tc>
          <w:tcPr>
            <w:tcW w:w="747" w:type="pct"/>
            <w:noWrap w:val="0"/>
            <w:vAlign w:val="center"/>
          </w:tcPr>
          <w:p>
            <w:pPr>
              <w:pStyle w:val="29"/>
              <w:bidi w:val="0"/>
            </w:pPr>
            <w:r>
              <w:t>2000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59" w:type="pct"/>
            <w:vMerge w:val="continue"/>
            <w:noWrap w:val="0"/>
            <w:vAlign w:val="center"/>
          </w:tcPr>
          <w:p>
            <w:pPr>
              <w:pStyle w:val="29"/>
              <w:bidi w:val="0"/>
            </w:pPr>
          </w:p>
        </w:tc>
        <w:tc>
          <w:tcPr>
            <w:tcW w:w="659" w:type="pct"/>
            <w:vMerge w:val="continue"/>
            <w:noWrap w:val="0"/>
            <w:vAlign w:val="center"/>
          </w:tcPr>
          <w:p>
            <w:pPr>
              <w:pStyle w:val="29"/>
              <w:bidi w:val="0"/>
            </w:pPr>
          </w:p>
        </w:tc>
        <w:tc>
          <w:tcPr>
            <w:tcW w:w="264" w:type="pct"/>
            <w:vMerge w:val="restart"/>
            <w:noWrap w:val="0"/>
            <w:vAlign w:val="center"/>
          </w:tcPr>
          <w:p>
            <w:pPr>
              <w:pStyle w:val="29"/>
              <w:bidi w:val="0"/>
            </w:pPr>
            <w:r>
              <w:t>氨</w:t>
            </w:r>
          </w:p>
        </w:tc>
        <w:tc>
          <w:tcPr>
            <w:tcW w:w="634" w:type="pct"/>
            <w:noWrap w:val="0"/>
            <w:vAlign w:val="center"/>
          </w:tcPr>
          <w:p>
            <w:pPr>
              <w:pStyle w:val="29"/>
              <w:bidi w:val="0"/>
            </w:pPr>
            <w:r>
              <w:t>排放浓度</w:t>
            </w:r>
          </w:p>
        </w:tc>
        <w:tc>
          <w:tcPr>
            <w:tcW w:w="677" w:type="pct"/>
            <w:noWrap w:val="0"/>
            <w:vAlign w:val="center"/>
          </w:tcPr>
          <w:p>
            <w:pPr>
              <w:pStyle w:val="29"/>
              <w:bidi w:val="0"/>
              <w:rPr>
                <w:rFonts w:hint="default"/>
                <w:lang w:val="en-US" w:eastAsia="zh-CN"/>
              </w:rPr>
            </w:pPr>
            <w:r>
              <w:rPr>
                <w:rFonts w:hint="eastAsia"/>
                <w:lang w:val="en-US" w:eastAsia="zh-CN"/>
              </w:rPr>
              <w:t>1.37</w:t>
            </w:r>
          </w:p>
        </w:tc>
        <w:tc>
          <w:tcPr>
            <w:tcW w:w="677" w:type="pct"/>
            <w:noWrap w:val="0"/>
            <w:vAlign w:val="center"/>
          </w:tcPr>
          <w:p>
            <w:pPr>
              <w:pStyle w:val="29"/>
              <w:bidi w:val="0"/>
              <w:rPr>
                <w:rFonts w:hint="default"/>
                <w:lang w:val="en-US" w:eastAsia="zh-CN"/>
              </w:rPr>
            </w:pPr>
            <w:r>
              <w:rPr>
                <w:rFonts w:hint="eastAsia"/>
                <w:lang w:val="en-US" w:eastAsia="zh-CN"/>
              </w:rPr>
              <w:t>1.36</w:t>
            </w:r>
          </w:p>
        </w:tc>
        <w:tc>
          <w:tcPr>
            <w:tcW w:w="678" w:type="pct"/>
            <w:noWrap w:val="0"/>
            <w:vAlign w:val="center"/>
          </w:tcPr>
          <w:p>
            <w:pPr>
              <w:pStyle w:val="29"/>
              <w:bidi w:val="0"/>
              <w:rPr>
                <w:rFonts w:hint="default"/>
                <w:lang w:val="en-US" w:eastAsia="zh-CN"/>
              </w:rPr>
            </w:pPr>
            <w:r>
              <w:rPr>
                <w:rFonts w:hint="eastAsia"/>
                <w:lang w:val="en-US" w:eastAsia="zh-CN"/>
              </w:rPr>
              <w:t>1.33</w:t>
            </w:r>
          </w:p>
        </w:tc>
        <w:tc>
          <w:tcPr>
            <w:tcW w:w="747" w:type="pct"/>
            <w:noWrap w:val="0"/>
            <w:vAlign w:val="center"/>
          </w:tcPr>
          <w:p>
            <w:pPr>
              <w:pStyle w:val="29"/>
              <w:bidi w:val="0"/>
            </w:pPr>
            <w: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59" w:type="pct"/>
            <w:vMerge w:val="continue"/>
            <w:noWrap w:val="0"/>
            <w:vAlign w:val="center"/>
          </w:tcPr>
          <w:p>
            <w:pPr>
              <w:pStyle w:val="29"/>
              <w:bidi w:val="0"/>
            </w:pPr>
          </w:p>
        </w:tc>
        <w:tc>
          <w:tcPr>
            <w:tcW w:w="659" w:type="pct"/>
            <w:vMerge w:val="continue"/>
            <w:noWrap w:val="0"/>
            <w:vAlign w:val="center"/>
          </w:tcPr>
          <w:p>
            <w:pPr>
              <w:pStyle w:val="29"/>
              <w:bidi w:val="0"/>
            </w:pPr>
          </w:p>
        </w:tc>
        <w:tc>
          <w:tcPr>
            <w:tcW w:w="264" w:type="pct"/>
            <w:vMerge w:val="continue"/>
            <w:noWrap w:val="0"/>
            <w:vAlign w:val="center"/>
          </w:tcPr>
          <w:p>
            <w:pPr>
              <w:pStyle w:val="29"/>
              <w:bidi w:val="0"/>
            </w:pPr>
          </w:p>
        </w:tc>
        <w:tc>
          <w:tcPr>
            <w:tcW w:w="634" w:type="pct"/>
            <w:noWrap w:val="0"/>
            <w:vAlign w:val="center"/>
          </w:tcPr>
          <w:p>
            <w:pPr>
              <w:pStyle w:val="29"/>
              <w:bidi w:val="0"/>
            </w:pPr>
            <w:r>
              <w:t>排放速率</w:t>
            </w:r>
          </w:p>
        </w:tc>
        <w:tc>
          <w:tcPr>
            <w:tcW w:w="677" w:type="pct"/>
            <w:noWrap w:val="0"/>
            <w:vAlign w:val="center"/>
          </w:tcPr>
          <w:p>
            <w:pPr>
              <w:pStyle w:val="29"/>
              <w:bidi w:val="0"/>
              <w:rPr>
                <w:rFonts w:hint="default"/>
                <w:lang w:val="en-US" w:eastAsia="zh-CN"/>
              </w:rPr>
            </w:pPr>
            <w:r>
              <w:rPr>
                <w:rFonts w:hint="eastAsia"/>
                <w:lang w:val="en-US" w:eastAsia="zh-CN"/>
              </w:rPr>
              <w:t>4.7</w:t>
            </w:r>
            <w:r>
              <w:rPr>
                <w:rFonts w:hint="default"/>
                <w:lang w:val="en-US" w:eastAsia="zh-CN"/>
              </w:rPr>
              <w:t>×10</w:t>
            </w:r>
            <w:r>
              <w:rPr>
                <w:rFonts w:hint="default"/>
                <w:vertAlign w:val="superscript"/>
                <w:lang w:val="en-US" w:eastAsia="zh-CN"/>
              </w:rPr>
              <w:t>-</w:t>
            </w:r>
            <w:r>
              <w:rPr>
                <w:rFonts w:hint="eastAsia"/>
                <w:vertAlign w:val="superscript"/>
                <w:lang w:val="en-US" w:eastAsia="zh-CN"/>
              </w:rPr>
              <w:t>3</w:t>
            </w:r>
          </w:p>
        </w:tc>
        <w:tc>
          <w:tcPr>
            <w:tcW w:w="677" w:type="pct"/>
            <w:noWrap w:val="0"/>
            <w:vAlign w:val="center"/>
          </w:tcPr>
          <w:p>
            <w:pPr>
              <w:pStyle w:val="29"/>
              <w:bidi w:val="0"/>
              <w:rPr>
                <w:rFonts w:hint="eastAsia"/>
                <w:lang w:val="en-US" w:eastAsia="zh-CN"/>
              </w:rPr>
            </w:pPr>
            <w:r>
              <w:rPr>
                <w:rFonts w:hint="eastAsia"/>
                <w:lang w:val="en-US" w:eastAsia="zh-CN"/>
              </w:rPr>
              <w:t>4.9</w:t>
            </w:r>
            <w:r>
              <w:rPr>
                <w:rFonts w:hint="default"/>
                <w:lang w:val="en-US" w:eastAsia="zh-CN"/>
              </w:rPr>
              <w:t>×10</w:t>
            </w:r>
            <w:r>
              <w:rPr>
                <w:rFonts w:hint="default"/>
                <w:vertAlign w:val="superscript"/>
                <w:lang w:val="en-US" w:eastAsia="zh-CN"/>
              </w:rPr>
              <w:t>-</w:t>
            </w:r>
            <w:r>
              <w:rPr>
                <w:rFonts w:hint="eastAsia"/>
                <w:vertAlign w:val="superscript"/>
                <w:lang w:val="en-US" w:eastAsia="zh-CN"/>
              </w:rPr>
              <w:t>3</w:t>
            </w:r>
          </w:p>
        </w:tc>
        <w:tc>
          <w:tcPr>
            <w:tcW w:w="678" w:type="pct"/>
            <w:noWrap w:val="0"/>
            <w:vAlign w:val="center"/>
          </w:tcPr>
          <w:p>
            <w:pPr>
              <w:pStyle w:val="29"/>
              <w:bidi w:val="0"/>
              <w:rPr>
                <w:rFonts w:hint="eastAsia"/>
                <w:lang w:val="en-US" w:eastAsia="zh-CN"/>
              </w:rPr>
            </w:pPr>
            <w:r>
              <w:rPr>
                <w:rFonts w:hint="eastAsia"/>
                <w:lang w:val="en-US" w:eastAsia="zh-CN"/>
              </w:rPr>
              <w:t>4.5</w:t>
            </w:r>
            <w:r>
              <w:rPr>
                <w:rFonts w:hint="default"/>
                <w:lang w:val="en-US" w:eastAsia="zh-CN"/>
              </w:rPr>
              <w:t>×10</w:t>
            </w:r>
            <w:r>
              <w:rPr>
                <w:rFonts w:hint="default"/>
                <w:vertAlign w:val="superscript"/>
                <w:lang w:val="en-US" w:eastAsia="zh-CN"/>
              </w:rPr>
              <w:t>-</w:t>
            </w:r>
            <w:r>
              <w:rPr>
                <w:rFonts w:hint="eastAsia"/>
                <w:vertAlign w:val="superscript"/>
                <w:lang w:val="en-US" w:eastAsia="zh-CN"/>
              </w:rPr>
              <w:t>3</w:t>
            </w:r>
          </w:p>
        </w:tc>
        <w:tc>
          <w:tcPr>
            <w:tcW w:w="747" w:type="pct"/>
            <w:noWrap w:val="0"/>
            <w:vAlign w:val="center"/>
          </w:tcPr>
          <w:p>
            <w:pPr>
              <w:pStyle w:val="29"/>
              <w:bidi w:val="0"/>
            </w:pPr>
            <w:r>
              <w:t>4.9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59" w:type="pct"/>
            <w:vMerge w:val="continue"/>
            <w:noWrap w:val="0"/>
            <w:vAlign w:val="center"/>
          </w:tcPr>
          <w:p>
            <w:pPr>
              <w:pStyle w:val="29"/>
              <w:bidi w:val="0"/>
            </w:pPr>
          </w:p>
        </w:tc>
        <w:tc>
          <w:tcPr>
            <w:tcW w:w="659" w:type="pct"/>
            <w:vMerge w:val="continue"/>
            <w:noWrap w:val="0"/>
            <w:vAlign w:val="center"/>
          </w:tcPr>
          <w:p>
            <w:pPr>
              <w:pStyle w:val="29"/>
              <w:bidi w:val="0"/>
            </w:pPr>
          </w:p>
        </w:tc>
        <w:tc>
          <w:tcPr>
            <w:tcW w:w="264" w:type="pct"/>
            <w:vMerge w:val="restart"/>
            <w:noWrap w:val="0"/>
            <w:vAlign w:val="center"/>
          </w:tcPr>
          <w:p>
            <w:pPr>
              <w:pStyle w:val="29"/>
              <w:bidi w:val="0"/>
            </w:pPr>
            <w:r>
              <w:t>硫化氢</w:t>
            </w:r>
          </w:p>
        </w:tc>
        <w:tc>
          <w:tcPr>
            <w:tcW w:w="634" w:type="pct"/>
            <w:noWrap w:val="0"/>
            <w:vAlign w:val="center"/>
          </w:tcPr>
          <w:p>
            <w:pPr>
              <w:pStyle w:val="29"/>
              <w:bidi w:val="0"/>
            </w:pPr>
            <w:r>
              <w:t>排放浓度</w:t>
            </w:r>
          </w:p>
        </w:tc>
        <w:tc>
          <w:tcPr>
            <w:tcW w:w="677" w:type="pct"/>
            <w:noWrap w:val="0"/>
            <w:vAlign w:val="center"/>
          </w:tcPr>
          <w:p>
            <w:pPr>
              <w:pStyle w:val="29"/>
              <w:bidi w:val="0"/>
              <w:rPr>
                <w:rFonts w:hint="default"/>
                <w:lang w:val="en-US" w:eastAsia="zh-CN"/>
              </w:rPr>
            </w:pPr>
            <w:r>
              <w:rPr>
                <w:rFonts w:hint="eastAsia"/>
                <w:lang w:val="en-US" w:eastAsia="zh-CN"/>
              </w:rPr>
              <w:t>0.01L</w:t>
            </w:r>
          </w:p>
        </w:tc>
        <w:tc>
          <w:tcPr>
            <w:tcW w:w="677" w:type="pct"/>
            <w:noWrap w:val="0"/>
            <w:vAlign w:val="center"/>
          </w:tcPr>
          <w:p>
            <w:pPr>
              <w:pStyle w:val="29"/>
              <w:bidi w:val="0"/>
              <w:rPr>
                <w:rFonts w:hint="default"/>
                <w:lang w:val="en-US" w:eastAsia="zh-CN"/>
              </w:rPr>
            </w:pPr>
            <w:r>
              <w:rPr>
                <w:rFonts w:hint="eastAsia"/>
                <w:lang w:val="en-US" w:eastAsia="zh-CN"/>
              </w:rPr>
              <w:t>0.01L</w:t>
            </w:r>
          </w:p>
        </w:tc>
        <w:tc>
          <w:tcPr>
            <w:tcW w:w="678" w:type="pct"/>
            <w:noWrap w:val="0"/>
            <w:vAlign w:val="center"/>
          </w:tcPr>
          <w:p>
            <w:pPr>
              <w:pStyle w:val="29"/>
              <w:bidi w:val="0"/>
              <w:rPr>
                <w:rFonts w:hint="default"/>
                <w:lang w:val="en-US" w:eastAsia="zh-CN"/>
              </w:rPr>
            </w:pPr>
            <w:r>
              <w:rPr>
                <w:rFonts w:hint="eastAsia"/>
                <w:lang w:val="en-US" w:eastAsia="zh-CN"/>
              </w:rPr>
              <w:t>0.01L</w:t>
            </w:r>
          </w:p>
        </w:tc>
        <w:tc>
          <w:tcPr>
            <w:tcW w:w="747" w:type="pct"/>
            <w:noWrap w:val="0"/>
            <w:vAlign w:val="center"/>
          </w:tcPr>
          <w:p>
            <w:pPr>
              <w:pStyle w:val="29"/>
              <w:bidi w:val="0"/>
            </w:pPr>
            <w: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59" w:type="pct"/>
            <w:vMerge w:val="continue"/>
            <w:noWrap w:val="0"/>
            <w:vAlign w:val="center"/>
          </w:tcPr>
          <w:p>
            <w:pPr>
              <w:pStyle w:val="29"/>
              <w:bidi w:val="0"/>
            </w:pPr>
          </w:p>
        </w:tc>
        <w:tc>
          <w:tcPr>
            <w:tcW w:w="659" w:type="pct"/>
            <w:vMerge w:val="continue"/>
            <w:noWrap w:val="0"/>
            <w:vAlign w:val="center"/>
          </w:tcPr>
          <w:p>
            <w:pPr>
              <w:pStyle w:val="29"/>
              <w:bidi w:val="0"/>
            </w:pPr>
          </w:p>
        </w:tc>
        <w:tc>
          <w:tcPr>
            <w:tcW w:w="264" w:type="pct"/>
            <w:vMerge w:val="continue"/>
            <w:noWrap w:val="0"/>
            <w:vAlign w:val="center"/>
          </w:tcPr>
          <w:p>
            <w:pPr>
              <w:pStyle w:val="29"/>
              <w:bidi w:val="0"/>
            </w:pPr>
          </w:p>
        </w:tc>
        <w:tc>
          <w:tcPr>
            <w:tcW w:w="634" w:type="pct"/>
            <w:noWrap w:val="0"/>
            <w:vAlign w:val="center"/>
          </w:tcPr>
          <w:p>
            <w:pPr>
              <w:pStyle w:val="29"/>
              <w:bidi w:val="0"/>
            </w:pPr>
            <w:r>
              <w:t>排放速率</w:t>
            </w:r>
          </w:p>
        </w:tc>
        <w:tc>
          <w:tcPr>
            <w:tcW w:w="677" w:type="pct"/>
            <w:noWrap w:val="0"/>
            <w:vAlign w:val="center"/>
          </w:tcPr>
          <w:p>
            <w:pPr>
              <w:pStyle w:val="29"/>
              <w:bidi w:val="0"/>
              <w:rPr>
                <w:rFonts w:hint="default"/>
                <w:lang w:val="en-US" w:eastAsia="zh-CN"/>
              </w:rPr>
            </w:pPr>
            <w:r>
              <w:rPr>
                <w:rFonts w:hint="eastAsia"/>
                <w:lang w:val="en-US" w:eastAsia="zh-CN"/>
              </w:rPr>
              <w:t>1.7</w:t>
            </w:r>
            <w:r>
              <w:rPr>
                <w:rFonts w:hint="default"/>
                <w:lang w:val="en-US" w:eastAsia="zh-CN"/>
              </w:rPr>
              <w:t>×10</w:t>
            </w:r>
            <w:r>
              <w:rPr>
                <w:rFonts w:hint="default"/>
                <w:vertAlign w:val="superscript"/>
                <w:lang w:val="en-US" w:eastAsia="zh-CN"/>
              </w:rPr>
              <w:t>-</w:t>
            </w:r>
            <w:r>
              <w:rPr>
                <w:rFonts w:hint="eastAsia"/>
                <w:vertAlign w:val="superscript"/>
                <w:lang w:val="en-US" w:eastAsia="zh-CN"/>
              </w:rPr>
              <w:t>5</w:t>
            </w:r>
          </w:p>
        </w:tc>
        <w:tc>
          <w:tcPr>
            <w:tcW w:w="677" w:type="pct"/>
            <w:noWrap w:val="0"/>
            <w:vAlign w:val="center"/>
          </w:tcPr>
          <w:p>
            <w:pPr>
              <w:pStyle w:val="29"/>
              <w:bidi w:val="0"/>
              <w:rPr>
                <w:rFonts w:hint="default"/>
                <w:lang w:val="en-US" w:eastAsia="zh-CN"/>
              </w:rPr>
            </w:pPr>
            <w:r>
              <w:rPr>
                <w:rFonts w:hint="eastAsia"/>
                <w:lang w:val="en-US" w:eastAsia="zh-CN"/>
              </w:rPr>
              <w:t>1.8</w:t>
            </w:r>
            <w:r>
              <w:rPr>
                <w:rFonts w:hint="default"/>
                <w:lang w:val="en-US" w:eastAsia="zh-CN"/>
              </w:rPr>
              <w:t>×10</w:t>
            </w:r>
            <w:r>
              <w:rPr>
                <w:rFonts w:hint="default"/>
                <w:vertAlign w:val="superscript"/>
                <w:lang w:val="en-US" w:eastAsia="zh-CN"/>
              </w:rPr>
              <w:t>-</w:t>
            </w:r>
            <w:r>
              <w:rPr>
                <w:rFonts w:hint="eastAsia"/>
                <w:vertAlign w:val="superscript"/>
                <w:lang w:val="en-US" w:eastAsia="zh-CN"/>
              </w:rPr>
              <w:t>5</w:t>
            </w:r>
          </w:p>
        </w:tc>
        <w:tc>
          <w:tcPr>
            <w:tcW w:w="678" w:type="pct"/>
            <w:noWrap w:val="0"/>
            <w:vAlign w:val="center"/>
          </w:tcPr>
          <w:p>
            <w:pPr>
              <w:pStyle w:val="29"/>
              <w:bidi w:val="0"/>
              <w:rPr>
                <w:rFonts w:hint="default"/>
                <w:lang w:val="en-US" w:eastAsia="zh-CN"/>
              </w:rPr>
            </w:pPr>
            <w:r>
              <w:rPr>
                <w:rFonts w:hint="eastAsia"/>
                <w:lang w:val="en-US" w:eastAsia="zh-CN"/>
              </w:rPr>
              <w:t>1.7</w:t>
            </w:r>
            <w:r>
              <w:rPr>
                <w:rFonts w:hint="default"/>
                <w:lang w:val="en-US" w:eastAsia="zh-CN"/>
              </w:rPr>
              <w:t>×10</w:t>
            </w:r>
            <w:r>
              <w:rPr>
                <w:rFonts w:hint="default"/>
                <w:vertAlign w:val="superscript"/>
                <w:lang w:val="en-US" w:eastAsia="zh-CN"/>
              </w:rPr>
              <w:t>-</w:t>
            </w:r>
            <w:r>
              <w:rPr>
                <w:rFonts w:hint="eastAsia"/>
                <w:vertAlign w:val="superscript"/>
                <w:lang w:val="en-US" w:eastAsia="zh-CN"/>
              </w:rPr>
              <w:t>5</w:t>
            </w:r>
          </w:p>
        </w:tc>
        <w:tc>
          <w:tcPr>
            <w:tcW w:w="747" w:type="pct"/>
            <w:noWrap w:val="0"/>
            <w:vAlign w:val="center"/>
          </w:tcPr>
          <w:p>
            <w:pPr>
              <w:pStyle w:val="29"/>
              <w:bidi w:val="0"/>
            </w:pPr>
            <w:r>
              <w:t>0.33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59" w:type="pct"/>
            <w:vMerge w:val="continue"/>
            <w:noWrap w:val="0"/>
            <w:vAlign w:val="center"/>
          </w:tcPr>
          <w:p>
            <w:pPr>
              <w:pStyle w:val="29"/>
              <w:bidi w:val="0"/>
            </w:pPr>
          </w:p>
        </w:tc>
        <w:tc>
          <w:tcPr>
            <w:tcW w:w="659" w:type="pct"/>
            <w:vMerge w:val="restart"/>
            <w:noWrap w:val="0"/>
            <w:vAlign w:val="center"/>
          </w:tcPr>
          <w:p>
            <w:pPr>
              <w:pStyle w:val="29"/>
              <w:bidi w:val="0"/>
              <w:rPr>
                <w:lang w:val="en-US" w:eastAsia="zh-CN"/>
              </w:rPr>
            </w:pPr>
            <w:r>
              <w:rPr>
                <w:rFonts w:hint="eastAsia"/>
                <w:lang w:val="en-US" w:eastAsia="zh-CN"/>
              </w:rPr>
              <w:t>2022-5-25</w:t>
            </w:r>
          </w:p>
        </w:tc>
        <w:tc>
          <w:tcPr>
            <w:tcW w:w="898" w:type="pct"/>
            <w:gridSpan w:val="2"/>
            <w:noWrap w:val="0"/>
            <w:vAlign w:val="center"/>
          </w:tcPr>
          <w:p>
            <w:pPr>
              <w:pStyle w:val="29"/>
              <w:bidi w:val="0"/>
            </w:pPr>
            <w:r>
              <w:t>标干流量</w:t>
            </w:r>
          </w:p>
        </w:tc>
        <w:tc>
          <w:tcPr>
            <w:tcW w:w="677" w:type="pct"/>
            <w:noWrap w:val="0"/>
            <w:vAlign w:val="center"/>
          </w:tcPr>
          <w:p>
            <w:pPr>
              <w:pStyle w:val="29"/>
              <w:bidi w:val="0"/>
              <w:rPr>
                <w:rFonts w:hint="default"/>
                <w:lang w:val="en-US" w:eastAsia="zh-CN"/>
              </w:rPr>
            </w:pPr>
            <w:r>
              <w:rPr>
                <w:rFonts w:hint="eastAsia"/>
                <w:lang w:val="en-US" w:eastAsia="zh-CN"/>
              </w:rPr>
              <w:t>3394</w:t>
            </w:r>
          </w:p>
        </w:tc>
        <w:tc>
          <w:tcPr>
            <w:tcW w:w="677" w:type="pct"/>
            <w:noWrap w:val="0"/>
            <w:vAlign w:val="center"/>
          </w:tcPr>
          <w:p>
            <w:pPr>
              <w:pStyle w:val="29"/>
              <w:bidi w:val="0"/>
              <w:rPr>
                <w:rFonts w:hint="default"/>
                <w:lang w:val="en-US" w:eastAsia="zh-CN"/>
              </w:rPr>
            </w:pPr>
            <w:r>
              <w:rPr>
                <w:rFonts w:hint="eastAsia"/>
                <w:lang w:val="en-US" w:eastAsia="zh-CN"/>
              </w:rPr>
              <w:t>3483</w:t>
            </w:r>
          </w:p>
        </w:tc>
        <w:tc>
          <w:tcPr>
            <w:tcW w:w="678" w:type="pct"/>
            <w:noWrap w:val="0"/>
            <w:vAlign w:val="center"/>
          </w:tcPr>
          <w:p>
            <w:pPr>
              <w:pStyle w:val="29"/>
              <w:bidi w:val="0"/>
              <w:rPr>
                <w:rFonts w:hint="default"/>
                <w:lang w:val="en-US" w:eastAsia="zh-CN"/>
              </w:rPr>
            </w:pPr>
            <w:r>
              <w:rPr>
                <w:rFonts w:hint="eastAsia"/>
                <w:lang w:val="en-US" w:eastAsia="zh-CN"/>
              </w:rPr>
              <w:t>3576</w:t>
            </w:r>
          </w:p>
        </w:tc>
        <w:tc>
          <w:tcPr>
            <w:tcW w:w="747" w:type="pct"/>
            <w:noWrap w:val="0"/>
            <w:vAlign w:val="center"/>
          </w:tcPr>
          <w:p>
            <w:pPr>
              <w:pStyle w:val="29"/>
              <w:bidi w:val="0"/>
            </w:pPr>
            <w: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59" w:type="pct"/>
            <w:vMerge w:val="continue"/>
            <w:noWrap w:val="0"/>
            <w:vAlign w:val="center"/>
          </w:tcPr>
          <w:p>
            <w:pPr>
              <w:pStyle w:val="29"/>
              <w:bidi w:val="0"/>
            </w:pPr>
          </w:p>
        </w:tc>
        <w:tc>
          <w:tcPr>
            <w:tcW w:w="659" w:type="pct"/>
            <w:vMerge w:val="continue"/>
            <w:noWrap w:val="0"/>
            <w:vAlign w:val="center"/>
          </w:tcPr>
          <w:p>
            <w:pPr>
              <w:pStyle w:val="29"/>
              <w:bidi w:val="0"/>
            </w:pPr>
          </w:p>
        </w:tc>
        <w:tc>
          <w:tcPr>
            <w:tcW w:w="898" w:type="pct"/>
            <w:gridSpan w:val="2"/>
            <w:noWrap w:val="0"/>
            <w:vAlign w:val="center"/>
          </w:tcPr>
          <w:p>
            <w:pPr>
              <w:pStyle w:val="29"/>
              <w:bidi w:val="0"/>
            </w:pPr>
            <w:r>
              <w:t>臭气浓度</w:t>
            </w:r>
          </w:p>
        </w:tc>
        <w:tc>
          <w:tcPr>
            <w:tcW w:w="677" w:type="pct"/>
            <w:noWrap w:val="0"/>
            <w:vAlign w:val="center"/>
          </w:tcPr>
          <w:p>
            <w:pPr>
              <w:pStyle w:val="29"/>
              <w:bidi w:val="0"/>
              <w:rPr>
                <w:rFonts w:hint="default"/>
                <w:lang w:val="en-US" w:eastAsia="zh-CN"/>
              </w:rPr>
            </w:pPr>
            <w:r>
              <w:rPr>
                <w:rFonts w:hint="eastAsia"/>
                <w:lang w:val="en-US" w:eastAsia="zh-CN"/>
              </w:rPr>
              <w:t>309</w:t>
            </w:r>
          </w:p>
        </w:tc>
        <w:tc>
          <w:tcPr>
            <w:tcW w:w="677" w:type="pct"/>
            <w:noWrap w:val="0"/>
            <w:vAlign w:val="center"/>
          </w:tcPr>
          <w:p>
            <w:pPr>
              <w:pStyle w:val="29"/>
              <w:bidi w:val="0"/>
              <w:rPr>
                <w:rFonts w:hint="default"/>
                <w:lang w:val="en-US" w:eastAsia="zh-CN"/>
              </w:rPr>
            </w:pPr>
            <w:r>
              <w:rPr>
                <w:rFonts w:hint="eastAsia"/>
                <w:lang w:val="en-US" w:eastAsia="zh-CN"/>
              </w:rPr>
              <w:t>412</w:t>
            </w:r>
          </w:p>
        </w:tc>
        <w:tc>
          <w:tcPr>
            <w:tcW w:w="678" w:type="pct"/>
            <w:noWrap w:val="0"/>
            <w:vAlign w:val="center"/>
          </w:tcPr>
          <w:p>
            <w:pPr>
              <w:pStyle w:val="29"/>
              <w:bidi w:val="0"/>
              <w:rPr>
                <w:rFonts w:hint="default"/>
                <w:lang w:val="en-US" w:eastAsia="zh-CN"/>
              </w:rPr>
            </w:pPr>
            <w:r>
              <w:rPr>
                <w:rFonts w:hint="eastAsia"/>
                <w:lang w:val="en-US" w:eastAsia="zh-CN"/>
              </w:rPr>
              <w:t>309</w:t>
            </w:r>
          </w:p>
        </w:tc>
        <w:tc>
          <w:tcPr>
            <w:tcW w:w="747" w:type="pct"/>
            <w:noWrap w:val="0"/>
            <w:vAlign w:val="center"/>
          </w:tcPr>
          <w:p>
            <w:pPr>
              <w:pStyle w:val="29"/>
              <w:bidi w:val="0"/>
            </w:pPr>
            <w:r>
              <w:t>2000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59" w:type="pct"/>
            <w:vMerge w:val="continue"/>
            <w:noWrap w:val="0"/>
            <w:vAlign w:val="center"/>
          </w:tcPr>
          <w:p>
            <w:pPr>
              <w:pStyle w:val="29"/>
              <w:bidi w:val="0"/>
            </w:pPr>
          </w:p>
        </w:tc>
        <w:tc>
          <w:tcPr>
            <w:tcW w:w="659" w:type="pct"/>
            <w:vMerge w:val="continue"/>
            <w:noWrap w:val="0"/>
            <w:vAlign w:val="center"/>
          </w:tcPr>
          <w:p>
            <w:pPr>
              <w:pStyle w:val="29"/>
              <w:bidi w:val="0"/>
            </w:pPr>
          </w:p>
        </w:tc>
        <w:tc>
          <w:tcPr>
            <w:tcW w:w="264" w:type="pct"/>
            <w:vMerge w:val="restart"/>
            <w:noWrap w:val="0"/>
            <w:vAlign w:val="center"/>
          </w:tcPr>
          <w:p>
            <w:pPr>
              <w:pStyle w:val="29"/>
              <w:bidi w:val="0"/>
            </w:pPr>
            <w:r>
              <w:t>氨</w:t>
            </w:r>
          </w:p>
        </w:tc>
        <w:tc>
          <w:tcPr>
            <w:tcW w:w="634" w:type="pct"/>
            <w:noWrap w:val="0"/>
            <w:vAlign w:val="center"/>
          </w:tcPr>
          <w:p>
            <w:pPr>
              <w:pStyle w:val="29"/>
              <w:bidi w:val="0"/>
            </w:pPr>
            <w:r>
              <w:t>排放浓度</w:t>
            </w:r>
          </w:p>
        </w:tc>
        <w:tc>
          <w:tcPr>
            <w:tcW w:w="677" w:type="pct"/>
            <w:noWrap w:val="0"/>
            <w:vAlign w:val="center"/>
          </w:tcPr>
          <w:p>
            <w:pPr>
              <w:pStyle w:val="29"/>
              <w:bidi w:val="0"/>
              <w:rPr>
                <w:rFonts w:hint="default"/>
                <w:lang w:val="en-US" w:eastAsia="zh-CN"/>
              </w:rPr>
            </w:pPr>
            <w:r>
              <w:rPr>
                <w:rFonts w:hint="eastAsia"/>
                <w:lang w:val="en-US" w:eastAsia="zh-CN"/>
              </w:rPr>
              <w:t>1.33</w:t>
            </w:r>
          </w:p>
        </w:tc>
        <w:tc>
          <w:tcPr>
            <w:tcW w:w="677" w:type="pct"/>
            <w:noWrap w:val="0"/>
            <w:vAlign w:val="center"/>
          </w:tcPr>
          <w:p>
            <w:pPr>
              <w:pStyle w:val="29"/>
              <w:bidi w:val="0"/>
              <w:rPr>
                <w:rFonts w:hint="default"/>
                <w:lang w:val="en-US" w:eastAsia="zh-CN"/>
              </w:rPr>
            </w:pPr>
            <w:r>
              <w:rPr>
                <w:rFonts w:hint="eastAsia"/>
                <w:lang w:val="en-US" w:eastAsia="zh-CN"/>
              </w:rPr>
              <w:t>1.31</w:t>
            </w:r>
          </w:p>
        </w:tc>
        <w:tc>
          <w:tcPr>
            <w:tcW w:w="678" w:type="pct"/>
            <w:noWrap w:val="0"/>
            <w:vAlign w:val="center"/>
          </w:tcPr>
          <w:p>
            <w:pPr>
              <w:pStyle w:val="29"/>
              <w:bidi w:val="0"/>
              <w:rPr>
                <w:rFonts w:hint="default"/>
                <w:lang w:val="en-US" w:eastAsia="zh-CN"/>
              </w:rPr>
            </w:pPr>
            <w:r>
              <w:rPr>
                <w:rFonts w:hint="eastAsia"/>
                <w:lang w:val="en-US" w:eastAsia="zh-CN"/>
              </w:rPr>
              <w:t>1.32</w:t>
            </w:r>
          </w:p>
        </w:tc>
        <w:tc>
          <w:tcPr>
            <w:tcW w:w="747" w:type="pct"/>
            <w:noWrap w:val="0"/>
            <w:vAlign w:val="center"/>
          </w:tcPr>
          <w:p>
            <w:pPr>
              <w:pStyle w:val="29"/>
              <w:bidi w:val="0"/>
            </w:pPr>
            <w: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59" w:type="pct"/>
            <w:vMerge w:val="continue"/>
            <w:noWrap w:val="0"/>
            <w:vAlign w:val="center"/>
          </w:tcPr>
          <w:p>
            <w:pPr>
              <w:pStyle w:val="29"/>
              <w:bidi w:val="0"/>
            </w:pPr>
          </w:p>
        </w:tc>
        <w:tc>
          <w:tcPr>
            <w:tcW w:w="659" w:type="pct"/>
            <w:vMerge w:val="continue"/>
            <w:noWrap w:val="0"/>
            <w:vAlign w:val="center"/>
          </w:tcPr>
          <w:p>
            <w:pPr>
              <w:pStyle w:val="29"/>
              <w:bidi w:val="0"/>
            </w:pPr>
          </w:p>
        </w:tc>
        <w:tc>
          <w:tcPr>
            <w:tcW w:w="264" w:type="pct"/>
            <w:vMerge w:val="continue"/>
            <w:noWrap w:val="0"/>
            <w:vAlign w:val="center"/>
          </w:tcPr>
          <w:p>
            <w:pPr>
              <w:pStyle w:val="29"/>
              <w:bidi w:val="0"/>
            </w:pPr>
          </w:p>
        </w:tc>
        <w:tc>
          <w:tcPr>
            <w:tcW w:w="634" w:type="pct"/>
            <w:noWrap w:val="0"/>
            <w:vAlign w:val="center"/>
          </w:tcPr>
          <w:p>
            <w:pPr>
              <w:pStyle w:val="29"/>
              <w:bidi w:val="0"/>
            </w:pPr>
            <w:r>
              <w:t>排放速率</w:t>
            </w:r>
          </w:p>
        </w:tc>
        <w:tc>
          <w:tcPr>
            <w:tcW w:w="677" w:type="pct"/>
            <w:noWrap w:val="0"/>
            <w:vAlign w:val="center"/>
          </w:tcPr>
          <w:p>
            <w:pPr>
              <w:pStyle w:val="29"/>
              <w:bidi w:val="0"/>
              <w:rPr>
                <w:rFonts w:hint="eastAsia"/>
                <w:lang w:val="en-US" w:eastAsia="zh-CN"/>
              </w:rPr>
            </w:pPr>
            <w:r>
              <w:rPr>
                <w:rFonts w:hint="eastAsia"/>
                <w:lang w:val="en-US" w:eastAsia="zh-CN"/>
              </w:rPr>
              <w:t>4.5</w:t>
            </w:r>
            <w:r>
              <w:rPr>
                <w:rFonts w:hint="default"/>
                <w:lang w:val="en-US" w:eastAsia="zh-CN"/>
              </w:rPr>
              <w:t>×10</w:t>
            </w:r>
            <w:r>
              <w:rPr>
                <w:rFonts w:hint="default"/>
                <w:vertAlign w:val="superscript"/>
                <w:lang w:val="en-US" w:eastAsia="zh-CN"/>
              </w:rPr>
              <w:t>-</w:t>
            </w:r>
            <w:r>
              <w:rPr>
                <w:rFonts w:hint="eastAsia"/>
                <w:vertAlign w:val="superscript"/>
                <w:lang w:val="en-US" w:eastAsia="zh-CN"/>
              </w:rPr>
              <w:t>3</w:t>
            </w:r>
          </w:p>
        </w:tc>
        <w:tc>
          <w:tcPr>
            <w:tcW w:w="677" w:type="pct"/>
            <w:noWrap w:val="0"/>
            <w:vAlign w:val="center"/>
          </w:tcPr>
          <w:p>
            <w:pPr>
              <w:pStyle w:val="29"/>
              <w:bidi w:val="0"/>
              <w:rPr>
                <w:rFonts w:hint="eastAsia"/>
                <w:lang w:val="en-US" w:eastAsia="zh-CN"/>
              </w:rPr>
            </w:pPr>
            <w:r>
              <w:rPr>
                <w:rFonts w:hint="eastAsia"/>
                <w:lang w:val="en-US" w:eastAsia="zh-CN"/>
              </w:rPr>
              <w:t>4.6</w:t>
            </w:r>
            <w:r>
              <w:rPr>
                <w:rFonts w:hint="default"/>
                <w:lang w:val="en-US" w:eastAsia="zh-CN"/>
              </w:rPr>
              <w:t>×10</w:t>
            </w:r>
            <w:r>
              <w:rPr>
                <w:rFonts w:hint="default"/>
                <w:vertAlign w:val="superscript"/>
                <w:lang w:val="en-US" w:eastAsia="zh-CN"/>
              </w:rPr>
              <w:t>-</w:t>
            </w:r>
            <w:r>
              <w:rPr>
                <w:rFonts w:hint="eastAsia"/>
                <w:vertAlign w:val="superscript"/>
                <w:lang w:val="en-US" w:eastAsia="zh-CN"/>
              </w:rPr>
              <w:t>3</w:t>
            </w:r>
          </w:p>
        </w:tc>
        <w:tc>
          <w:tcPr>
            <w:tcW w:w="678" w:type="pct"/>
            <w:noWrap w:val="0"/>
            <w:vAlign w:val="center"/>
          </w:tcPr>
          <w:p>
            <w:pPr>
              <w:pStyle w:val="29"/>
              <w:bidi w:val="0"/>
              <w:rPr>
                <w:rFonts w:hint="eastAsia"/>
                <w:lang w:val="en-US" w:eastAsia="zh-CN"/>
              </w:rPr>
            </w:pPr>
            <w:r>
              <w:rPr>
                <w:rFonts w:hint="eastAsia"/>
                <w:lang w:val="en-US" w:eastAsia="zh-CN"/>
              </w:rPr>
              <w:t>4.7</w:t>
            </w:r>
            <w:r>
              <w:rPr>
                <w:rFonts w:hint="default"/>
                <w:lang w:val="en-US" w:eastAsia="zh-CN"/>
              </w:rPr>
              <w:t>×10</w:t>
            </w:r>
            <w:r>
              <w:rPr>
                <w:rFonts w:hint="default"/>
                <w:vertAlign w:val="superscript"/>
                <w:lang w:val="en-US" w:eastAsia="zh-CN"/>
              </w:rPr>
              <w:t>-</w:t>
            </w:r>
            <w:r>
              <w:rPr>
                <w:rFonts w:hint="eastAsia"/>
                <w:vertAlign w:val="superscript"/>
                <w:lang w:val="en-US" w:eastAsia="zh-CN"/>
              </w:rPr>
              <w:t>3</w:t>
            </w:r>
          </w:p>
        </w:tc>
        <w:tc>
          <w:tcPr>
            <w:tcW w:w="747" w:type="pct"/>
            <w:noWrap w:val="0"/>
            <w:vAlign w:val="center"/>
          </w:tcPr>
          <w:p>
            <w:pPr>
              <w:pStyle w:val="29"/>
              <w:bidi w:val="0"/>
            </w:pPr>
            <w:r>
              <w:t>4.9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59" w:type="pct"/>
            <w:vMerge w:val="continue"/>
            <w:noWrap w:val="0"/>
            <w:vAlign w:val="center"/>
          </w:tcPr>
          <w:p>
            <w:pPr>
              <w:pStyle w:val="29"/>
              <w:bidi w:val="0"/>
            </w:pPr>
          </w:p>
        </w:tc>
        <w:tc>
          <w:tcPr>
            <w:tcW w:w="659" w:type="pct"/>
            <w:vMerge w:val="continue"/>
            <w:noWrap w:val="0"/>
            <w:vAlign w:val="center"/>
          </w:tcPr>
          <w:p>
            <w:pPr>
              <w:pStyle w:val="29"/>
              <w:bidi w:val="0"/>
            </w:pPr>
          </w:p>
        </w:tc>
        <w:tc>
          <w:tcPr>
            <w:tcW w:w="264" w:type="pct"/>
            <w:vMerge w:val="restart"/>
            <w:noWrap w:val="0"/>
            <w:vAlign w:val="center"/>
          </w:tcPr>
          <w:p>
            <w:pPr>
              <w:pStyle w:val="29"/>
              <w:bidi w:val="0"/>
            </w:pPr>
            <w:r>
              <w:t>硫化氢</w:t>
            </w:r>
          </w:p>
        </w:tc>
        <w:tc>
          <w:tcPr>
            <w:tcW w:w="634" w:type="pct"/>
            <w:noWrap w:val="0"/>
            <w:vAlign w:val="center"/>
          </w:tcPr>
          <w:p>
            <w:pPr>
              <w:pStyle w:val="29"/>
              <w:bidi w:val="0"/>
            </w:pPr>
            <w:r>
              <w:t>排放浓度</w:t>
            </w:r>
          </w:p>
        </w:tc>
        <w:tc>
          <w:tcPr>
            <w:tcW w:w="677" w:type="pct"/>
            <w:noWrap w:val="0"/>
            <w:vAlign w:val="center"/>
          </w:tcPr>
          <w:p>
            <w:pPr>
              <w:pStyle w:val="29"/>
              <w:bidi w:val="0"/>
              <w:rPr>
                <w:rFonts w:hint="eastAsia"/>
                <w:lang w:val="en-US" w:eastAsia="zh-CN"/>
              </w:rPr>
            </w:pPr>
            <w:r>
              <w:rPr>
                <w:rFonts w:hint="eastAsia"/>
                <w:lang w:val="en-US" w:eastAsia="zh-CN"/>
              </w:rPr>
              <w:t>0.01L</w:t>
            </w:r>
          </w:p>
        </w:tc>
        <w:tc>
          <w:tcPr>
            <w:tcW w:w="677" w:type="pct"/>
            <w:noWrap w:val="0"/>
            <w:vAlign w:val="center"/>
          </w:tcPr>
          <w:p>
            <w:pPr>
              <w:pStyle w:val="29"/>
              <w:bidi w:val="0"/>
              <w:rPr>
                <w:rFonts w:hint="eastAsia"/>
                <w:lang w:val="en-US" w:eastAsia="zh-CN"/>
              </w:rPr>
            </w:pPr>
            <w:r>
              <w:rPr>
                <w:rFonts w:hint="eastAsia"/>
                <w:lang w:val="en-US" w:eastAsia="zh-CN"/>
              </w:rPr>
              <w:t>0.01L</w:t>
            </w:r>
          </w:p>
        </w:tc>
        <w:tc>
          <w:tcPr>
            <w:tcW w:w="678" w:type="pct"/>
            <w:noWrap w:val="0"/>
            <w:vAlign w:val="center"/>
          </w:tcPr>
          <w:p>
            <w:pPr>
              <w:pStyle w:val="29"/>
              <w:bidi w:val="0"/>
              <w:rPr>
                <w:rFonts w:hint="eastAsia"/>
                <w:lang w:val="en-US" w:eastAsia="zh-CN"/>
              </w:rPr>
            </w:pPr>
            <w:r>
              <w:rPr>
                <w:rFonts w:hint="eastAsia"/>
                <w:lang w:val="en-US" w:eastAsia="zh-CN"/>
              </w:rPr>
              <w:t>0.01L</w:t>
            </w:r>
          </w:p>
        </w:tc>
        <w:tc>
          <w:tcPr>
            <w:tcW w:w="747" w:type="pct"/>
            <w:noWrap w:val="0"/>
            <w:vAlign w:val="center"/>
          </w:tcPr>
          <w:p>
            <w:pPr>
              <w:pStyle w:val="29"/>
              <w:bidi w:val="0"/>
            </w:pPr>
            <w: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59" w:type="pct"/>
            <w:vMerge w:val="continue"/>
            <w:noWrap w:val="0"/>
            <w:vAlign w:val="center"/>
          </w:tcPr>
          <w:p>
            <w:pPr>
              <w:pStyle w:val="29"/>
              <w:bidi w:val="0"/>
            </w:pPr>
          </w:p>
        </w:tc>
        <w:tc>
          <w:tcPr>
            <w:tcW w:w="659" w:type="pct"/>
            <w:vMerge w:val="continue"/>
            <w:noWrap w:val="0"/>
            <w:vAlign w:val="center"/>
          </w:tcPr>
          <w:p>
            <w:pPr>
              <w:pStyle w:val="29"/>
              <w:bidi w:val="0"/>
            </w:pPr>
          </w:p>
        </w:tc>
        <w:tc>
          <w:tcPr>
            <w:tcW w:w="264" w:type="pct"/>
            <w:vMerge w:val="continue"/>
            <w:noWrap w:val="0"/>
            <w:vAlign w:val="center"/>
          </w:tcPr>
          <w:p>
            <w:pPr>
              <w:pStyle w:val="29"/>
              <w:bidi w:val="0"/>
            </w:pPr>
          </w:p>
        </w:tc>
        <w:tc>
          <w:tcPr>
            <w:tcW w:w="634" w:type="pct"/>
            <w:noWrap w:val="0"/>
            <w:vAlign w:val="center"/>
          </w:tcPr>
          <w:p>
            <w:pPr>
              <w:pStyle w:val="29"/>
              <w:bidi w:val="0"/>
            </w:pPr>
            <w:r>
              <w:t>排放速率</w:t>
            </w:r>
          </w:p>
        </w:tc>
        <w:tc>
          <w:tcPr>
            <w:tcW w:w="677" w:type="pct"/>
            <w:noWrap w:val="0"/>
            <w:vAlign w:val="center"/>
          </w:tcPr>
          <w:p>
            <w:pPr>
              <w:pStyle w:val="29"/>
              <w:bidi w:val="0"/>
              <w:rPr>
                <w:rFonts w:hint="eastAsia"/>
                <w:lang w:val="en-US" w:eastAsia="zh-CN"/>
              </w:rPr>
            </w:pPr>
            <w:r>
              <w:rPr>
                <w:rFonts w:hint="eastAsia"/>
                <w:lang w:val="en-US" w:eastAsia="zh-CN"/>
              </w:rPr>
              <w:t>1.7</w:t>
            </w:r>
            <w:r>
              <w:rPr>
                <w:rFonts w:hint="default"/>
                <w:lang w:val="en-US" w:eastAsia="zh-CN"/>
              </w:rPr>
              <w:t>×10</w:t>
            </w:r>
            <w:r>
              <w:rPr>
                <w:rFonts w:hint="default"/>
                <w:vertAlign w:val="superscript"/>
                <w:lang w:val="en-US" w:eastAsia="zh-CN"/>
              </w:rPr>
              <w:t>-</w:t>
            </w:r>
            <w:r>
              <w:rPr>
                <w:rFonts w:hint="eastAsia"/>
                <w:vertAlign w:val="superscript"/>
                <w:lang w:val="en-US" w:eastAsia="zh-CN"/>
              </w:rPr>
              <w:t>5</w:t>
            </w:r>
          </w:p>
        </w:tc>
        <w:tc>
          <w:tcPr>
            <w:tcW w:w="677" w:type="pct"/>
            <w:noWrap w:val="0"/>
            <w:vAlign w:val="center"/>
          </w:tcPr>
          <w:p>
            <w:pPr>
              <w:pStyle w:val="29"/>
              <w:bidi w:val="0"/>
              <w:rPr>
                <w:rFonts w:hint="eastAsia"/>
                <w:lang w:val="en-US" w:eastAsia="zh-CN"/>
              </w:rPr>
            </w:pPr>
            <w:r>
              <w:rPr>
                <w:rFonts w:hint="eastAsia"/>
                <w:lang w:val="en-US" w:eastAsia="zh-CN"/>
              </w:rPr>
              <w:t>1.7</w:t>
            </w:r>
            <w:r>
              <w:rPr>
                <w:rFonts w:hint="default"/>
                <w:lang w:val="en-US" w:eastAsia="zh-CN"/>
              </w:rPr>
              <w:t>×10</w:t>
            </w:r>
            <w:r>
              <w:rPr>
                <w:rFonts w:hint="default"/>
                <w:vertAlign w:val="superscript"/>
                <w:lang w:val="en-US" w:eastAsia="zh-CN"/>
              </w:rPr>
              <w:t>-</w:t>
            </w:r>
            <w:r>
              <w:rPr>
                <w:rFonts w:hint="eastAsia"/>
                <w:vertAlign w:val="superscript"/>
                <w:lang w:val="en-US" w:eastAsia="zh-CN"/>
              </w:rPr>
              <w:t>5</w:t>
            </w:r>
          </w:p>
        </w:tc>
        <w:tc>
          <w:tcPr>
            <w:tcW w:w="678" w:type="pct"/>
            <w:noWrap w:val="0"/>
            <w:vAlign w:val="center"/>
          </w:tcPr>
          <w:p>
            <w:pPr>
              <w:pStyle w:val="29"/>
              <w:bidi w:val="0"/>
              <w:rPr>
                <w:rFonts w:hint="eastAsia"/>
                <w:lang w:val="en-US" w:eastAsia="zh-CN"/>
              </w:rPr>
            </w:pPr>
            <w:r>
              <w:rPr>
                <w:rFonts w:hint="eastAsia"/>
                <w:lang w:val="en-US" w:eastAsia="zh-CN"/>
              </w:rPr>
              <w:t>1.8</w:t>
            </w:r>
            <w:r>
              <w:rPr>
                <w:rFonts w:hint="default"/>
                <w:lang w:val="en-US" w:eastAsia="zh-CN"/>
              </w:rPr>
              <w:t>×10</w:t>
            </w:r>
            <w:r>
              <w:rPr>
                <w:rFonts w:hint="default"/>
                <w:vertAlign w:val="superscript"/>
                <w:lang w:val="en-US" w:eastAsia="zh-CN"/>
              </w:rPr>
              <w:t>-</w:t>
            </w:r>
            <w:r>
              <w:rPr>
                <w:rFonts w:hint="eastAsia"/>
                <w:vertAlign w:val="superscript"/>
                <w:lang w:val="en-US" w:eastAsia="zh-CN"/>
              </w:rPr>
              <w:t>5</w:t>
            </w:r>
          </w:p>
        </w:tc>
        <w:tc>
          <w:tcPr>
            <w:tcW w:w="747" w:type="pct"/>
            <w:noWrap w:val="0"/>
            <w:vAlign w:val="center"/>
          </w:tcPr>
          <w:p>
            <w:pPr>
              <w:pStyle w:val="29"/>
              <w:bidi w:val="0"/>
            </w:pPr>
            <w:r>
              <w:t>0.33</w:t>
            </w:r>
          </w:p>
        </w:tc>
      </w:tr>
    </w:tbl>
    <w:p/>
    <w:p>
      <w:r>
        <w:t>本项目废气（无组织）监测结果见表9-6；</w:t>
      </w:r>
    </w:p>
    <w:p>
      <w:pPr>
        <w:spacing w:line="300" w:lineRule="exact"/>
        <w:ind w:firstLine="0" w:firstLineChars="0"/>
        <w:jc w:val="center"/>
        <w:rPr>
          <w:b/>
          <w:sz w:val="21"/>
          <w:szCs w:val="21"/>
        </w:rPr>
      </w:pPr>
      <w:r>
        <w:rPr>
          <w:b/>
          <w:sz w:val="21"/>
          <w:szCs w:val="21"/>
        </w:rPr>
        <w:t>表9-6  废气（无组织）监测结果</w:t>
      </w:r>
    </w:p>
    <w:p>
      <w:pPr>
        <w:spacing w:line="300" w:lineRule="exact"/>
        <w:ind w:firstLine="0" w:firstLineChars="0"/>
        <w:jc w:val="right"/>
        <w:rPr>
          <w:bCs/>
          <w:sz w:val="21"/>
          <w:szCs w:val="21"/>
        </w:rPr>
      </w:pPr>
      <w:r>
        <w:rPr>
          <w:bCs/>
          <w:sz w:val="21"/>
          <w:szCs w:val="21"/>
        </w:rPr>
        <w:t>单位：mg/m</w:t>
      </w:r>
      <w:r>
        <w:rPr>
          <w:bCs/>
          <w:sz w:val="21"/>
          <w:szCs w:val="21"/>
          <w:vertAlign w:val="superscript"/>
        </w:rPr>
        <w:t>3</w:t>
      </w:r>
      <w:r>
        <w:rPr>
          <w:bCs/>
          <w:sz w:val="21"/>
          <w:szCs w:val="21"/>
        </w:rPr>
        <w:t>(臭气浓度：无量纲；甲烷：%)</w:t>
      </w:r>
    </w:p>
    <w:tbl>
      <w:tblPr>
        <w:tblStyle w:val="19"/>
        <w:tblW w:w="4998"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2"/>
        <w:gridCol w:w="1523"/>
        <w:gridCol w:w="907"/>
        <w:gridCol w:w="1211"/>
        <w:gridCol w:w="1211"/>
        <w:gridCol w:w="1211"/>
        <w:gridCol w:w="1215"/>
        <w:gridCol w:w="86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15" w:type="pct"/>
            <w:vMerge w:val="restart"/>
            <w:noWrap w:val="0"/>
            <w:vAlign w:val="center"/>
          </w:tcPr>
          <w:p>
            <w:pPr>
              <w:pStyle w:val="29"/>
              <w:bidi w:val="0"/>
            </w:pPr>
            <w:r>
              <w:t>监测项目</w:t>
            </w:r>
          </w:p>
        </w:tc>
        <w:tc>
          <w:tcPr>
            <w:tcW w:w="820" w:type="pct"/>
            <w:vMerge w:val="restart"/>
            <w:noWrap w:val="0"/>
            <w:vAlign w:val="center"/>
          </w:tcPr>
          <w:p>
            <w:pPr>
              <w:pStyle w:val="29"/>
              <w:bidi w:val="0"/>
            </w:pPr>
            <w:r>
              <w:t>监测日期</w:t>
            </w:r>
          </w:p>
        </w:tc>
        <w:tc>
          <w:tcPr>
            <w:tcW w:w="488" w:type="pct"/>
            <w:vMerge w:val="restart"/>
            <w:noWrap w:val="0"/>
            <w:vAlign w:val="center"/>
          </w:tcPr>
          <w:p>
            <w:pPr>
              <w:pStyle w:val="29"/>
              <w:bidi w:val="0"/>
            </w:pPr>
            <w:r>
              <w:t>点位</w:t>
            </w:r>
          </w:p>
          <w:p>
            <w:pPr>
              <w:pStyle w:val="29"/>
              <w:bidi w:val="0"/>
            </w:pPr>
            <w:r>
              <w:t>编号</w:t>
            </w:r>
          </w:p>
        </w:tc>
        <w:tc>
          <w:tcPr>
            <w:tcW w:w="2610" w:type="pct"/>
            <w:gridSpan w:val="4"/>
            <w:noWrap w:val="0"/>
            <w:vAlign w:val="center"/>
          </w:tcPr>
          <w:p>
            <w:pPr>
              <w:pStyle w:val="29"/>
              <w:bidi w:val="0"/>
            </w:pPr>
            <w:r>
              <w:t>监测结果</w:t>
            </w:r>
          </w:p>
        </w:tc>
        <w:tc>
          <w:tcPr>
            <w:tcW w:w="465" w:type="pct"/>
            <w:vMerge w:val="restart"/>
            <w:noWrap w:val="0"/>
            <w:vAlign w:val="center"/>
          </w:tcPr>
          <w:p>
            <w:pPr>
              <w:pStyle w:val="29"/>
              <w:bidi w:val="0"/>
            </w:pPr>
            <w:r>
              <w:t>排放</w:t>
            </w:r>
          </w:p>
          <w:p>
            <w:pPr>
              <w:pStyle w:val="29"/>
              <w:bidi w:val="0"/>
            </w:pPr>
            <w:r>
              <w:t>限值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15" w:type="pct"/>
            <w:vMerge w:val="continue"/>
            <w:noWrap w:val="0"/>
            <w:vAlign w:val="center"/>
          </w:tcPr>
          <w:p>
            <w:pPr>
              <w:pStyle w:val="29"/>
              <w:bidi w:val="0"/>
            </w:pPr>
          </w:p>
        </w:tc>
        <w:tc>
          <w:tcPr>
            <w:tcW w:w="820" w:type="pct"/>
            <w:vMerge w:val="continue"/>
            <w:noWrap w:val="0"/>
            <w:vAlign w:val="center"/>
          </w:tcPr>
          <w:p>
            <w:pPr>
              <w:pStyle w:val="29"/>
              <w:bidi w:val="0"/>
            </w:pPr>
          </w:p>
        </w:tc>
        <w:tc>
          <w:tcPr>
            <w:tcW w:w="488" w:type="pct"/>
            <w:vMerge w:val="continue"/>
            <w:noWrap w:val="0"/>
            <w:vAlign w:val="center"/>
          </w:tcPr>
          <w:p>
            <w:pPr>
              <w:pStyle w:val="29"/>
              <w:bidi w:val="0"/>
            </w:pPr>
          </w:p>
        </w:tc>
        <w:tc>
          <w:tcPr>
            <w:tcW w:w="652" w:type="pct"/>
            <w:noWrap w:val="0"/>
            <w:vAlign w:val="center"/>
          </w:tcPr>
          <w:p>
            <w:pPr>
              <w:pStyle w:val="29"/>
              <w:bidi w:val="0"/>
            </w:pPr>
            <w:r>
              <w:t>第一次</w:t>
            </w:r>
          </w:p>
        </w:tc>
        <w:tc>
          <w:tcPr>
            <w:tcW w:w="652" w:type="pct"/>
            <w:noWrap w:val="0"/>
            <w:vAlign w:val="center"/>
          </w:tcPr>
          <w:p>
            <w:pPr>
              <w:pStyle w:val="29"/>
              <w:bidi w:val="0"/>
            </w:pPr>
            <w:r>
              <w:t>第二次</w:t>
            </w:r>
          </w:p>
        </w:tc>
        <w:tc>
          <w:tcPr>
            <w:tcW w:w="652" w:type="pct"/>
            <w:noWrap w:val="0"/>
            <w:vAlign w:val="center"/>
          </w:tcPr>
          <w:p>
            <w:pPr>
              <w:pStyle w:val="29"/>
              <w:bidi w:val="0"/>
            </w:pPr>
            <w:r>
              <w:t>第三次</w:t>
            </w:r>
          </w:p>
        </w:tc>
        <w:tc>
          <w:tcPr>
            <w:tcW w:w="654" w:type="pct"/>
            <w:noWrap w:val="0"/>
            <w:vAlign w:val="center"/>
          </w:tcPr>
          <w:p>
            <w:pPr>
              <w:pStyle w:val="29"/>
              <w:bidi w:val="0"/>
            </w:pPr>
            <w:r>
              <w:t>第四次</w:t>
            </w:r>
          </w:p>
        </w:tc>
        <w:tc>
          <w:tcPr>
            <w:tcW w:w="465" w:type="pct"/>
            <w:vMerge w:val="continue"/>
            <w:noWrap w:val="0"/>
            <w:vAlign w:val="center"/>
          </w:tcPr>
          <w:p>
            <w:pPr>
              <w:pStyle w:val="29"/>
              <w:bidi w:val="0"/>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Merge w:val="restart"/>
            <w:noWrap w:val="0"/>
            <w:vAlign w:val="center"/>
          </w:tcPr>
          <w:p>
            <w:pPr>
              <w:pStyle w:val="29"/>
              <w:bidi w:val="0"/>
            </w:pPr>
            <w:r>
              <w:t>氨</w:t>
            </w:r>
          </w:p>
        </w:tc>
        <w:tc>
          <w:tcPr>
            <w:tcW w:w="820" w:type="pct"/>
            <w:vMerge w:val="restart"/>
            <w:noWrap w:val="0"/>
            <w:vAlign w:val="center"/>
          </w:tcPr>
          <w:p>
            <w:pPr>
              <w:pStyle w:val="29"/>
              <w:bidi w:val="0"/>
              <w:rPr>
                <w:rFonts w:hint="eastAsia"/>
                <w:lang w:val="en-US" w:eastAsia="zh-CN"/>
              </w:rPr>
            </w:pPr>
            <w:r>
              <w:rPr>
                <w:rFonts w:hint="eastAsia"/>
                <w:lang w:val="en-US" w:eastAsia="zh-CN"/>
              </w:rPr>
              <w:t>2022-5-24</w:t>
            </w:r>
          </w:p>
        </w:tc>
        <w:tc>
          <w:tcPr>
            <w:tcW w:w="488" w:type="pct"/>
            <w:noWrap w:val="0"/>
            <w:vAlign w:val="center"/>
          </w:tcPr>
          <w:p>
            <w:pPr>
              <w:pStyle w:val="29"/>
              <w:bidi w:val="0"/>
            </w:pPr>
            <w:r>
              <w:t>K1</w:t>
            </w:r>
          </w:p>
        </w:tc>
        <w:tc>
          <w:tcPr>
            <w:tcW w:w="652" w:type="pct"/>
            <w:noWrap w:val="0"/>
            <w:vAlign w:val="center"/>
          </w:tcPr>
          <w:p>
            <w:pPr>
              <w:pStyle w:val="29"/>
              <w:bidi w:val="0"/>
              <w:rPr>
                <w:rFonts w:hint="default"/>
                <w:lang w:val="en-US" w:eastAsia="zh-CN"/>
              </w:rPr>
            </w:pPr>
            <w:r>
              <w:rPr>
                <w:rFonts w:hint="eastAsia"/>
                <w:lang w:val="en-US" w:eastAsia="zh-CN"/>
              </w:rPr>
              <w:t>0.24</w:t>
            </w:r>
          </w:p>
        </w:tc>
        <w:tc>
          <w:tcPr>
            <w:tcW w:w="652" w:type="pct"/>
            <w:noWrap w:val="0"/>
            <w:vAlign w:val="center"/>
          </w:tcPr>
          <w:p>
            <w:pPr>
              <w:pStyle w:val="29"/>
              <w:bidi w:val="0"/>
              <w:rPr>
                <w:rFonts w:hint="default"/>
                <w:lang w:val="en-US" w:eastAsia="zh-CN"/>
              </w:rPr>
            </w:pPr>
            <w:r>
              <w:rPr>
                <w:rFonts w:hint="eastAsia"/>
                <w:lang w:val="en-US" w:eastAsia="zh-CN"/>
              </w:rPr>
              <w:t>0.24</w:t>
            </w:r>
          </w:p>
        </w:tc>
        <w:tc>
          <w:tcPr>
            <w:tcW w:w="652" w:type="pct"/>
            <w:noWrap w:val="0"/>
            <w:vAlign w:val="center"/>
          </w:tcPr>
          <w:p>
            <w:pPr>
              <w:pStyle w:val="29"/>
              <w:bidi w:val="0"/>
              <w:rPr>
                <w:rFonts w:hint="default"/>
                <w:lang w:val="en-US" w:eastAsia="zh-CN"/>
              </w:rPr>
            </w:pPr>
            <w:r>
              <w:rPr>
                <w:rFonts w:hint="eastAsia"/>
                <w:lang w:val="en-US" w:eastAsia="zh-CN"/>
              </w:rPr>
              <w:t>0.24</w:t>
            </w:r>
          </w:p>
        </w:tc>
        <w:tc>
          <w:tcPr>
            <w:tcW w:w="654" w:type="pct"/>
            <w:noWrap w:val="0"/>
            <w:vAlign w:val="center"/>
          </w:tcPr>
          <w:p>
            <w:pPr>
              <w:pStyle w:val="29"/>
              <w:bidi w:val="0"/>
              <w:rPr>
                <w:rFonts w:hint="default"/>
                <w:lang w:val="en-US" w:eastAsia="zh-CN"/>
              </w:rPr>
            </w:pPr>
            <w:r>
              <w:rPr>
                <w:rFonts w:hint="eastAsia"/>
                <w:lang w:val="en-US" w:eastAsia="zh-CN"/>
              </w:rPr>
              <w:t>0.23</w:t>
            </w:r>
          </w:p>
        </w:tc>
        <w:tc>
          <w:tcPr>
            <w:tcW w:w="465" w:type="pct"/>
            <w:vMerge w:val="restart"/>
            <w:noWrap w:val="0"/>
            <w:vAlign w:val="center"/>
          </w:tcPr>
          <w:p>
            <w:pPr>
              <w:pStyle w:val="29"/>
              <w:bidi w:val="0"/>
            </w:pPr>
            <w:r>
              <w:t>1.5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Merge w:val="continue"/>
            <w:noWrap w:val="0"/>
            <w:vAlign w:val="center"/>
          </w:tcPr>
          <w:p>
            <w:pPr>
              <w:pStyle w:val="29"/>
              <w:bidi w:val="0"/>
            </w:pPr>
          </w:p>
        </w:tc>
        <w:tc>
          <w:tcPr>
            <w:tcW w:w="820" w:type="pct"/>
            <w:vMerge w:val="continue"/>
            <w:noWrap w:val="0"/>
            <w:vAlign w:val="center"/>
          </w:tcPr>
          <w:p>
            <w:pPr>
              <w:pStyle w:val="29"/>
              <w:bidi w:val="0"/>
              <w:rPr>
                <w:rFonts w:hint="eastAsia"/>
              </w:rPr>
            </w:pPr>
          </w:p>
        </w:tc>
        <w:tc>
          <w:tcPr>
            <w:tcW w:w="488" w:type="pct"/>
            <w:noWrap w:val="0"/>
            <w:vAlign w:val="center"/>
          </w:tcPr>
          <w:p>
            <w:pPr>
              <w:pStyle w:val="29"/>
              <w:bidi w:val="0"/>
            </w:pPr>
            <w:r>
              <w:t>K2</w:t>
            </w:r>
          </w:p>
        </w:tc>
        <w:tc>
          <w:tcPr>
            <w:tcW w:w="652" w:type="pct"/>
            <w:noWrap w:val="0"/>
            <w:vAlign w:val="center"/>
          </w:tcPr>
          <w:p>
            <w:pPr>
              <w:pStyle w:val="29"/>
              <w:bidi w:val="0"/>
              <w:rPr>
                <w:rFonts w:hint="default"/>
                <w:lang w:val="en-US" w:eastAsia="zh-CN"/>
              </w:rPr>
            </w:pPr>
            <w:r>
              <w:rPr>
                <w:rFonts w:hint="eastAsia"/>
                <w:lang w:val="en-US" w:eastAsia="zh-CN"/>
              </w:rPr>
              <w:t>0.29</w:t>
            </w:r>
          </w:p>
        </w:tc>
        <w:tc>
          <w:tcPr>
            <w:tcW w:w="652" w:type="pct"/>
            <w:noWrap w:val="0"/>
            <w:vAlign w:val="center"/>
          </w:tcPr>
          <w:p>
            <w:pPr>
              <w:pStyle w:val="29"/>
              <w:bidi w:val="0"/>
              <w:rPr>
                <w:rFonts w:hint="default"/>
                <w:lang w:val="en-US" w:eastAsia="zh-CN"/>
              </w:rPr>
            </w:pPr>
            <w:r>
              <w:rPr>
                <w:rFonts w:hint="eastAsia"/>
                <w:lang w:val="en-US" w:eastAsia="zh-CN"/>
              </w:rPr>
              <w:t>0.29</w:t>
            </w:r>
          </w:p>
        </w:tc>
        <w:tc>
          <w:tcPr>
            <w:tcW w:w="652" w:type="pct"/>
            <w:noWrap w:val="0"/>
            <w:vAlign w:val="center"/>
          </w:tcPr>
          <w:p>
            <w:pPr>
              <w:pStyle w:val="29"/>
              <w:bidi w:val="0"/>
              <w:rPr>
                <w:rFonts w:hint="default"/>
                <w:lang w:val="en-US" w:eastAsia="zh-CN"/>
              </w:rPr>
            </w:pPr>
            <w:r>
              <w:rPr>
                <w:rFonts w:hint="eastAsia"/>
                <w:lang w:val="en-US" w:eastAsia="zh-CN"/>
              </w:rPr>
              <w:t>0.28</w:t>
            </w:r>
          </w:p>
        </w:tc>
        <w:tc>
          <w:tcPr>
            <w:tcW w:w="654" w:type="pct"/>
            <w:noWrap w:val="0"/>
            <w:vAlign w:val="center"/>
          </w:tcPr>
          <w:p>
            <w:pPr>
              <w:pStyle w:val="29"/>
              <w:bidi w:val="0"/>
              <w:rPr>
                <w:rFonts w:hint="default"/>
                <w:lang w:val="en-US" w:eastAsia="zh-CN"/>
              </w:rPr>
            </w:pPr>
            <w:r>
              <w:rPr>
                <w:rFonts w:hint="eastAsia"/>
                <w:lang w:val="en-US" w:eastAsia="zh-CN"/>
              </w:rPr>
              <w:t>0.28</w:t>
            </w:r>
          </w:p>
        </w:tc>
        <w:tc>
          <w:tcPr>
            <w:tcW w:w="465" w:type="pct"/>
            <w:vMerge w:val="continue"/>
            <w:noWrap w:val="0"/>
            <w:vAlign w:val="center"/>
          </w:tcPr>
          <w:p>
            <w:pPr>
              <w:pStyle w:val="29"/>
              <w:bidi w:val="0"/>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Merge w:val="continue"/>
            <w:noWrap w:val="0"/>
            <w:vAlign w:val="center"/>
          </w:tcPr>
          <w:p>
            <w:pPr>
              <w:pStyle w:val="29"/>
              <w:bidi w:val="0"/>
            </w:pPr>
          </w:p>
        </w:tc>
        <w:tc>
          <w:tcPr>
            <w:tcW w:w="820" w:type="pct"/>
            <w:vMerge w:val="continue"/>
            <w:noWrap w:val="0"/>
            <w:vAlign w:val="center"/>
          </w:tcPr>
          <w:p>
            <w:pPr>
              <w:pStyle w:val="29"/>
              <w:bidi w:val="0"/>
              <w:rPr>
                <w:rFonts w:hint="eastAsia"/>
              </w:rPr>
            </w:pPr>
          </w:p>
        </w:tc>
        <w:tc>
          <w:tcPr>
            <w:tcW w:w="488" w:type="pct"/>
            <w:noWrap w:val="0"/>
            <w:vAlign w:val="center"/>
          </w:tcPr>
          <w:p>
            <w:pPr>
              <w:pStyle w:val="29"/>
              <w:bidi w:val="0"/>
            </w:pPr>
            <w:r>
              <w:t>K3</w:t>
            </w:r>
          </w:p>
        </w:tc>
        <w:tc>
          <w:tcPr>
            <w:tcW w:w="652" w:type="pct"/>
            <w:noWrap w:val="0"/>
            <w:vAlign w:val="center"/>
          </w:tcPr>
          <w:p>
            <w:pPr>
              <w:pStyle w:val="29"/>
              <w:bidi w:val="0"/>
              <w:rPr>
                <w:rFonts w:hint="default"/>
                <w:lang w:val="en-US" w:eastAsia="zh-CN"/>
              </w:rPr>
            </w:pPr>
            <w:r>
              <w:rPr>
                <w:rFonts w:hint="eastAsia"/>
                <w:lang w:val="en-US" w:eastAsia="zh-CN"/>
              </w:rPr>
              <w:t>0.35</w:t>
            </w:r>
          </w:p>
        </w:tc>
        <w:tc>
          <w:tcPr>
            <w:tcW w:w="652" w:type="pct"/>
            <w:noWrap w:val="0"/>
            <w:vAlign w:val="center"/>
          </w:tcPr>
          <w:p>
            <w:pPr>
              <w:pStyle w:val="29"/>
              <w:bidi w:val="0"/>
              <w:rPr>
                <w:rFonts w:hint="default"/>
                <w:lang w:val="en-US" w:eastAsia="zh-CN"/>
              </w:rPr>
            </w:pPr>
            <w:r>
              <w:rPr>
                <w:rFonts w:hint="eastAsia"/>
                <w:lang w:val="en-US" w:eastAsia="zh-CN"/>
              </w:rPr>
              <w:t>0.35</w:t>
            </w:r>
          </w:p>
        </w:tc>
        <w:tc>
          <w:tcPr>
            <w:tcW w:w="652" w:type="pct"/>
            <w:noWrap w:val="0"/>
            <w:vAlign w:val="center"/>
          </w:tcPr>
          <w:p>
            <w:pPr>
              <w:pStyle w:val="29"/>
              <w:bidi w:val="0"/>
              <w:rPr>
                <w:rFonts w:hint="default"/>
                <w:lang w:val="en-US" w:eastAsia="zh-CN"/>
              </w:rPr>
            </w:pPr>
            <w:r>
              <w:rPr>
                <w:rFonts w:hint="eastAsia"/>
                <w:lang w:val="en-US" w:eastAsia="zh-CN"/>
              </w:rPr>
              <w:t>0.35</w:t>
            </w:r>
          </w:p>
        </w:tc>
        <w:tc>
          <w:tcPr>
            <w:tcW w:w="654" w:type="pct"/>
            <w:noWrap w:val="0"/>
            <w:vAlign w:val="center"/>
          </w:tcPr>
          <w:p>
            <w:pPr>
              <w:pStyle w:val="29"/>
              <w:bidi w:val="0"/>
              <w:rPr>
                <w:rFonts w:hint="default"/>
                <w:lang w:val="en-US" w:eastAsia="zh-CN"/>
              </w:rPr>
            </w:pPr>
            <w:r>
              <w:rPr>
                <w:rFonts w:hint="eastAsia"/>
                <w:lang w:val="en-US" w:eastAsia="zh-CN"/>
              </w:rPr>
              <w:t>0.35</w:t>
            </w:r>
          </w:p>
        </w:tc>
        <w:tc>
          <w:tcPr>
            <w:tcW w:w="465" w:type="pct"/>
            <w:vMerge w:val="continue"/>
            <w:noWrap w:val="0"/>
            <w:vAlign w:val="center"/>
          </w:tcPr>
          <w:p>
            <w:pPr>
              <w:pStyle w:val="29"/>
              <w:bidi w:val="0"/>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Merge w:val="continue"/>
            <w:noWrap w:val="0"/>
            <w:vAlign w:val="center"/>
          </w:tcPr>
          <w:p>
            <w:pPr>
              <w:pStyle w:val="29"/>
              <w:bidi w:val="0"/>
            </w:pPr>
          </w:p>
        </w:tc>
        <w:tc>
          <w:tcPr>
            <w:tcW w:w="820" w:type="pct"/>
            <w:vMerge w:val="continue"/>
            <w:noWrap w:val="0"/>
            <w:vAlign w:val="center"/>
          </w:tcPr>
          <w:p>
            <w:pPr>
              <w:pStyle w:val="29"/>
              <w:bidi w:val="0"/>
              <w:rPr>
                <w:rFonts w:hint="eastAsia"/>
              </w:rPr>
            </w:pPr>
          </w:p>
        </w:tc>
        <w:tc>
          <w:tcPr>
            <w:tcW w:w="488" w:type="pct"/>
            <w:noWrap w:val="0"/>
            <w:vAlign w:val="center"/>
          </w:tcPr>
          <w:p>
            <w:pPr>
              <w:pStyle w:val="29"/>
              <w:bidi w:val="0"/>
            </w:pPr>
            <w:r>
              <w:t>K4</w:t>
            </w:r>
          </w:p>
        </w:tc>
        <w:tc>
          <w:tcPr>
            <w:tcW w:w="652" w:type="pct"/>
            <w:noWrap w:val="0"/>
            <w:vAlign w:val="center"/>
          </w:tcPr>
          <w:p>
            <w:pPr>
              <w:pStyle w:val="29"/>
              <w:bidi w:val="0"/>
              <w:rPr>
                <w:rFonts w:hint="default"/>
                <w:lang w:val="en-US" w:eastAsia="zh-CN"/>
              </w:rPr>
            </w:pPr>
            <w:r>
              <w:rPr>
                <w:rFonts w:hint="eastAsia"/>
                <w:lang w:val="en-US" w:eastAsia="zh-CN"/>
              </w:rPr>
              <w:t>0.21</w:t>
            </w:r>
          </w:p>
        </w:tc>
        <w:tc>
          <w:tcPr>
            <w:tcW w:w="652" w:type="pct"/>
            <w:noWrap w:val="0"/>
            <w:vAlign w:val="center"/>
          </w:tcPr>
          <w:p>
            <w:pPr>
              <w:pStyle w:val="29"/>
              <w:bidi w:val="0"/>
              <w:rPr>
                <w:rFonts w:hint="default"/>
                <w:lang w:val="en-US" w:eastAsia="zh-CN"/>
              </w:rPr>
            </w:pPr>
            <w:r>
              <w:rPr>
                <w:rFonts w:hint="eastAsia"/>
                <w:lang w:val="en-US" w:eastAsia="zh-CN"/>
              </w:rPr>
              <w:t>0.20</w:t>
            </w:r>
          </w:p>
        </w:tc>
        <w:tc>
          <w:tcPr>
            <w:tcW w:w="652" w:type="pct"/>
            <w:noWrap w:val="0"/>
            <w:vAlign w:val="center"/>
          </w:tcPr>
          <w:p>
            <w:pPr>
              <w:pStyle w:val="29"/>
              <w:bidi w:val="0"/>
              <w:rPr>
                <w:rFonts w:hint="default"/>
                <w:lang w:val="en-US" w:eastAsia="zh-CN"/>
              </w:rPr>
            </w:pPr>
            <w:r>
              <w:rPr>
                <w:rFonts w:hint="eastAsia"/>
                <w:lang w:val="en-US" w:eastAsia="zh-CN"/>
              </w:rPr>
              <w:t>0.21</w:t>
            </w:r>
          </w:p>
        </w:tc>
        <w:tc>
          <w:tcPr>
            <w:tcW w:w="654" w:type="pct"/>
            <w:noWrap w:val="0"/>
            <w:vAlign w:val="center"/>
          </w:tcPr>
          <w:p>
            <w:pPr>
              <w:pStyle w:val="29"/>
              <w:bidi w:val="0"/>
              <w:rPr>
                <w:rFonts w:hint="default"/>
                <w:lang w:val="en-US" w:eastAsia="zh-CN"/>
              </w:rPr>
            </w:pPr>
            <w:r>
              <w:rPr>
                <w:rFonts w:hint="eastAsia"/>
                <w:lang w:val="en-US" w:eastAsia="zh-CN"/>
              </w:rPr>
              <w:t>0.21</w:t>
            </w:r>
          </w:p>
        </w:tc>
        <w:tc>
          <w:tcPr>
            <w:tcW w:w="465" w:type="pct"/>
            <w:vMerge w:val="continue"/>
            <w:noWrap w:val="0"/>
            <w:vAlign w:val="center"/>
          </w:tcPr>
          <w:p>
            <w:pPr>
              <w:pStyle w:val="29"/>
              <w:bidi w:val="0"/>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Merge w:val="continue"/>
            <w:noWrap w:val="0"/>
            <w:vAlign w:val="center"/>
          </w:tcPr>
          <w:p>
            <w:pPr>
              <w:pStyle w:val="29"/>
              <w:bidi w:val="0"/>
            </w:pPr>
          </w:p>
        </w:tc>
        <w:tc>
          <w:tcPr>
            <w:tcW w:w="820" w:type="pct"/>
            <w:vMerge w:val="restart"/>
            <w:noWrap w:val="0"/>
            <w:vAlign w:val="center"/>
          </w:tcPr>
          <w:p>
            <w:pPr>
              <w:pStyle w:val="29"/>
              <w:bidi w:val="0"/>
              <w:rPr>
                <w:rFonts w:hint="eastAsia"/>
              </w:rPr>
            </w:pPr>
            <w:r>
              <w:rPr>
                <w:rFonts w:hint="eastAsia"/>
                <w:lang w:val="en-US" w:eastAsia="zh-CN"/>
              </w:rPr>
              <w:t>2022-5-25</w:t>
            </w:r>
          </w:p>
        </w:tc>
        <w:tc>
          <w:tcPr>
            <w:tcW w:w="488" w:type="pct"/>
            <w:noWrap w:val="0"/>
            <w:vAlign w:val="center"/>
          </w:tcPr>
          <w:p>
            <w:pPr>
              <w:pStyle w:val="29"/>
              <w:bidi w:val="0"/>
            </w:pPr>
            <w:r>
              <w:t>K1</w:t>
            </w:r>
          </w:p>
        </w:tc>
        <w:tc>
          <w:tcPr>
            <w:tcW w:w="652" w:type="pct"/>
            <w:noWrap w:val="0"/>
            <w:vAlign w:val="center"/>
          </w:tcPr>
          <w:p>
            <w:pPr>
              <w:pStyle w:val="29"/>
              <w:bidi w:val="0"/>
              <w:rPr>
                <w:rFonts w:hint="default"/>
                <w:lang w:val="en-US" w:eastAsia="zh-CN"/>
              </w:rPr>
            </w:pPr>
            <w:r>
              <w:rPr>
                <w:rFonts w:hint="eastAsia"/>
                <w:lang w:val="en-US" w:eastAsia="zh-CN"/>
              </w:rPr>
              <w:t>0.23</w:t>
            </w:r>
          </w:p>
        </w:tc>
        <w:tc>
          <w:tcPr>
            <w:tcW w:w="652" w:type="pct"/>
            <w:noWrap w:val="0"/>
            <w:vAlign w:val="center"/>
          </w:tcPr>
          <w:p>
            <w:pPr>
              <w:pStyle w:val="29"/>
              <w:bidi w:val="0"/>
              <w:rPr>
                <w:rFonts w:hint="default"/>
                <w:lang w:val="en-US" w:eastAsia="zh-CN"/>
              </w:rPr>
            </w:pPr>
            <w:r>
              <w:rPr>
                <w:rFonts w:hint="eastAsia"/>
                <w:lang w:val="en-US" w:eastAsia="zh-CN"/>
              </w:rPr>
              <w:t>0.23</w:t>
            </w:r>
          </w:p>
        </w:tc>
        <w:tc>
          <w:tcPr>
            <w:tcW w:w="652" w:type="pct"/>
            <w:noWrap w:val="0"/>
            <w:vAlign w:val="center"/>
          </w:tcPr>
          <w:p>
            <w:pPr>
              <w:pStyle w:val="29"/>
              <w:bidi w:val="0"/>
              <w:rPr>
                <w:rFonts w:hint="default"/>
                <w:lang w:val="en-US" w:eastAsia="zh-CN"/>
              </w:rPr>
            </w:pPr>
            <w:r>
              <w:rPr>
                <w:rFonts w:hint="eastAsia"/>
                <w:lang w:val="en-US" w:eastAsia="zh-CN"/>
              </w:rPr>
              <w:t>0.23</w:t>
            </w:r>
          </w:p>
        </w:tc>
        <w:tc>
          <w:tcPr>
            <w:tcW w:w="654" w:type="pct"/>
            <w:noWrap w:val="0"/>
            <w:vAlign w:val="center"/>
          </w:tcPr>
          <w:p>
            <w:pPr>
              <w:pStyle w:val="29"/>
              <w:bidi w:val="0"/>
              <w:rPr>
                <w:rFonts w:hint="default"/>
                <w:lang w:val="en-US" w:eastAsia="zh-CN"/>
              </w:rPr>
            </w:pPr>
            <w:r>
              <w:rPr>
                <w:rFonts w:hint="eastAsia"/>
                <w:lang w:val="en-US" w:eastAsia="zh-CN"/>
              </w:rPr>
              <w:t>0.23</w:t>
            </w:r>
          </w:p>
        </w:tc>
        <w:tc>
          <w:tcPr>
            <w:tcW w:w="465" w:type="pct"/>
            <w:vMerge w:val="continue"/>
            <w:noWrap w:val="0"/>
            <w:vAlign w:val="center"/>
          </w:tcPr>
          <w:p>
            <w:pPr>
              <w:pStyle w:val="29"/>
              <w:bidi w:val="0"/>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Merge w:val="continue"/>
            <w:noWrap w:val="0"/>
            <w:vAlign w:val="center"/>
          </w:tcPr>
          <w:p>
            <w:pPr>
              <w:pStyle w:val="29"/>
              <w:bidi w:val="0"/>
            </w:pPr>
          </w:p>
        </w:tc>
        <w:tc>
          <w:tcPr>
            <w:tcW w:w="820" w:type="pct"/>
            <w:vMerge w:val="continue"/>
            <w:noWrap w:val="0"/>
            <w:vAlign w:val="center"/>
          </w:tcPr>
          <w:p>
            <w:pPr>
              <w:pStyle w:val="29"/>
              <w:bidi w:val="0"/>
            </w:pPr>
          </w:p>
        </w:tc>
        <w:tc>
          <w:tcPr>
            <w:tcW w:w="488" w:type="pct"/>
            <w:noWrap w:val="0"/>
            <w:vAlign w:val="center"/>
          </w:tcPr>
          <w:p>
            <w:pPr>
              <w:pStyle w:val="29"/>
              <w:bidi w:val="0"/>
            </w:pPr>
            <w:r>
              <w:t>K2</w:t>
            </w:r>
          </w:p>
        </w:tc>
        <w:tc>
          <w:tcPr>
            <w:tcW w:w="652" w:type="pct"/>
            <w:noWrap w:val="0"/>
            <w:vAlign w:val="center"/>
          </w:tcPr>
          <w:p>
            <w:pPr>
              <w:pStyle w:val="29"/>
              <w:bidi w:val="0"/>
              <w:rPr>
                <w:rFonts w:hint="default"/>
                <w:lang w:val="en-US" w:eastAsia="zh-CN"/>
              </w:rPr>
            </w:pPr>
            <w:r>
              <w:rPr>
                <w:rFonts w:hint="eastAsia"/>
                <w:lang w:val="en-US" w:eastAsia="zh-CN"/>
              </w:rPr>
              <w:t>0.28</w:t>
            </w:r>
          </w:p>
        </w:tc>
        <w:tc>
          <w:tcPr>
            <w:tcW w:w="652" w:type="pct"/>
            <w:noWrap w:val="0"/>
            <w:vAlign w:val="center"/>
          </w:tcPr>
          <w:p>
            <w:pPr>
              <w:pStyle w:val="29"/>
              <w:bidi w:val="0"/>
              <w:rPr>
                <w:rFonts w:hint="default"/>
                <w:lang w:val="en-US" w:eastAsia="zh-CN"/>
              </w:rPr>
            </w:pPr>
            <w:r>
              <w:rPr>
                <w:rFonts w:hint="eastAsia"/>
                <w:lang w:val="en-US" w:eastAsia="zh-CN"/>
              </w:rPr>
              <w:t>0.27</w:t>
            </w:r>
          </w:p>
        </w:tc>
        <w:tc>
          <w:tcPr>
            <w:tcW w:w="652" w:type="pct"/>
            <w:noWrap w:val="0"/>
            <w:vAlign w:val="center"/>
          </w:tcPr>
          <w:p>
            <w:pPr>
              <w:pStyle w:val="29"/>
              <w:bidi w:val="0"/>
              <w:rPr>
                <w:rFonts w:hint="default"/>
                <w:lang w:val="en-US" w:eastAsia="zh-CN"/>
              </w:rPr>
            </w:pPr>
            <w:r>
              <w:rPr>
                <w:rFonts w:hint="eastAsia"/>
                <w:lang w:val="en-US" w:eastAsia="zh-CN"/>
              </w:rPr>
              <w:t>0.28</w:t>
            </w:r>
          </w:p>
        </w:tc>
        <w:tc>
          <w:tcPr>
            <w:tcW w:w="654" w:type="pct"/>
            <w:noWrap w:val="0"/>
            <w:vAlign w:val="center"/>
          </w:tcPr>
          <w:p>
            <w:pPr>
              <w:pStyle w:val="29"/>
              <w:bidi w:val="0"/>
              <w:rPr>
                <w:rFonts w:hint="default"/>
                <w:lang w:val="en-US" w:eastAsia="zh-CN"/>
              </w:rPr>
            </w:pPr>
            <w:r>
              <w:rPr>
                <w:rFonts w:hint="eastAsia"/>
                <w:lang w:val="en-US" w:eastAsia="zh-CN"/>
              </w:rPr>
              <w:t>0.28</w:t>
            </w:r>
          </w:p>
        </w:tc>
        <w:tc>
          <w:tcPr>
            <w:tcW w:w="465" w:type="pct"/>
            <w:vMerge w:val="continue"/>
            <w:noWrap w:val="0"/>
            <w:vAlign w:val="center"/>
          </w:tcPr>
          <w:p>
            <w:pPr>
              <w:pStyle w:val="29"/>
              <w:bidi w:val="0"/>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Merge w:val="continue"/>
            <w:noWrap w:val="0"/>
            <w:vAlign w:val="center"/>
          </w:tcPr>
          <w:p>
            <w:pPr>
              <w:pStyle w:val="29"/>
              <w:bidi w:val="0"/>
            </w:pPr>
          </w:p>
        </w:tc>
        <w:tc>
          <w:tcPr>
            <w:tcW w:w="820" w:type="pct"/>
            <w:vMerge w:val="continue"/>
            <w:noWrap w:val="0"/>
            <w:vAlign w:val="center"/>
          </w:tcPr>
          <w:p>
            <w:pPr>
              <w:pStyle w:val="29"/>
              <w:bidi w:val="0"/>
            </w:pPr>
          </w:p>
        </w:tc>
        <w:tc>
          <w:tcPr>
            <w:tcW w:w="488" w:type="pct"/>
            <w:noWrap w:val="0"/>
            <w:vAlign w:val="center"/>
          </w:tcPr>
          <w:p>
            <w:pPr>
              <w:pStyle w:val="29"/>
              <w:bidi w:val="0"/>
            </w:pPr>
            <w:r>
              <w:t>K3</w:t>
            </w:r>
          </w:p>
        </w:tc>
        <w:tc>
          <w:tcPr>
            <w:tcW w:w="652" w:type="pct"/>
            <w:noWrap w:val="0"/>
            <w:vAlign w:val="center"/>
          </w:tcPr>
          <w:p>
            <w:pPr>
              <w:pStyle w:val="29"/>
              <w:bidi w:val="0"/>
              <w:rPr>
                <w:rFonts w:hint="default"/>
                <w:lang w:val="en-US" w:eastAsia="zh-CN"/>
              </w:rPr>
            </w:pPr>
            <w:r>
              <w:rPr>
                <w:rFonts w:hint="eastAsia"/>
                <w:lang w:val="en-US" w:eastAsia="zh-CN"/>
              </w:rPr>
              <w:t>0.33</w:t>
            </w:r>
          </w:p>
        </w:tc>
        <w:tc>
          <w:tcPr>
            <w:tcW w:w="652" w:type="pct"/>
            <w:noWrap w:val="0"/>
            <w:vAlign w:val="center"/>
          </w:tcPr>
          <w:p>
            <w:pPr>
              <w:pStyle w:val="29"/>
              <w:bidi w:val="0"/>
              <w:rPr>
                <w:rFonts w:hint="default"/>
                <w:lang w:val="en-US" w:eastAsia="zh-CN"/>
              </w:rPr>
            </w:pPr>
            <w:r>
              <w:rPr>
                <w:rFonts w:hint="eastAsia"/>
                <w:lang w:val="en-US" w:eastAsia="zh-CN"/>
              </w:rPr>
              <w:t>0.33</w:t>
            </w:r>
          </w:p>
        </w:tc>
        <w:tc>
          <w:tcPr>
            <w:tcW w:w="652" w:type="pct"/>
            <w:noWrap w:val="0"/>
            <w:vAlign w:val="center"/>
          </w:tcPr>
          <w:p>
            <w:pPr>
              <w:pStyle w:val="29"/>
              <w:bidi w:val="0"/>
              <w:rPr>
                <w:rFonts w:hint="default"/>
                <w:lang w:val="en-US" w:eastAsia="zh-CN"/>
              </w:rPr>
            </w:pPr>
            <w:r>
              <w:rPr>
                <w:rFonts w:hint="eastAsia"/>
                <w:lang w:val="en-US" w:eastAsia="zh-CN"/>
              </w:rPr>
              <w:t>0.33</w:t>
            </w:r>
          </w:p>
        </w:tc>
        <w:tc>
          <w:tcPr>
            <w:tcW w:w="654" w:type="pct"/>
            <w:noWrap w:val="0"/>
            <w:vAlign w:val="center"/>
          </w:tcPr>
          <w:p>
            <w:pPr>
              <w:pStyle w:val="29"/>
              <w:bidi w:val="0"/>
              <w:rPr>
                <w:rFonts w:hint="default"/>
                <w:lang w:val="en-US" w:eastAsia="zh-CN"/>
              </w:rPr>
            </w:pPr>
            <w:r>
              <w:rPr>
                <w:rFonts w:hint="eastAsia"/>
                <w:lang w:val="en-US" w:eastAsia="zh-CN"/>
              </w:rPr>
              <w:t>0.34</w:t>
            </w:r>
          </w:p>
        </w:tc>
        <w:tc>
          <w:tcPr>
            <w:tcW w:w="465" w:type="pct"/>
            <w:vMerge w:val="continue"/>
            <w:noWrap w:val="0"/>
            <w:vAlign w:val="center"/>
          </w:tcPr>
          <w:p>
            <w:pPr>
              <w:pStyle w:val="29"/>
              <w:bidi w:val="0"/>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Merge w:val="continue"/>
            <w:noWrap w:val="0"/>
            <w:vAlign w:val="center"/>
          </w:tcPr>
          <w:p>
            <w:pPr>
              <w:pStyle w:val="29"/>
              <w:bidi w:val="0"/>
            </w:pPr>
          </w:p>
        </w:tc>
        <w:tc>
          <w:tcPr>
            <w:tcW w:w="820" w:type="pct"/>
            <w:vMerge w:val="continue"/>
            <w:noWrap w:val="0"/>
            <w:vAlign w:val="center"/>
          </w:tcPr>
          <w:p>
            <w:pPr>
              <w:pStyle w:val="29"/>
              <w:bidi w:val="0"/>
            </w:pPr>
          </w:p>
        </w:tc>
        <w:tc>
          <w:tcPr>
            <w:tcW w:w="488" w:type="pct"/>
            <w:noWrap w:val="0"/>
            <w:vAlign w:val="center"/>
          </w:tcPr>
          <w:p>
            <w:pPr>
              <w:pStyle w:val="29"/>
              <w:bidi w:val="0"/>
            </w:pPr>
            <w:r>
              <w:t>K4</w:t>
            </w:r>
          </w:p>
        </w:tc>
        <w:tc>
          <w:tcPr>
            <w:tcW w:w="652" w:type="pct"/>
            <w:noWrap w:val="0"/>
            <w:vAlign w:val="center"/>
          </w:tcPr>
          <w:p>
            <w:pPr>
              <w:pStyle w:val="29"/>
              <w:bidi w:val="0"/>
              <w:rPr>
                <w:rFonts w:hint="default"/>
                <w:lang w:val="en-US" w:eastAsia="zh-CN"/>
              </w:rPr>
            </w:pPr>
            <w:r>
              <w:rPr>
                <w:rFonts w:hint="eastAsia"/>
                <w:lang w:val="en-US" w:eastAsia="zh-CN"/>
              </w:rPr>
              <w:t>0.20</w:t>
            </w:r>
          </w:p>
        </w:tc>
        <w:tc>
          <w:tcPr>
            <w:tcW w:w="652" w:type="pct"/>
            <w:noWrap w:val="0"/>
            <w:vAlign w:val="center"/>
          </w:tcPr>
          <w:p>
            <w:pPr>
              <w:pStyle w:val="29"/>
              <w:bidi w:val="0"/>
              <w:rPr>
                <w:rFonts w:hint="default"/>
                <w:lang w:val="en-US" w:eastAsia="zh-CN"/>
              </w:rPr>
            </w:pPr>
            <w:r>
              <w:rPr>
                <w:rFonts w:hint="eastAsia"/>
                <w:lang w:val="en-US" w:eastAsia="zh-CN"/>
              </w:rPr>
              <w:t>0.19</w:t>
            </w:r>
          </w:p>
        </w:tc>
        <w:tc>
          <w:tcPr>
            <w:tcW w:w="652" w:type="pct"/>
            <w:noWrap w:val="0"/>
            <w:vAlign w:val="center"/>
          </w:tcPr>
          <w:p>
            <w:pPr>
              <w:pStyle w:val="29"/>
              <w:bidi w:val="0"/>
              <w:rPr>
                <w:rFonts w:hint="default"/>
                <w:lang w:val="en-US" w:eastAsia="zh-CN"/>
              </w:rPr>
            </w:pPr>
            <w:r>
              <w:rPr>
                <w:rFonts w:hint="eastAsia"/>
                <w:lang w:val="en-US" w:eastAsia="zh-CN"/>
              </w:rPr>
              <w:t>0.19</w:t>
            </w:r>
          </w:p>
        </w:tc>
        <w:tc>
          <w:tcPr>
            <w:tcW w:w="654" w:type="pct"/>
            <w:noWrap w:val="0"/>
            <w:vAlign w:val="center"/>
          </w:tcPr>
          <w:p>
            <w:pPr>
              <w:pStyle w:val="29"/>
              <w:bidi w:val="0"/>
              <w:rPr>
                <w:rFonts w:hint="default"/>
                <w:lang w:val="en-US" w:eastAsia="zh-CN"/>
              </w:rPr>
            </w:pPr>
            <w:r>
              <w:rPr>
                <w:rFonts w:hint="eastAsia"/>
                <w:lang w:val="en-US" w:eastAsia="zh-CN"/>
              </w:rPr>
              <w:t>0.20</w:t>
            </w:r>
          </w:p>
        </w:tc>
        <w:tc>
          <w:tcPr>
            <w:tcW w:w="465" w:type="pct"/>
            <w:vMerge w:val="continue"/>
            <w:noWrap w:val="0"/>
            <w:vAlign w:val="center"/>
          </w:tcPr>
          <w:p>
            <w:pPr>
              <w:pStyle w:val="29"/>
              <w:bidi w:val="0"/>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Merge w:val="restart"/>
            <w:noWrap w:val="0"/>
            <w:vAlign w:val="center"/>
          </w:tcPr>
          <w:p>
            <w:pPr>
              <w:pStyle w:val="29"/>
              <w:bidi w:val="0"/>
            </w:pPr>
            <w:r>
              <w:t>硫化氢</w:t>
            </w:r>
          </w:p>
        </w:tc>
        <w:tc>
          <w:tcPr>
            <w:tcW w:w="820" w:type="pct"/>
            <w:vMerge w:val="restart"/>
            <w:noWrap w:val="0"/>
            <w:vAlign w:val="center"/>
          </w:tcPr>
          <w:p>
            <w:pPr>
              <w:pStyle w:val="29"/>
              <w:bidi w:val="0"/>
            </w:pPr>
            <w:r>
              <w:rPr>
                <w:rFonts w:hint="eastAsia"/>
                <w:lang w:val="en-US" w:eastAsia="zh-CN"/>
              </w:rPr>
              <w:t>2022-5-24</w:t>
            </w:r>
          </w:p>
        </w:tc>
        <w:tc>
          <w:tcPr>
            <w:tcW w:w="488" w:type="pct"/>
            <w:noWrap w:val="0"/>
            <w:vAlign w:val="center"/>
          </w:tcPr>
          <w:p>
            <w:pPr>
              <w:pStyle w:val="29"/>
              <w:bidi w:val="0"/>
            </w:pPr>
            <w:r>
              <w:t>K1</w:t>
            </w:r>
          </w:p>
        </w:tc>
        <w:tc>
          <w:tcPr>
            <w:tcW w:w="652" w:type="pct"/>
            <w:noWrap w:val="0"/>
            <w:vAlign w:val="center"/>
          </w:tcPr>
          <w:p>
            <w:pPr>
              <w:pStyle w:val="29"/>
              <w:bidi w:val="0"/>
              <w:rPr>
                <w:rFonts w:hint="default"/>
                <w:lang w:val="en-US" w:eastAsia="zh-CN"/>
              </w:rPr>
            </w:pPr>
            <w:r>
              <w:rPr>
                <w:rFonts w:hint="eastAsia"/>
                <w:lang w:val="en-US" w:eastAsia="zh-CN"/>
              </w:rPr>
              <w:t>0.001L</w:t>
            </w:r>
          </w:p>
        </w:tc>
        <w:tc>
          <w:tcPr>
            <w:tcW w:w="652" w:type="pct"/>
            <w:noWrap w:val="0"/>
            <w:vAlign w:val="center"/>
          </w:tcPr>
          <w:p>
            <w:pPr>
              <w:pStyle w:val="29"/>
              <w:bidi w:val="0"/>
              <w:rPr>
                <w:rFonts w:hint="default"/>
                <w:lang w:val="en-US" w:eastAsia="zh-CN"/>
              </w:rPr>
            </w:pPr>
            <w:r>
              <w:rPr>
                <w:rFonts w:hint="eastAsia"/>
                <w:lang w:val="en-US" w:eastAsia="zh-CN"/>
              </w:rPr>
              <w:t>0.001L</w:t>
            </w:r>
          </w:p>
        </w:tc>
        <w:tc>
          <w:tcPr>
            <w:tcW w:w="652" w:type="pct"/>
            <w:noWrap w:val="0"/>
            <w:vAlign w:val="center"/>
          </w:tcPr>
          <w:p>
            <w:pPr>
              <w:pStyle w:val="29"/>
              <w:bidi w:val="0"/>
              <w:rPr>
                <w:rFonts w:hint="default"/>
                <w:lang w:val="en-US" w:eastAsia="zh-CN"/>
              </w:rPr>
            </w:pPr>
            <w:r>
              <w:rPr>
                <w:rFonts w:hint="eastAsia"/>
                <w:lang w:val="en-US" w:eastAsia="zh-CN"/>
              </w:rPr>
              <w:t>0.001L</w:t>
            </w:r>
          </w:p>
        </w:tc>
        <w:tc>
          <w:tcPr>
            <w:tcW w:w="654" w:type="pct"/>
            <w:noWrap w:val="0"/>
            <w:vAlign w:val="center"/>
          </w:tcPr>
          <w:p>
            <w:pPr>
              <w:pStyle w:val="29"/>
              <w:bidi w:val="0"/>
              <w:rPr>
                <w:rFonts w:hint="default"/>
                <w:lang w:val="en-US" w:eastAsia="zh-CN"/>
              </w:rPr>
            </w:pPr>
            <w:r>
              <w:rPr>
                <w:rFonts w:hint="eastAsia"/>
                <w:lang w:val="en-US" w:eastAsia="zh-CN"/>
              </w:rPr>
              <w:t>0.001L</w:t>
            </w:r>
          </w:p>
        </w:tc>
        <w:tc>
          <w:tcPr>
            <w:tcW w:w="465" w:type="pct"/>
            <w:vMerge w:val="restart"/>
            <w:noWrap w:val="0"/>
            <w:vAlign w:val="center"/>
          </w:tcPr>
          <w:p>
            <w:pPr>
              <w:pStyle w:val="29"/>
              <w:bidi w:val="0"/>
            </w:pPr>
            <w:r>
              <w:t>0.06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Merge w:val="continue"/>
            <w:noWrap w:val="0"/>
            <w:vAlign w:val="center"/>
          </w:tcPr>
          <w:p>
            <w:pPr>
              <w:pStyle w:val="29"/>
              <w:bidi w:val="0"/>
            </w:pPr>
          </w:p>
        </w:tc>
        <w:tc>
          <w:tcPr>
            <w:tcW w:w="820" w:type="pct"/>
            <w:vMerge w:val="continue"/>
            <w:noWrap w:val="0"/>
            <w:vAlign w:val="center"/>
          </w:tcPr>
          <w:p>
            <w:pPr>
              <w:pStyle w:val="29"/>
              <w:bidi w:val="0"/>
            </w:pPr>
          </w:p>
        </w:tc>
        <w:tc>
          <w:tcPr>
            <w:tcW w:w="488" w:type="pct"/>
            <w:noWrap w:val="0"/>
            <w:vAlign w:val="center"/>
          </w:tcPr>
          <w:p>
            <w:pPr>
              <w:pStyle w:val="29"/>
              <w:bidi w:val="0"/>
            </w:pPr>
            <w:r>
              <w:t>K2</w:t>
            </w:r>
          </w:p>
        </w:tc>
        <w:tc>
          <w:tcPr>
            <w:tcW w:w="652" w:type="pct"/>
            <w:noWrap w:val="0"/>
            <w:vAlign w:val="center"/>
          </w:tcPr>
          <w:p>
            <w:pPr>
              <w:pStyle w:val="29"/>
              <w:bidi w:val="0"/>
              <w:rPr>
                <w:rFonts w:hint="default"/>
                <w:lang w:val="en-US" w:eastAsia="zh-CN"/>
              </w:rPr>
            </w:pPr>
            <w:r>
              <w:rPr>
                <w:rFonts w:hint="eastAsia"/>
                <w:lang w:val="en-US" w:eastAsia="zh-CN"/>
              </w:rPr>
              <w:t>0.001L</w:t>
            </w:r>
          </w:p>
        </w:tc>
        <w:tc>
          <w:tcPr>
            <w:tcW w:w="652" w:type="pct"/>
            <w:noWrap w:val="0"/>
            <w:vAlign w:val="center"/>
          </w:tcPr>
          <w:p>
            <w:pPr>
              <w:pStyle w:val="29"/>
              <w:bidi w:val="0"/>
              <w:rPr>
                <w:rFonts w:hint="default"/>
                <w:lang w:val="en-US" w:eastAsia="zh-CN"/>
              </w:rPr>
            </w:pPr>
            <w:r>
              <w:rPr>
                <w:rFonts w:hint="eastAsia"/>
                <w:lang w:val="en-US" w:eastAsia="zh-CN"/>
              </w:rPr>
              <w:t>0.001L</w:t>
            </w:r>
          </w:p>
        </w:tc>
        <w:tc>
          <w:tcPr>
            <w:tcW w:w="652" w:type="pct"/>
            <w:noWrap w:val="0"/>
            <w:vAlign w:val="center"/>
          </w:tcPr>
          <w:p>
            <w:pPr>
              <w:pStyle w:val="29"/>
              <w:bidi w:val="0"/>
              <w:rPr>
                <w:rFonts w:hint="default"/>
                <w:lang w:val="en-US" w:eastAsia="zh-CN"/>
              </w:rPr>
            </w:pPr>
            <w:r>
              <w:rPr>
                <w:rFonts w:hint="eastAsia"/>
                <w:lang w:val="en-US" w:eastAsia="zh-CN"/>
              </w:rPr>
              <w:t>0.001L</w:t>
            </w:r>
          </w:p>
        </w:tc>
        <w:tc>
          <w:tcPr>
            <w:tcW w:w="654" w:type="pct"/>
            <w:noWrap w:val="0"/>
            <w:vAlign w:val="center"/>
          </w:tcPr>
          <w:p>
            <w:pPr>
              <w:pStyle w:val="29"/>
              <w:bidi w:val="0"/>
              <w:rPr>
                <w:rFonts w:hint="default"/>
                <w:lang w:val="en-US" w:eastAsia="zh-CN"/>
              </w:rPr>
            </w:pPr>
            <w:r>
              <w:rPr>
                <w:rFonts w:hint="eastAsia"/>
                <w:lang w:val="en-US" w:eastAsia="zh-CN"/>
              </w:rPr>
              <w:t>0.001L</w:t>
            </w:r>
          </w:p>
        </w:tc>
        <w:tc>
          <w:tcPr>
            <w:tcW w:w="465" w:type="pct"/>
            <w:vMerge w:val="continue"/>
            <w:noWrap w:val="0"/>
            <w:vAlign w:val="center"/>
          </w:tcPr>
          <w:p>
            <w:pPr>
              <w:pStyle w:val="29"/>
              <w:bidi w:val="0"/>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Merge w:val="continue"/>
            <w:noWrap w:val="0"/>
            <w:vAlign w:val="center"/>
          </w:tcPr>
          <w:p>
            <w:pPr>
              <w:pStyle w:val="29"/>
              <w:bidi w:val="0"/>
            </w:pPr>
          </w:p>
        </w:tc>
        <w:tc>
          <w:tcPr>
            <w:tcW w:w="820" w:type="pct"/>
            <w:vMerge w:val="continue"/>
            <w:noWrap w:val="0"/>
            <w:vAlign w:val="center"/>
          </w:tcPr>
          <w:p>
            <w:pPr>
              <w:pStyle w:val="29"/>
              <w:bidi w:val="0"/>
              <w:rPr>
                <w:lang w:val="en-US" w:eastAsia="zh-CN"/>
              </w:rPr>
            </w:pPr>
          </w:p>
        </w:tc>
        <w:tc>
          <w:tcPr>
            <w:tcW w:w="488" w:type="pct"/>
            <w:noWrap w:val="0"/>
            <w:vAlign w:val="center"/>
          </w:tcPr>
          <w:p>
            <w:pPr>
              <w:pStyle w:val="29"/>
              <w:bidi w:val="0"/>
            </w:pPr>
            <w:r>
              <w:t>K3</w:t>
            </w:r>
          </w:p>
        </w:tc>
        <w:tc>
          <w:tcPr>
            <w:tcW w:w="652" w:type="pct"/>
            <w:noWrap w:val="0"/>
            <w:vAlign w:val="center"/>
          </w:tcPr>
          <w:p>
            <w:pPr>
              <w:pStyle w:val="29"/>
              <w:bidi w:val="0"/>
              <w:rPr>
                <w:rFonts w:hint="default"/>
                <w:lang w:val="en-US" w:eastAsia="zh-CN"/>
              </w:rPr>
            </w:pPr>
            <w:r>
              <w:rPr>
                <w:rFonts w:hint="eastAsia"/>
                <w:lang w:val="en-US" w:eastAsia="zh-CN"/>
              </w:rPr>
              <w:t>0.001L</w:t>
            </w:r>
          </w:p>
        </w:tc>
        <w:tc>
          <w:tcPr>
            <w:tcW w:w="652" w:type="pct"/>
            <w:noWrap w:val="0"/>
            <w:vAlign w:val="center"/>
          </w:tcPr>
          <w:p>
            <w:pPr>
              <w:pStyle w:val="29"/>
              <w:bidi w:val="0"/>
              <w:rPr>
                <w:rFonts w:hint="default"/>
                <w:lang w:val="en-US" w:eastAsia="zh-CN"/>
              </w:rPr>
            </w:pPr>
            <w:r>
              <w:rPr>
                <w:rFonts w:hint="eastAsia"/>
                <w:lang w:val="en-US" w:eastAsia="zh-CN"/>
              </w:rPr>
              <w:t>0.001L</w:t>
            </w:r>
          </w:p>
        </w:tc>
        <w:tc>
          <w:tcPr>
            <w:tcW w:w="652" w:type="pct"/>
            <w:noWrap w:val="0"/>
            <w:vAlign w:val="center"/>
          </w:tcPr>
          <w:p>
            <w:pPr>
              <w:pStyle w:val="29"/>
              <w:bidi w:val="0"/>
              <w:rPr>
                <w:rFonts w:hint="default"/>
                <w:lang w:val="en-US" w:eastAsia="zh-CN"/>
              </w:rPr>
            </w:pPr>
            <w:r>
              <w:rPr>
                <w:rFonts w:hint="eastAsia"/>
                <w:lang w:val="en-US" w:eastAsia="zh-CN"/>
              </w:rPr>
              <w:t>0.001L</w:t>
            </w:r>
          </w:p>
        </w:tc>
        <w:tc>
          <w:tcPr>
            <w:tcW w:w="654" w:type="pct"/>
            <w:noWrap w:val="0"/>
            <w:vAlign w:val="center"/>
          </w:tcPr>
          <w:p>
            <w:pPr>
              <w:pStyle w:val="29"/>
              <w:bidi w:val="0"/>
              <w:rPr>
                <w:rFonts w:hint="default"/>
                <w:lang w:val="en-US" w:eastAsia="zh-CN"/>
              </w:rPr>
            </w:pPr>
            <w:r>
              <w:rPr>
                <w:rFonts w:hint="eastAsia"/>
                <w:lang w:val="en-US" w:eastAsia="zh-CN"/>
              </w:rPr>
              <w:t>0.001L</w:t>
            </w:r>
          </w:p>
        </w:tc>
        <w:tc>
          <w:tcPr>
            <w:tcW w:w="465" w:type="pct"/>
            <w:vMerge w:val="continue"/>
            <w:noWrap w:val="0"/>
            <w:vAlign w:val="center"/>
          </w:tcPr>
          <w:p>
            <w:pPr>
              <w:pStyle w:val="29"/>
              <w:bidi w:val="0"/>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Merge w:val="continue"/>
            <w:noWrap w:val="0"/>
            <w:vAlign w:val="center"/>
          </w:tcPr>
          <w:p>
            <w:pPr>
              <w:pStyle w:val="29"/>
              <w:bidi w:val="0"/>
            </w:pPr>
          </w:p>
        </w:tc>
        <w:tc>
          <w:tcPr>
            <w:tcW w:w="820" w:type="pct"/>
            <w:vMerge w:val="continue"/>
            <w:noWrap w:val="0"/>
            <w:vAlign w:val="center"/>
          </w:tcPr>
          <w:p>
            <w:pPr>
              <w:pStyle w:val="29"/>
              <w:bidi w:val="0"/>
            </w:pPr>
          </w:p>
        </w:tc>
        <w:tc>
          <w:tcPr>
            <w:tcW w:w="488" w:type="pct"/>
            <w:noWrap w:val="0"/>
            <w:vAlign w:val="center"/>
          </w:tcPr>
          <w:p>
            <w:pPr>
              <w:pStyle w:val="29"/>
              <w:bidi w:val="0"/>
            </w:pPr>
            <w:r>
              <w:t>K4</w:t>
            </w:r>
          </w:p>
        </w:tc>
        <w:tc>
          <w:tcPr>
            <w:tcW w:w="652" w:type="pct"/>
            <w:noWrap w:val="0"/>
            <w:vAlign w:val="center"/>
          </w:tcPr>
          <w:p>
            <w:pPr>
              <w:pStyle w:val="29"/>
              <w:bidi w:val="0"/>
              <w:rPr>
                <w:rFonts w:hint="default"/>
                <w:lang w:val="en-US" w:eastAsia="zh-CN"/>
              </w:rPr>
            </w:pPr>
            <w:r>
              <w:rPr>
                <w:rFonts w:hint="eastAsia"/>
                <w:lang w:val="en-US" w:eastAsia="zh-CN"/>
              </w:rPr>
              <w:t>0.001L</w:t>
            </w:r>
          </w:p>
        </w:tc>
        <w:tc>
          <w:tcPr>
            <w:tcW w:w="652" w:type="pct"/>
            <w:noWrap w:val="0"/>
            <w:vAlign w:val="center"/>
          </w:tcPr>
          <w:p>
            <w:pPr>
              <w:pStyle w:val="29"/>
              <w:bidi w:val="0"/>
              <w:rPr>
                <w:rFonts w:hint="default"/>
                <w:lang w:val="en-US" w:eastAsia="zh-CN"/>
              </w:rPr>
            </w:pPr>
            <w:r>
              <w:rPr>
                <w:rFonts w:hint="eastAsia"/>
                <w:lang w:val="en-US" w:eastAsia="zh-CN"/>
              </w:rPr>
              <w:t>0.001L</w:t>
            </w:r>
          </w:p>
        </w:tc>
        <w:tc>
          <w:tcPr>
            <w:tcW w:w="652" w:type="pct"/>
            <w:noWrap w:val="0"/>
            <w:vAlign w:val="center"/>
          </w:tcPr>
          <w:p>
            <w:pPr>
              <w:pStyle w:val="29"/>
              <w:bidi w:val="0"/>
              <w:rPr>
                <w:rFonts w:hint="default"/>
                <w:lang w:val="en-US" w:eastAsia="zh-CN"/>
              </w:rPr>
            </w:pPr>
            <w:r>
              <w:rPr>
                <w:rFonts w:hint="eastAsia"/>
                <w:lang w:val="en-US" w:eastAsia="zh-CN"/>
              </w:rPr>
              <w:t>0.001L</w:t>
            </w:r>
          </w:p>
        </w:tc>
        <w:tc>
          <w:tcPr>
            <w:tcW w:w="654" w:type="pct"/>
            <w:noWrap w:val="0"/>
            <w:vAlign w:val="center"/>
          </w:tcPr>
          <w:p>
            <w:pPr>
              <w:pStyle w:val="29"/>
              <w:bidi w:val="0"/>
              <w:rPr>
                <w:rFonts w:hint="default"/>
                <w:lang w:val="en-US" w:eastAsia="zh-CN"/>
              </w:rPr>
            </w:pPr>
            <w:r>
              <w:rPr>
                <w:rFonts w:hint="eastAsia"/>
                <w:lang w:val="en-US" w:eastAsia="zh-CN"/>
              </w:rPr>
              <w:t>0.001L</w:t>
            </w:r>
          </w:p>
        </w:tc>
        <w:tc>
          <w:tcPr>
            <w:tcW w:w="465" w:type="pct"/>
            <w:vMerge w:val="continue"/>
            <w:noWrap w:val="0"/>
            <w:vAlign w:val="center"/>
          </w:tcPr>
          <w:p>
            <w:pPr>
              <w:pStyle w:val="29"/>
              <w:bidi w:val="0"/>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Merge w:val="continue"/>
            <w:noWrap w:val="0"/>
            <w:vAlign w:val="center"/>
          </w:tcPr>
          <w:p>
            <w:pPr>
              <w:pStyle w:val="29"/>
              <w:bidi w:val="0"/>
            </w:pPr>
          </w:p>
        </w:tc>
        <w:tc>
          <w:tcPr>
            <w:tcW w:w="820" w:type="pct"/>
            <w:vMerge w:val="restart"/>
            <w:noWrap w:val="0"/>
            <w:vAlign w:val="center"/>
          </w:tcPr>
          <w:p>
            <w:pPr>
              <w:pStyle w:val="29"/>
              <w:bidi w:val="0"/>
              <w:rPr>
                <w:rFonts w:hint="eastAsia"/>
                <w:lang w:val="en-US" w:eastAsia="zh-CN"/>
              </w:rPr>
            </w:pPr>
            <w:r>
              <w:rPr>
                <w:rFonts w:hint="eastAsia"/>
                <w:lang w:val="en-US" w:eastAsia="zh-CN"/>
              </w:rPr>
              <w:t>2022-5-25</w:t>
            </w:r>
          </w:p>
        </w:tc>
        <w:tc>
          <w:tcPr>
            <w:tcW w:w="488" w:type="pct"/>
            <w:noWrap w:val="0"/>
            <w:vAlign w:val="center"/>
          </w:tcPr>
          <w:p>
            <w:pPr>
              <w:pStyle w:val="29"/>
              <w:bidi w:val="0"/>
            </w:pPr>
            <w:r>
              <w:t>K1</w:t>
            </w:r>
          </w:p>
        </w:tc>
        <w:tc>
          <w:tcPr>
            <w:tcW w:w="652" w:type="pct"/>
            <w:noWrap w:val="0"/>
            <w:vAlign w:val="center"/>
          </w:tcPr>
          <w:p>
            <w:pPr>
              <w:pStyle w:val="29"/>
              <w:bidi w:val="0"/>
              <w:rPr>
                <w:rFonts w:hint="default"/>
                <w:lang w:val="en-US" w:eastAsia="zh-CN"/>
              </w:rPr>
            </w:pPr>
            <w:r>
              <w:rPr>
                <w:rFonts w:hint="eastAsia"/>
                <w:lang w:val="en-US" w:eastAsia="zh-CN"/>
              </w:rPr>
              <w:t>0.001L</w:t>
            </w:r>
          </w:p>
        </w:tc>
        <w:tc>
          <w:tcPr>
            <w:tcW w:w="652" w:type="pct"/>
            <w:noWrap w:val="0"/>
            <w:vAlign w:val="center"/>
          </w:tcPr>
          <w:p>
            <w:pPr>
              <w:pStyle w:val="29"/>
              <w:bidi w:val="0"/>
              <w:rPr>
                <w:rFonts w:hint="default"/>
                <w:lang w:val="en-US" w:eastAsia="zh-CN"/>
              </w:rPr>
            </w:pPr>
            <w:r>
              <w:rPr>
                <w:rFonts w:hint="eastAsia"/>
                <w:lang w:val="en-US" w:eastAsia="zh-CN"/>
              </w:rPr>
              <w:t>0.001L</w:t>
            </w:r>
          </w:p>
        </w:tc>
        <w:tc>
          <w:tcPr>
            <w:tcW w:w="652" w:type="pct"/>
            <w:noWrap w:val="0"/>
            <w:vAlign w:val="center"/>
          </w:tcPr>
          <w:p>
            <w:pPr>
              <w:pStyle w:val="29"/>
              <w:bidi w:val="0"/>
              <w:rPr>
                <w:rFonts w:hint="default"/>
                <w:lang w:val="en-US" w:eastAsia="zh-CN"/>
              </w:rPr>
            </w:pPr>
            <w:r>
              <w:rPr>
                <w:rFonts w:hint="eastAsia"/>
                <w:lang w:val="en-US" w:eastAsia="zh-CN"/>
              </w:rPr>
              <w:t>0.001L</w:t>
            </w:r>
          </w:p>
        </w:tc>
        <w:tc>
          <w:tcPr>
            <w:tcW w:w="654" w:type="pct"/>
            <w:noWrap w:val="0"/>
            <w:vAlign w:val="center"/>
          </w:tcPr>
          <w:p>
            <w:pPr>
              <w:pStyle w:val="29"/>
              <w:bidi w:val="0"/>
              <w:rPr>
                <w:rFonts w:hint="default"/>
                <w:lang w:val="en-US" w:eastAsia="zh-CN"/>
              </w:rPr>
            </w:pPr>
            <w:r>
              <w:rPr>
                <w:rFonts w:hint="eastAsia"/>
                <w:lang w:val="en-US" w:eastAsia="zh-CN"/>
              </w:rPr>
              <w:t>0.001L</w:t>
            </w:r>
          </w:p>
        </w:tc>
        <w:tc>
          <w:tcPr>
            <w:tcW w:w="465" w:type="pct"/>
            <w:vMerge w:val="continue"/>
            <w:noWrap w:val="0"/>
            <w:vAlign w:val="center"/>
          </w:tcPr>
          <w:p>
            <w:pPr>
              <w:pStyle w:val="29"/>
              <w:bidi w:val="0"/>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Merge w:val="continue"/>
            <w:noWrap w:val="0"/>
            <w:vAlign w:val="center"/>
          </w:tcPr>
          <w:p>
            <w:pPr>
              <w:pStyle w:val="29"/>
              <w:bidi w:val="0"/>
            </w:pPr>
          </w:p>
        </w:tc>
        <w:tc>
          <w:tcPr>
            <w:tcW w:w="820" w:type="pct"/>
            <w:vMerge w:val="continue"/>
            <w:noWrap w:val="0"/>
            <w:vAlign w:val="center"/>
          </w:tcPr>
          <w:p>
            <w:pPr>
              <w:pStyle w:val="29"/>
              <w:bidi w:val="0"/>
            </w:pPr>
          </w:p>
        </w:tc>
        <w:tc>
          <w:tcPr>
            <w:tcW w:w="488" w:type="pct"/>
            <w:noWrap w:val="0"/>
            <w:vAlign w:val="center"/>
          </w:tcPr>
          <w:p>
            <w:pPr>
              <w:pStyle w:val="29"/>
              <w:bidi w:val="0"/>
            </w:pPr>
            <w:r>
              <w:t>K2</w:t>
            </w:r>
          </w:p>
        </w:tc>
        <w:tc>
          <w:tcPr>
            <w:tcW w:w="652" w:type="pct"/>
            <w:noWrap w:val="0"/>
            <w:vAlign w:val="center"/>
          </w:tcPr>
          <w:p>
            <w:pPr>
              <w:pStyle w:val="29"/>
              <w:bidi w:val="0"/>
              <w:rPr>
                <w:rFonts w:hint="default"/>
                <w:lang w:val="en-US" w:eastAsia="zh-CN"/>
              </w:rPr>
            </w:pPr>
            <w:r>
              <w:rPr>
                <w:rFonts w:hint="eastAsia"/>
                <w:lang w:val="en-US" w:eastAsia="zh-CN"/>
              </w:rPr>
              <w:t>0.001L</w:t>
            </w:r>
          </w:p>
        </w:tc>
        <w:tc>
          <w:tcPr>
            <w:tcW w:w="652" w:type="pct"/>
            <w:noWrap w:val="0"/>
            <w:vAlign w:val="center"/>
          </w:tcPr>
          <w:p>
            <w:pPr>
              <w:pStyle w:val="29"/>
              <w:bidi w:val="0"/>
              <w:rPr>
                <w:rFonts w:hint="default"/>
                <w:lang w:val="en-US" w:eastAsia="zh-CN"/>
              </w:rPr>
            </w:pPr>
            <w:r>
              <w:rPr>
                <w:rFonts w:hint="eastAsia"/>
                <w:lang w:val="en-US" w:eastAsia="zh-CN"/>
              </w:rPr>
              <w:t>0.001L</w:t>
            </w:r>
          </w:p>
        </w:tc>
        <w:tc>
          <w:tcPr>
            <w:tcW w:w="652" w:type="pct"/>
            <w:noWrap w:val="0"/>
            <w:vAlign w:val="center"/>
          </w:tcPr>
          <w:p>
            <w:pPr>
              <w:pStyle w:val="29"/>
              <w:bidi w:val="0"/>
              <w:rPr>
                <w:rFonts w:hint="default"/>
                <w:lang w:val="en-US" w:eastAsia="zh-CN"/>
              </w:rPr>
            </w:pPr>
            <w:r>
              <w:rPr>
                <w:rFonts w:hint="eastAsia"/>
                <w:lang w:val="en-US" w:eastAsia="zh-CN"/>
              </w:rPr>
              <w:t>0.001L</w:t>
            </w:r>
          </w:p>
        </w:tc>
        <w:tc>
          <w:tcPr>
            <w:tcW w:w="654" w:type="pct"/>
            <w:noWrap w:val="0"/>
            <w:vAlign w:val="center"/>
          </w:tcPr>
          <w:p>
            <w:pPr>
              <w:pStyle w:val="29"/>
              <w:bidi w:val="0"/>
              <w:rPr>
                <w:rFonts w:hint="default"/>
                <w:lang w:val="en-US" w:eastAsia="zh-CN"/>
              </w:rPr>
            </w:pPr>
            <w:r>
              <w:rPr>
                <w:rFonts w:hint="eastAsia"/>
                <w:lang w:val="en-US" w:eastAsia="zh-CN"/>
              </w:rPr>
              <w:t>0.001L</w:t>
            </w:r>
          </w:p>
        </w:tc>
        <w:tc>
          <w:tcPr>
            <w:tcW w:w="465" w:type="pct"/>
            <w:vMerge w:val="continue"/>
            <w:noWrap w:val="0"/>
            <w:vAlign w:val="center"/>
          </w:tcPr>
          <w:p>
            <w:pPr>
              <w:pStyle w:val="29"/>
              <w:bidi w:val="0"/>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Merge w:val="continue"/>
            <w:noWrap w:val="0"/>
            <w:vAlign w:val="center"/>
          </w:tcPr>
          <w:p>
            <w:pPr>
              <w:pStyle w:val="29"/>
              <w:bidi w:val="0"/>
            </w:pPr>
          </w:p>
        </w:tc>
        <w:tc>
          <w:tcPr>
            <w:tcW w:w="820" w:type="pct"/>
            <w:vMerge w:val="continue"/>
            <w:noWrap w:val="0"/>
            <w:vAlign w:val="center"/>
          </w:tcPr>
          <w:p>
            <w:pPr>
              <w:pStyle w:val="29"/>
              <w:bidi w:val="0"/>
            </w:pPr>
          </w:p>
        </w:tc>
        <w:tc>
          <w:tcPr>
            <w:tcW w:w="488" w:type="pct"/>
            <w:noWrap w:val="0"/>
            <w:vAlign w:val="center"/>
          </w:tcPr>
          <w:p>
            <w:pPr>
              <w:pStyle w:val="29"/>
              <w:bidi w:val="0"/>
            </w:pPr>
            <w:r>
              <w:t>K3</w:t>
            </w:r>
          </w:p>
        </w:tc>
        <w:tc>
          <w:tcPr>
            <w:tcW w:w="652" w:type="pct"/>
            <w:noWrap w:val="0"/>
            <w:vAlign w:val="center"/>
          </w:tcPr>
          <w:p>
            <w:pPr>
              <w:pStyle w:val="29"/>
              <w:bidi w:val="0"/>
              <w:rPr>
                <w:rFonts w:hint="default"/>
                <w:lang w:val="en-US" w:eastAsia="zh-CN"/>
              </w:rPr>
            </w:pPr>
            <w:r>
              <w:rPr>
                <w:rFonts w:hint="eastAsia"/>
                <w:lang w:val="en-US" w:eastAsia="zh-CN"/>
              </w:rPr>
              <w:t>0.001L</w:t>
            </w:r>
          </w:p>
        </w:tc>
        <w:tc>
          <w:tcPr>
            <w:tcW w:w="652" w:type="pct"/>
            <w:noWrap w:val="0"/>
            <w:vAlign w:val="center"/>
          </w:tcPr>
          <w:p>
            <w:pPr>
              <w:pStyle w:val="29"/>
              <w:bidi w:val="0"/>
              <w:rPr>
                <w:rFonts w:hint="default"/>
                <w:lang w:val="en-US" w:eastAsia="zh-CN"/>
              </w:rPr>
            </w:pPr>
            <w:r>
              <w:rPr>
                <w:rFonts w:hint="eastAsia"/>
                <w:lang w:val="en-US" w:eastAsia="zh-CN"/>
              </w:rPr>
              <w:t>0.001L</w:t>
            </w:r>
          </w:p>
        </w:tc>
        <w:tc>
          <w:tcPr>
            <w:tcW w:w="652" w:type="pct"/>
            <w:noWrap w:val="0"/>
            <w:vAlign w:val="center"/>
          </w:tcPr>
          <w:p>
            <w:pPr>
              <w:pStyle w:val="29"/>
              <w:bidi w:val="0"/>
              <w:rPr>
                <w:rFonts w:hint="default"/>
                <w:lang w:val="en-US" w:eastAsia="zh-CN"/>
              </w:rPr>
            </w:pPr>
            <w:r>
              <w:rPr>
                <w:rFonts w:hint="eastAsia"/>
                <w:lang w:val="en-US" w:eastAsia="zh-CN"/>
              </w:rPr>
              <w:t>0.001L</w:t>
            </w:r>
          </w:p>
        </w:tc>
        <w:tc>
          <w:tcPr>
            <w:tcW w:w="654" w:type="pct"/>
            <w:noWrap w:val="0"/>
            <w:vAlign w:val="center"/>
          </w:tcPr>
          <w:p>
            <w:pPr>
              <w:pStyle w:val="29"/>
              <w:bidi w:val="0"/>
              <w:rPr>
                <w:rFonts w:hint="default"/>
                <w:lang w:val="en-US" w:eastAsia="zh-CN"/>
              </w:rPr>
            </w:pPr>
            <w:r>
              <w:rPr>
                <w:rFonts w:hint="eastAsia"/>
                <w:lang w:val="en-US" w:eastAsia="zh-CN"/>
              </w:rPr>
              <w:t>0.001L</w:t>
            </w:r>
          </w:p>
        </w:tc>
        <w:tc>
          <w:tcPr>
            <w:tcW w:w="465" w:type="pct"/>
            <w:vMerge w:val="continue"/>
            <w:noWrap w:val="0"/>
            <w:vAlign w:val="center"/>
          </w:tcPr>
          <w:p>
            <w:pPr>
              <w:pStyle w:val="29"/>
              <w:bidi w:val="0"/>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Merge w:val="continue"/>
            <w:noWrap w:val="0"/>
            <w:vAlign w:val="center"/>
          </w:tcPr>
          <w:p>
            <w:pPr>
              <w:pStyle w:val="29"/>
              <w:bidi w:val="0"/>
            </w:pPr>
          </w:p>
        </w:tc>
        <w:tc>
          <w:tcPr>
            <w:tcW w:w="820" w:type="pct"/>
            <w:vMerge w:val="continue"/>
            <w:noWrap w:val="0"/>
            <w:vAlign w:val="center"/>
          </w:tcPr>
          <w:p>
            <w:pPr>
              <w:pStyle w:val="29"/>
              <w:bidi w:val="0"/>
            </w:pPr>
          </w:p>
        </w:tc>
        <w:tc>
          <w:tcPr>
            <w:tcW w:w="488" w:type="pct"/>
            <w:noWrap w:val="0"/>
            <w:vAlign w:val="center"/>
          </w:tcPr>
          <w:p>
            <w:pPr>
              <w:pStyle w:val="29"/>
              <w:bidi w:val="0"/>
            </w:pPr>
            <w:r>
              <w:t>K4</w:t>
            </w:r>
          </w:p>
        </w:tc>
        <w:tc>
          <w:tcPr>
            <w:tcW w:w="652" w:type="pct"/>
            <w:noWrap w:val="0"/>
            <w:vAlign w:val="center"/>
          </w:tcPr>
          <w:p>
            <w:pPr>
              <w:pStyle w:val="29"/>
              <w:bidi w:val="0"/>
              <w:rPr>
                <w:rFonts w:hint="default"/>
                <w:lang w:val="en-US" w:eastAsia="zh-CN"/>
              </w:rPr>
            </w:pPr>
            <w:r>
              <w:rPr>
                <w:rFonts w:hint="eastAsia"/>
                <w:lang w:val="en-US" w:eastAsia="zh-CN"/>
              </w:rPr>
              <w:t>0.001L</w:t>
            </w:r>
          </w:p>
        </w:tc>
        <w:tc>
          <w:tcPr>
            <w:tcW w:w="652" w:type="pct"/>
            <w:noWrap w:val="0"/>
            <w:vAlign w:val="center"/>
          </w:tcPr>
          <w:p>
            <w:pPr>
              <w:pStyle w:val="29"/>
              <w:bidi w:val="0"/>
              <w:rPr>
                <w:rFonts w:hint="default"/>
                <w:lang w:val="en-US" w:eastAsia="zh-CN"/>
              </w:rPr>
            </w:pPr>
            <w:r>
              <w:rPr>
                <w:rFonts w:hint="eastAsia"/>
                <w:lang w:val="en-US" w:eastAsia="zh-CN"/>
              </w:rPr>
              <w:t>0.001L</w:t>
            </w:r>
          </w:p>
        </w:tc>
        <w:tc>
          <w:tcPr>
            <w:tcW w:w="652" w:type="pct"/>
            <w:noWrap w:val="0"/>
            <w:vAlign w:val="center"/>
          </w:tcPr>
          <w:p>
            <w:pPr>
              <w:pStyle w:val="29"/>
              <w:bidi w:val="0"/>
              <w:rPr>
                <w:rFonts w:hint="default"/>
                <w:lang w:val="en-US" w:eastAsia="zh-CN"/>
              </w:rPr>
            </w:pPr>
            <w:r>
              <w:rPr>
                <w:rFonts w:hint="eastAsia"/>
                <w:lang w:val="en-US" w:eastAsia="zh-CN"/>
              </w:rPr>
              <w:t>0.001L</w:t>
            </w:r>
          </w:p>
        </w:tc>
        <w:tc>
          <w:tcPr>
            <w:tcW w:w="654" w:type="pct"/>
            <w:noWrap w:val="0"/>
            <w:vAlign w:val="center"/>
          </w:tcPr>
          <w:p>
            <w:pPr>
              <w:pStyle w:val="29"/>
              <w:bidi w:val="0"/>
              <w:rPr>
                <w:rFonts w:hint="default"/>
                <w:lang w:val="en-US" w:eastAsia="zh-CN"/>
              </w:rPr>
            </w:pPr>
            <w:r>
              <w:rPr>
                <w:rFonts w:hint="eastAsia"/>
                <w:lang w:val="en-US" w:eastAsia="zh-CN"/>
              </w:rPr>
              <w:t>0.001L</w:t>
            </w:r>
          </w:p>
        </w:tc>
        <w:tc>
          <w:tcPr>
            <w:tcW w:w="465" w:type="pct"/>
            <w:vMerge w:val="continue"/>
            <w:noWrap w:val="0"/>
            <w:vAlign w:val="center"/>
          </w:tcPr>
          <w:p>
            <w:pPr>
              <w:pStyle w:val="29"/>
              <w:bidi w:val="0"/>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Merge w:val="restart"/>
            <w:noWrap w:val="0"/>
            <w:vAlign w:val="center"/>
          </w:tcPr>
          <w:p>
            <w:pPr>
              <w:pStyle w:val="29"/>
              <w:bidi w:val="0"/>
            </w:pPr>
            <w:r>
              <w:t>臭气浓度</w:t>
            </w:r>
          </w:p>
        </w:tc>
        <w:tc>
          <w:tcPr>
            <w:tcW w:w="820" w:type="pct"/>
            <w:vMerge w:val="restart"/>
            <w:noWrap w:val="0"/>
            <w:vAlign w:val="center"/>
          </w:tcPr>
          <w:p>
            <w:pPr>
              <w:pStyle w:val="29"/>
              <w:bidi w:val="0"/>
            </w:pPr>
            <w:r>
              <w:rPr>
                <w:rFonts w:hint="eastAsia"/>
                <w:lang w:val="en-US" w:eastAsia="zh-CN"/>
              </w:rPr>
              <w:t>2022-5-24</w:t>
            </w:r>
          </w:p>
        </w:tc>
        <w:tc>
          <w:tcPr>
            <w:tcW w:w="488" w:type="pct"/>
            <w:noWrap w:val="0"/>
            <w:vAlign w:val="center"/>
          </w:tcPr>
          <w:p>
            <w:pPr>
              <w:pStyle w:val="29"/>
              <w:bidi w:val="0"/>
            </w:pPr>
            <w:r>
              <w:t>K1</w:t>
            </w:r>
          </w:p>
        </w:tc>
        <w:tc>
          <w:tcPr>
            <w:tcW w:w="652" w:type="pct"/>
            <w:noWrap w:val="0"/>
            <w:vAlign w:val="center"/>
          </w:tcPr>
          <w:p>
            <w:pPr>
              <w:pStyle w:val="29"/>
              <w:bidi w:val="0"/>
              <w:rPr>
                <w:rFonts w:hint="default"/>
                <w:lang w:val="en-US" w:eastAsia="zh-CN"/>
              </w:rPr>
            </w:pPr>
            <w:r>
              <w:rPr>
                <w:rFonts w:hint="default"/>
                <w:lang w:val="en-US" w:eastAsia="zh-CN"/>
              </w:rPr>
              <w:t>＜10</w:t>
            </w:r>
          </w:p>
        </w:tc>
        <w:tc>
          <w:tcPr>
            <w:tcW w:w="652" w:type="pct"/>
            <w:noWrap w:val="0"/>
            <w:vAlign w:val="center"/>
          </w:tcPr>
          <w:p>
            <w:pPr>
              <w:pStyle w:val="29"/>
              <w:bidi w:val="0"/>
              <w:rPr>
                <w:rFonts w:hint="default"/>
                <w:lang w:val="en-US" w:eastAsia="zh-CN"/>
              </w:rPr>
            </w:pPr>
            <w:r>
              <w:rPr>
                <w:rFonts w:hint="default"/>
                <w:lang w:val="en-US" w:eastAsia="zh-CN"/>
              </w:rPr>
              <w:t>＜10</w:t>
            </w:r>
          </w:p>
        </w:tc>
        <w:tc>
          <w:tcPr>
            <w:tcW w:w="652" w:type="pct"/>
            <w:noWrap w:val="0"/>
            <w:vAlign w:val="center"/>
          </w:tcPr>
          <w:p>
            <w:pPr>
              <w:pStyle w:val="29"/>
              <w:bidi w:val="0"/>
              <w:rPr>
                <w:rFonts w:hint="default"/>
                <w:lang w:val="en-US" w:eastAsia="zh-CN"/>
              </w:rPr>
            </w:pPr>
            <w:r>
              <w:rPr>
                <w:rFonts w:hint="default"/>
                <w:lang w:val="en-US" w:eastAsia="zh-CN"/>
              </w:rPr>
              <w:t>＜10</w:t>
            </w:r>
          </w:p>
        </w:tc>
        <w:tc>
          <w:tcPr>
            <w:tcW w:w="654" w:type="pct"/>
            <w:noWrap w:val="0"/>
            <w:vAlign w:val="center"/>
          </w:tcPr>
          <w:p>
            <w:pPr>
              <w:pStyle w:val="29"/>
              <w:bidi w:val="0"/>
              <w:rPr>
                <w:rFonts w:hint="default"/>
                <w:lang w:val="en-US" w:eastAsia="zh-CN"/>
              </w:rPr>
            </w:pPr>
            <w:r>
              <w:rPr>
                <w:rFonts w:hint="default"/>
                <w:lang w:val="en-US" w:eastAsia="zh-CN"/>
              </w:rPr>
              <w:t>＜10</w:t>
            </w:r>
          </w:p>
        </w:tc>
        <w:tc>
          <w:tcPr>
            <w:tcW w:w="465" w:type="pct"/>
            <w:vMerge w:val="restart"/>
            <w:noWrap w:val="0"/>
            <w:vAlign w:val="center"/>
          </w:tcPr>
          <w:p>
            <w:pPr>
              <w:pStyle w:val="29"/>
              <w:bidi w:val="0"/>
            </w:pPr>
            <w:r>
              <w:t>20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Merge w:val="continue"/>
            <w:noWrap w:val="0"/>
            <w:vAlign w:val="center"/>
          </w:tcPr>
          <w:p>
            <w:pPr>
              <w:pStyle w:val="29"/>
              <w:bidi w:val="0"/>
            </w:pPr>
          </w:p>
        </w:tc>
        <w:tc>
          <w:tcPr>
            <w:tcW w:w="820" w:type="pct"/>
            <w:vMerge w:val="continue"/>
            <w:noWrap w:val="0"/>
            <w:vAlign w:val="center"/>
          </w:tcPr>
          <w:p>
            <w:pPr>
              <w:pStyle w:val="29"/>
              <w:bidi w:val="0"/>
            </w:pPr>
          </w:p>
        </w:tc>
        <w:tc>
          <w:tcPr>
            <w:tcW w:w="488" w:type="pct"/>
            <w:noWrap w:val="0"/>
            <w:vAlign w:val="center"/>
          </w:tcPr>
          <w:p>
            <w:pPr>
              <w:pStyle w:val="29"/>
              <w:bidi w:val="0"/>
            </w:pPr>
            <w:r>
              <w:t>K2</w:t>
            </w:r>
          </w:p>
        </w:tc>
        <w:tc>
          <w:tcPr>
            <w:tcW w:w="652" w:type="pct"/>
            <w:noWrap w:val="0"/>
            <w:vAlign w:val="center"/>
          </w:tcPr>
          <w:p>
            <w:pPr>
              <w:pStyle w:val="29"/>
              <w:bidi w:val="0"/>
              <w:rPr>
                <w:rFonts w:hint="default"/>
                <w:lang w:val="en-US" w:eastAsia="zh-CN"/>
              </w:rPr>
            </w:pPr>
            <w:r>
              <w:rPr>
                <w:rFonts w:hint="default"/>
                <w:lang w:val="en-US" w:eastAsia="zh-CN"/>
              </w:rPr>
              <w:t>＜10</w:t>
            </w:r>
          </w:p>
        </w:tc>
        <w:tc>
          <w:tcPr>
            <w:tcW w:w="652" w:type="pct"/>
            <w:noWrap w:val="0"/>
            <w:vAlign w:val="center"/>
          </w:tcPr>
          <w:p>
            <w:pPr>
              <w:pStyle w:val="29"/>
              <w:bidi w:val="0"/>
              <w:rPr>
                <w:rFonts w:hint="default"/>
                <w:lang w:val="en-US" w:eastAsia="zh-CN"/>
              </w:rPr>
            </w:pPr>
            <w:r>
              <w:rPr>
                <w:rFonts w:hint="default"/>
                <w:lang w:val="en-US" w:eastAsia="zh-CN"/>
              </w:rPr>
              <w:t>＜10</w:t>
            </w:r>
          </w:p>
        </w:tc>
        <w:tc>
          <w:tcPr>
            <w:tcW w:w="652" w:type="pct"/>
            <w:noWrap w:val="0"/>
            <w:vAlign w:val="center"/>
          </w:tcPr>
          <w:p>
            <w:pPr>
              <w:pStyle w:val="29"/>
              <w:bidi w:val="0"/>
              <w:rPr>
                <w:rFonts w:hint="default"/>
                <w:lang w:val="en-US" w:eastAsia="zh-CN"/>
              </w:rPr>
            </w:pPr>
            <w:r>
              <w:rPr>
                <w:rFonts w:hint="default"/>
                <w:lang w:val="en-US" w:eastAsia="zh-CN"/>
              </w:rPr>
              <w:t>＜10</w:t>
            </w:r>
          </w:p>
        </w:tc>
        <w:tc>
          <w:tcPr>
            <w:tcW w:w="654" w:type="pct"/>
            <w:noWrap w:val="0"/>
            <w:vAlign w:val="center"/>
          </w:tcPr>
          <w:p>
            <w:pPr>
              <w:pStyle w:val="29"/>
              <w:bidi w:val="0"/>
              <w:rPr>
                <w:rFonts w:hint="default"/>
                <w:lang w:val="en-US" w:eastAsia="zh-CN"/>
              </w:rPr>
            </w:pPr>
            <w:r>
              <w:rPr>
                <w:rFonts w:hint="default"/>
                <w:lang w:val="en-US" w:eastAsia="zh-CN"/>
              </w:rPr>
              <w:t>＜10</w:t>
            </w:r>
          </w:p>
        </w:tc>
        <w:tc>
          <w:tcPr>
            <w:tcW w:w="465" w:type="pct"/>
            <w:vMerge w:val="continue"/>
            <w:noWrap w:val="0"/>
            <w:vAlign w:val="center"/>
          </w:tcPr>
          <w:p>
            <w:pPr>
              <w:pStyle w:val="29"/>
              <w:bidi w:val="0"/>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Merge w:val="continue"/>
            <w:noWrap w:val="0"/>
            <w:vAlign w:val="center"/>
          </w:tcPr>
          <w:p>
            <w:pPr>
              <w:pStyle w:val="29"/>
              <w:bidi w:val="0"/>
            </w:pPr>
          </w:p>
        </w:tc>
        <w:tc>
          <w:tcPr>
            <w:tcW w:w="820" w:type="pct"/>
            <w:vMerge w:val="continue"/>
            <w:noWrap w:val="0"/>
            <w:vAlign w:val="center"/>
          </w:tcPr>
          <w:p>
            <w:pPr>
              <w:pStyle w:val="29"/>
              <w:bidi w:val="0"/>
            </w:pPr>
          </w:p>
        </w:tc>
        <w:tc>
          <w:tcPr>
            <w:tcW w:w="488" w:type="pct"/>
            <w:noWrap w:val="0"/>
            <w:vAlign w:val="center"/>
          </w:tcPr>
          <w:p>
            <w:pPr>
              <w:pStyle w:val="29"/>
              <w:bidi w:val="0"/>
            </w:pPr>
            <w:r>
              <w:t>K3</w:t>
            </w:r>
          </w:p>
        </w:tc>
        <w:tc>
          <w:tcPr>
            <w:tcW w:w="652" w:type="pct"/>
            <w:noWrap w:val="0"/>
            <w:vAlign w:val="center"/>
          </w:tcPr>
          <w:p>
            <w:pPr>
              <w:pStyle w:val="29"/>
              <w:bidi w:val="0"/>
              <w:rPr>
                <w:rFonts w:hint="default"/>
                <w:lang w:val="en-US" w:eastAsia="zh-CN"/>
              </w:rPr>
            </w:pPr>
            <w:r>
              <w:rPr>
                <w:rFonts w:hint="default"/>
                <w:lang w:val="en-US" w:eastAsia="zh-CN"/>
              </w:rPr>
              <w:t>＜10</w:t>
            </w:r>
          </w:p>
        </w:tc>
        <w:tc>
          <w:tcPr>
            <w:tcW w:w="652" w:type="pct"/>
            <w:noWrap w:val="0"/>
            <w:vAlign w:val="center"/>
          </w:tcPr>
          <w:p>
            <w:pPr>
              <w:pStyle w:val="29"/>
              <w:bidi w:val="0"/>
              <w:rPr>
                <w:rFonts w:hint="default"/>
                <w:lang w:val="en-US" w:eastAsia="zh-CN"/>
              </w:rPr>
            </w:pPr>
            <w:r>
              <w:rPr>
                <w:rFonts w:hint="default"/>
                <w:lang w:val="en-US" w:eastAsia="zh-CN"/>
              </w:rPr>
              <w:t>＜10</w:t>
            </w:r>
          </w:p>
        </w:tc>
        <w:tc>
          <w:tcPr>
            <w:tcW w:w="652" w:type="pct"/>
            <w:noWrap w:val="0"/>
            <w:vAlign w:val="center"/>
          </w:tcPr>
          <w:p>
            <w:pPr>
              <w:pStyle w:val="29"/>
              <w:bidi w:val="0"/>
              <w:rPr>
                <w:rFonts w:hint="default"/>
                <w:lang w:val="en-US" w:eastAsia="zh-CN"/>
              </w:rPr>
            </w:pPr>
            <w:r>
              <w:rPr>
                <w:rFonts w:hint="default"/>
                <w:lang w:val="en-US" w:eastAsia="zh-CN"/>
              </w:rPr>
              <w:t>＜10</w:t>
            </w:r>
          </w:p>
        </w:tc>
        <w:tc>
          <w:tcPr>
            <w:tcW w:w="654" w:type="pct"/>
            <w:noWrap w:val="0"/>
            <w:vAlign w:val="center"/>
          </w:tcPr>
          <w:p>
            <w:pPr>
              <w:pStyle w:val="29"/>
              <w:bidi w:val="0"/>
              <w:rPr>
                <w:rFonts w:hint="default"/>
                <w:lang w:val="en-US" w:eastAsia="zh-CN"/>
              </w:rPr>
            </w:pPr>
            <w:r>
              <w:rPr>
                <w:rFonts w:hint="default"/>
                <w:lang w:val="en-US" w:eastAsia="zh-CN"/>
              </w:rPr>
              <w:t>＜10</w:t>
            </w:r>
          </w:p>
        </w:tc>
        <w:tc>
          <w:tcPr>
            <w:tcW w:w="465" w:type="pct"/>
            <w:vMerge w:val="continue"/>
            <w:noWrap w:val="0"/>
            <w:vAlign w:val="center"/>
          </w:tcPr>
          <w:p>
            <w:pPr>
              <w:pStyle w:val="29"/>
              <w:bidi w:val="0"/>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Merge w:val="continue"/>
            <w:noWrap w:val="0"/>
            <w:vAlign w:val="center"/>
          </w:tcPr>
          <w:p>
            <w:pPr>
              <w:pStyle w:val="29"/>
              <w:bidi w:val="0"/>
            </w:pPr>
          </w:p>
        </w:tc>
        <w:tc>
          <w:tcPr>
            <w:tcW w:w="820" w:type="pct"/>
            <w:vMerge w:val="continue"/>
            <w:noWrap w:val="0"/>
            <w:vAlign w:val="center"/>
          </w:tcPr>
          <w:p>
            <w:pPr>
              <w:pStyle w:val="29"/>
              <w:bidi w:val="0"/>
            </w:pPr>
          </w:p>
        </w:tc>
        <w:tc>
          <w:tcPr>
            <w:tcW w:w="488" w:type="pct"/>
            <w:noWrap w:val="0"/>
            <w:vAlign w:val="center"/>
          </w:tcPr>
          <w:p>
            <w:pPr>
              <w:pStyle w:val="29"/>
              <w:bidi w:val="0"/>
            </w:pPr>
            <w:r>
              <w:t>K4</w:t>
            </w:r>
          </w:p>
        </w:tc>
        <w:tc>
          <w:tcPr>
            <w:tcW w:w="652" w:type="pct"/>
            <w:noWrap w:val="0"/>
            <w:vAlign w:val="center"/>
          </w:tcPr>
          <w:p>
            <w:pPr>
              <w:pStyle w:val="29"/>
              <w:bidi w:val="0"/>
              <w:rPr>
                <w:rFonts w:hint="default"/>
                <w:lang w:val="en-US" w:eastAsia="zh-CN"/>
              </w:rPr>
            </w:pPr>
            <w:r>
              <w:rPr>
                <w:rFonts w:hint="default"/>
                <w:lang w:val="en-US" w:eastAsia="zh-CN"/>
              </w:rPr>
              <w:t>＜10</w:t>
            </w:r>
          </w:p>
        </w:tc>
        <w:tc>
          <w:tcPr>
            <w:tcW w:w="652" w:type="pct"/>
            <w:noWrap w:val="0"/>
            <w:vAlign w:val="center"/>
          </w:tcPr>
          <w:p>
            <w:pPr>
              <w:pStyle w:val="29"/>
              <w:bidi w:val="0"/>
              <w:rPr>
                <w:rFonts w:hint="default"/>
                <w:lang w:val="en-US" w:eastAsia="zh-CN"/>
              </w:rPr>
            </w:pPr>
            <w:r>
              <w:rPr>
                <w:rFonts w:hint="default"/>
                <w:lang w:val="en-US" w:eastAsia="zh-CN"/>
              </w:rPr>
              <w:t>＜10</w:t>
            </w:r>
          </w:p>
        </w:tc>
        <w:tc>
          <w:tcPr>
            <w:tcW w:w="652" w:type="pct"/>
            <w:noWrap w:val="0"/>
            <w:vAlign w:val="center"/>
          </w:tcPr>
          <w:p>
            <w:pPr>
              <w:pStyle w:val="29"/>
              <w:bidi w:val="0"/>
              <w:rPr>
                <w:rFonts w:hint="default"/>
                <w:lang w:val="en-US" w:eastAsia="zh-CN"/>
              </w:rPr>
            </w:pPr>
            <w:r>
              <w:rPr>
                <w:rFonts w:hint="default"/>
                <w:lang w:val="en-US" w:eastAsia="zh-CN"/>
              </w:rPr>
              <w:t>＜10</w:t>
            </w:r>
          </w:p>
        </w:tc>
        <w:tc>
          <w:tcPr>
            <w:tcW w:w="654" w:type="pct"/>
            <w:noWrap w:val="0"/>
            <w:vAlign w:val="center"/>
          </w:tcPr>
          <w:p>
            <w:pPr>
              <w:pStyle w:val="29"/>
              <w:bidi w:val="0"/>
              <w:rPr>
                <w:rFonts w:hint="default"/>
                <w:lang w:val="en-US" w:eastAsia="zh-CN"/>
              </w:rPr>
            </w:pPr>
            <w:r>
              <w:rPr>
                <w:rFonts w:hint="default"/>
                <w:lang w:val="en-US" w:eastAsia="zh-CN"/>
              </w:rPr>
              <w:t>＜10</w:t>
            </w:r>
          </w:p>
        </w:tc>
        <w:tc>
          <w:tcPr>
            <w:tcW w:w="465" w:type="pct"/>
            <w:vMerge w:val="continue"/>
            <w:noWrap w:val="0"/>
            <w:vAlign w:val="center"/>
          </w:tcPr>
          <w:p>
            <w:pPr>
              <w:pStyle w:val="29"/>
              <w:bidi w:val="0"/>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Merge w:val="continue"/>
            <w:noWrap w:val="0"/>
            <w:vAlign w:val="center"/>
          </w:tcPr>
          <w:p>
            <w:pPr>
              <w:pStyle w:val="29"/>
              <w:bidi w:val="0"/>
            </w:pPr>
          </w:p>
        </w:tc>
        <w:tc>
          <w:tcPr>
            <w:tcW w:w="820" w:type="pct"/>
            <w:vMerge w:val="restart"/>
            <w:noWrap w:val="0"/>
            <w:vAlign w:val="center"/>
          </w:tcPr>
          <w:p>
            <w:pPr>
              <w:pStyle w:val="29"/>
              <w:bidi w:val="0"/>
              <w:rPr>
                <w:rFonts w:hint="eastAsia"/>
                <w:lang w:val="en-US" w:eastAsia="zh-CN"/>
              </w:rPr>
            </w:pPr>
            <w:r>
              <w:rPr>
                <w:rFonts w:hint="eastAsia"/>
                <w:lang w:val="en-US" w:eastAsia="zh-CN"/>
              </w:rPr>
              <w:t>2022-5-25</w:t>
            </w:r>
          </w:p>
        </w:tc>
        <w:tc>
          <w:tcPr>
            <w:tcW w:w="488" w:type="pct"/>
            <w:noWrap w:val="0"/>
            <w:vAlign w:val="center"/>
          </w:tcPr>
          <w:p>
            <w:pPr>
              <w:pStyle w:val="29"/>
              <w:bidi w:val="0"/>
            </w:pPr>
            <w:r>
              <w:t>K1</w:t>
            </w:r>
          </w:p>
        </w:tc>
        <w:tc>
          <w:tcPr>
            <w:tcW w:w="652" w:type="pct"/>
            <w:noWrap w:val="0"/>
            <w:vAlign w:val="center"/>
          </w:tcPr>
          <w:p>
            <w:pPr>
              <w:pStyle w:val="29"/>
              <w:bidi w:val="0"/>
              <w:rPr>
                <w:rFonts w:hint="default"/>
                <w:lang w:val="en-US" w:eastAsia="zh-CN"/>
              </w:rPr>
            </w:pPr>
            <w:r>
              <w:rPr>
                <w:rFonts w:hint="default"/>
                <w:lang w:val="en-US" w:eastAsia="zh-CN"/>
              </w:rPr>
              <w:t>＜10</w:t>
            </w:r>
          </w:p>
        </w:tc>
        <w:tc>
          <w:tcPr>
            <w:tcW w:w="652" w:type="pct"/>
            <w:noWrap w:val="0"/>
            <w:vAlign w:val="center"/>
          </w:tcPr>
          <w:p>
            <w:pPr>
              <w:pStyle w:val="29"/>
              <w:bidi w:val="0"/>
              <w:rPr>
                <w:rFonts w:hint="default"/>
                <w:lang w:val="en-US" w:eastAsia="zh-CN"/>
              </w:rPr>
            </w:pPr>
            <w:r>
              <w:rPr>
                <w:rFonts w:hint="default"/>
                <w:lang w:val="en-US" w:eastAsia="zh-CN"/>
              </w:rPr>
              <w:t>＜10</w:t>
            </w:r>
          </w:p>
        </w:tc>
        <w:tc>
          <w:tcPr>
            <w:tcW w:w="652" w:type="pct"/>
            <w:noWrap w:val="0"/>
            <w:vAlign w:val="center"/>
          </w:tcPr>
          <w:p>
            <w:pPr>
              <w:pStyle w:val="29"/>
              <w:bidi w:val="0"/>
              <w:rPr>
                <w:rFonts w:hint="default"/>
                <w:lang w:val="en-US" w:eastAsia="zh-CN"/>
              </w:rPr>
            </w:pPr>
            <w:r>
              <w:rPr>
                <w:rFonts w:hint="default"/>
                <w:lang w:val="en-US" w:eastAsia="zh-CN"/>
              </w:rPr>
              <w:t>＜10</w:t>
            </w:r>
          </w:p>
        </w:tc>
        <w:tc>
          <w:tcPr>
            <w:tcW w:w="654" w:type="pct"/>
            <w:noWrap w:val="0"/>
            <w:vAlign w:val="center"/>
          </w:tcPr>
          <w:p>
            <w:pPr>
              <w:pStyle w:val="29"/>
              <w:bidi w:val="0"/>
              <w:rPr>
                <w:rFonts w:hint="default"/>
                <w:lang w:val="en-US" w:eastAsia="zh-CN"/>
              </w:rPr>
            </w:pPr>
            <w:r>
              <w:rPr>
                <w:rFonts w:hint="default"/>
                <w:lang w:val="en-US" w:eastAsia="zh-CN"/>
              </w:rPr>
              <w:t>＜10</w:t>
            </w:r>
          </w:p>
        </w:tc>
        <w:tc>
          <w:tcPr>
            <w:tcW w:w="465" w:type="pct"/>
            <w:vMerge w:val="continue"/>
            <w:noWrap w:val="0"/>
            <w:vAlign w:val="center"/>
          </w:tcPr>
          <w:p>
            <w:pPr>
              <w:pStyle w:val="29"/>
              <w:bidi w:val="0"/>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Merge w:val="continue"/>
            <w:noWrap w:val="0"/>
            <w:vAlign w:val="center"/>
          </w:tcPr>
          <w:p>
            <w:pPr>
              <w:pStyle w:val="29"/>
              <w:bidi w:val="0"/>
            </w:pPr>
          </w:p>
        </w:tc>
        <w:tc>
          <w:tcPr>
            <w:tcW w:w="820" w:type="pct"/>
            <w:vMerge w:val="continue"/>
            <w:noWrap w:val="0"/>
            <w:vAlign w:val="center"/>
          </w:tcPr>
          <w:p>
            <w:pPr>
              <w:pStyle w:val="29"/>
              <w:bidi w:val="0"/>
            </w:pPr>
          </w:p>
        </w:tc>
        <w:tc>
          <w:tcPr>
            <w:tcW w:w="488" w:type="pct"/>
            <w:noWrap w:val="0"/>
            <w:vAlign w:val="center"/>
          </w:tcPr>
          <w:p>
            <w:pPr>
              <w:pStyle w:val="29"/>
              <w:bidi w:val="0"/>
            </w:pPr>
            <w:r>
              <w:t>K2</w:t>
            </w:r>
          </w:p>
        </w:tc>
        <w:tc>
          <w:tcPr>
            <w:tcW w:w="652" w:type="pct"/>
            <w:noWrap w:val="0"/>
            <w:vAlign w:val="center"/>
          </w:tcPr>
          <w:p>
            <w:pPr>
              <w:pStyle w:val="29"/>
              <w:bidi w:val="0"/>
              <w:rPr>
                <w:rFonts w:hint="default"/>
                <w:lang w:val="en-US" w:eastAsia="zh-CN"/>
              </w:rPr>
            </w:pPr>
            <w:r>
              <w:rPr>
                <w:rFonts w:hint="default"/>
                <w:lang w:val="en-US" w:eastAsia="zh-CN"/>
              </w:rPr>
              <w:t>＜10</w:t>
            </w:r>
          </w:p>
        </w:tc>
        <w:tc>
          <w:tcPr>
            <w:tcW w:w="652" w:type="pct"/>
            <w:noWrap w:val="0"/>
            <w:vAlign w:val="center"/>
          </w:tcPr>
          <w:p>
            <w:pPr>
              <w:pStyle w:val="29"/>
              <w:bidi w:val="0"/>
              <w:rPr>
                <w:rFonts w:hint="default"/>
                <w:lang w:val="en-US" w:eastAsia="zh-CN"/>
              </w:rPr>
            </w:pPr>
            <w:r>
              <w:rPr>
                <w:rFonts w:hint="default"/>
                <w:lang w:val="en-US" w:eastAsia="zh-CN"/>
              </w:rPr>
              <w:t>＜10</w:t>
            </w:r>
          </w:p>
        </w:tc>
        <w:tc>
          <w:tcPr>
            <w:tcW w:w="652" w:type="pct"/>
            <w:noWrap w:val="0"/>
            <w:vAlign w:val="center"/>
          </w:tcPr>
          <w:p>
            <w:pPr>
              <w:pStyle w:val="29"/>
              <w:bidi w:val="0"/>
              <w:rPr>
                <w:rFonts w:hint="default"/>
                <w:lang w:val="en-US" w:eastAsia="zh-CN"/>
              </w:rPr>
            </w:pPr>
            <w:r>
              <w:rPr>
                <w:rFonts w:hint="default"/>
                <w:lang w:val="en-US" w:eastAsia="zh-CN"/>
              </w:rPr>
              <w:t>＜10</w:t>
            </w:r>
          </w:p>
        </w:tc>
        <w:tc>
          <w:tcPr>
            <w:tcW w:w="654" w:type="pct"/>
            <w:noWrap w:val="0"/>
            <w:vAlign w:val="center"/>
          </w:tcPr>
          <w:p>
            <w:pPr>
              <w:pStyle w:val="29"/>
              <w:bidi w:val="0"/>
              <w:rPr>
                <w:rFonts w:hint="default"/>
                <w:lang w:val="en-US" w:eastAsia="zh-CN"/>
              </w:rPr>
            </w:pPr>
            <w:r>
              <w:rPr>
                <w:rFonts w:hint="default"/>
                <w:lang w:val="en-US" w:eastAsia="zh-CN"/>
              </w:rPr>
              <w:t>＜10</w:t>
            </w:r>
          </w:p>
        </w:tc>
        <w:tc>
          <w:tcPr>
            <w:tcW w:w="465" w:type="pct"/>
            <w:vMerge w:val="continue"/>
            <w:noWrap w:val="0"/>
            <w:vAlign w:val="center"/>
          </w:tcPr>
          <w:p>
            <w:pPr>
              <w:pStyle w:val="29"/>
              <w:bidi w:val="0"/>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Merge w:val="continue"/>
            <w:noWrap w:val="0"/>
            <w:vAlign w:val="center"/>
          </w:tcPr>
          <w:p>
            <w:pPr>
              <w:pStyle w:val="29"/>
              <w:bidi w:val="0"/>
            </w:pPr>
          </w:p>
        </w:tc>
        <w:tc>
          <w:tcPr>
            <w:tcW w:w="820" w:type="pct"/>
            <w:vMerge w:val="continue"/>
            <w:noWrap w:val="0"/>
            <w:vAlign w:val="center"/>
          </w:tcPr>
          <w:p>
            <w:pPr>
              <w:pStyle w:val="29"/>
              <w:bidi w:val="0"/>
            </w:pPr>
          </w:p>
        </w:tc>
        <w:tc>
          <w:tcPr>
            <w:tcW w:w="488" w:type="pct"/>
            <w:noWrap w:val="0"/>
            <w:vAlign w:val="center"/>
          </w:tcPr>
          <w:p>
            <w:pPr>
              <w:pStyle w:val="29"/>
              <w:bidi w:val="0"/>
            </w:pPr>
            <w:r>
              <w:t>K3</w:t>
            </w:r>
          </w:p>
        </w:tc>
        <w:tc>
          <w:tcPr>
            <w:tcW w:w="652" w:type="pct"/>
            <w:noWrap w:val="0"/>
            <w:vAlign w:val="center"/>
          </w:tcPr>
          <w:p>
            <w:pPr>
              <w:pStyle w:val="29"/>
              <w:bidi w:val="0"/>
              <w:rPr>
                <w:rFonts w:hint="default"/>
                <w:lang w:val="en-US" w:eastAsia="zh-CN"/>
              </w:rPr>
            </w:pPr>
            <w:r>
              <w:rPr>
                <w:rFonts w:hint="default"/>
                <w:lang w:val="en-US" w:eastAsia="zh-CN"/>
              </w:rPr>
              <w:t>＜10</w:t>
            </w:r>
          </w:p>
        </w:tc>
        <w:tc>
          <w:tcPr>
            <w:tcW w:w="652" w:type="pct"/>
            <w:noWrap w:val="0"/>
            <w:vAlign w:val="center"/>
          </w:tcPr>
          <w:p>
            <w:pPr>
              <w:pStyle w:val="29"/>
              <w:bidi w:val="0"/>
              <w:rPr>
                <w:rFonts w:hint="default"/>
                <w:lang w:val="en-US" w:eastAsia="zh-CN"/>
              </w:rPr>
            </w:pPr>
            <w:r>
              <w:rPr>
                <w:rFonts w:hint="default"/>
                <w:lang w:val="en-US" w:eastAsia="zh-CN"/>
              </w:rPr>
              <w:t>＜10</w:t>
            </w:r>
          </w:p>
        </w:tc>
        <w:tc>
          <w:tcPr>
            <w:tcW w:w="652" w:type="pct"/>
            <w:noWrap w:val="0"/>
            <w:vAlign w:val="center"/>
          </w:tcPr>
          <w:p>
            <w:pPr>
              <w:pStyle w:val="29"/>
              <w:bidi w:val="0"/>
              <w:rPr>
                <w:rFonts w:hint="default"/>
                <w:lang w:val="en-US" w:eastAsia="zh-CN"/>
              </w:rPr>
            </w:pPr>
            <w:r>
              <w:rPr>
                <w:rFonts w:hint="default"/>
                <w:lang w:val="en-US" w:eastAsia="zh-CN"/>
              </w:rPr>
              <w:t>＜10</w:t>
            </w:r>
          </w:p>
        </w:tc>
        <w:tc>
          <w:tcPr>
            <w:tcW w:w="654" w:type="pct"/>
            <w:noWrap w:val="0"/>
            <w:vAlign w:val="center"/>
          </w:tcPr>
          <w:p>
            <w:pPr>
              <w:pStyle w:val="29"/>
              <w:bidi w:val="0"/>
              <w:rPr>
                <w:rFonts w:hint="default"/>
                <w:lang w:val="en-US" w:eastAsia="zh-CN"/>
              </w:rPr>
            </w:pPr>
            <w:r>
              <w:rPr>
                <w:rFonts w:hint="default"/>
                <w:lang w:val="en-US" w:eastAsia="zh-CN"/>
              </w:rPr>
              <w:t>＜10</w:t>
            </w:r>
          </w:p>
        </w:tc>
        <w:tc>
          <w:tcPr>
            <w:tcW w:w="465" w:type="pct"/>
            <w:vMerge w:val="continue"/>
            <w:noWrap w:val="0"/>
            <w:vAlign w:val="center"/>
          </w:tcPr>
          <w:p>
            <w:pPr>
              <w:pStyle w:val="29"/>
              <w:bidi w:val="0"/>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Merge w:val="continue"/>
            <w:noWrap w:val="0"/>
            <w:vAlign w:val="center"/>
          </w:tcPr>
          <w:p>
            <w:pPr>
              <w:pStyle w:val="29"/>
              <w:bidi w:val="0"/>
            </w:pPr>
          </w:p>
        </w:tc>
        <w:tc>
          <w:tcPr>
            <w:tcW w:w="820" w:type="pct"/>
            <w:vMerge w:val="continue"/>
            <w:noWrap w:val="0"/>
            <w:vAlign w:val="center"/>
          </w:tcPr>
          <w:p>
            <w:pPr>
              <w:pStyle w:val="29"/>
              <w:bidi w:val="0"/>
            </w:pPr>
          </w:p>
        </w:tc>
        <w:tc>
          <w:tcPr>
            <w:tcW w:w="488" w:type="pct"/>
            <w:noWrap w:val="0"/>
            <w:vAlign w:val="center"/>
          </w:tcPr>
          <w:p>
            <w:pPr>
              <w:pStyle w:val="29"/>
              <w:bidi w:val="0"/>
            </w:pPr>
            <w:r>
              <w:t>K4</w:t>
            </w:r>
          </w:p>
        </w:tc>
        <w:tc>
          <w:tcPr>
            <w:tcW w:w="652" w:type="pct"/>
            <w:noWrap w:val="0"/>
            <w:vAlign w:val="center"/>
          </w:tcPr>
          <w:p>
            <w:pPr>
              <w:pStyle w:val="29"/>
              <w:bidi w:val="0"/>
              <w:rPr>
                <w:rFonts w:hint="default"/>
                <w:lang w:val="en-US" w:eastAsia="zh-CN"/>
              </w:rPr>
            </w:pPr>
            <w:r>
              <w:rPr>
                <w:rFonts w:hint="default"/>
                <w:lang w:val="en-US" w:eastAsia="zh-CN"/>
              </w:rPr>
              <w:t>＜10</w:t>
            </w:r>
          </w:p>
        </w:tc>
        <w:tc>
          <w:tcPr>
            <w:tcW w:w="652" w:type="pct"/>
            <w:noWrap w:val="0"/>
            <w:vAlign w:val="center"/>
          </w:tcPr>
          <w:p>
            <w:pPr>
              <w:pStyle w:val="29"/>
              <w:bidi w:val="0"/>
              <w:rPr>
                <w:rFonts w:hint="default"/>
                <w:lang w:val="en-US" w:eastAsia="zh-CN"/>
              </w:rPr>
            </w:pPr>
            <w:r>
              <w:rPr>
                <w:rFonts w:hint="default"/>
                <w:lang w:val="en-US" w:eastAsia="zh-CN"/>
              </w:rPr>
              <w:t>＜10</w:t>
            </w:r>
          </w:p>
        </w:tc>
        <w:tc>
          <w:tcPr>
            <w:tcW w:w="652" w:type="pct"/>
            <w:noWrap w:val="0"/>
            <w:vAlign w:val="center"/>
          </w:tcPr>
          <w:p>
            <w:pPr>
              <w:pStyle w:val="29"/>
              <w:bidi w:val="0"/>
              <w:rPr>
                <w:rFonts w:hint="default"/>
                <w:lang w:val="en-US" w:eastAsia="zh-CN"/>
              </w:rPr>
            </w:pPr>
            <w:r>
              <w:rPr>
                <w:rFonts w:hint="default"/>
                <w:lang w:val="en-US" w:eastAsia="zh-CN"/>
              </w:rPr>
              <w:t>＜10</w:t>
            </w:r>
          </w:p>
        </w:tc>
        <w:tc>
          <w:tcPr>
            <w:tcW w:w="654" w:type="pct"/>
            <w:noWrap w:val="0"/>
            <w:vAlign w:val="center"/>
          </w:tcPr>
          <w:p>
            <w:pPr>
              <w:pStyle w:val="29"/>
              <w:bidi w:val="0"/>
              <w:rPr>
                <w:rFonts w:hint="default"/>
                <w:lang w:val="en-US" w:eastAsia="zh-CN"/>
              </w:rPr>
            </w:pPr>
            <w:r>
              <w:rPr>
                <w:rFonts w:hint="default"/>
                <w:lang w:val="en-US" w:eastAsia="zh-CN"/>
              </w:rPr>
              <w:t>＜10</w:t>
            </w:r>
          </w:p>
        </w:tc>
        <w:tc>
          <w:tcPr>
            <w:tcW w:w="465" w:type="pct"/>
            <w:vMerge w:val="continue"/>
            <w:noWrap w:val="0"/>
            <w:vAlign w:val="center"/>
          </w:tcPr>
          <w:p>
            <w:pPr>
              <w:pStyle w:val="29"/>
              <w:bidi w:val="0"/>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Merge w:val="restart"/>
            <w:noWrap w:val="0"/>
            <w:vAlign w:val="center"/>
          </w:tcPr>
          <w:p>
            <w:pPr>
              <w:pStyle w:val="29"/>
              <w:bidi w:val="0"/>
            </w:pPr>
            <w:r>
              <w:t>甲烷</w:t>
            </w:r>
          </w:p>
        </w:tc>
        <w:tc>
          <w:tcPr>
            <w:tcW w:w="820" w:type="pct"/>
            <w:noWrap w:val="0"/>
            <w:vAlign w:val="center"/>
          </w:tcPr>
          <w:p>
            <w:pPr>
              <w:pStyle w:val="29"/>
              <w:bidi w:val="0"/>
              <w:ind w:firstLine="0" w:firstLineChars="0"/>
              <w:rPr>
                <w:rFonts w:ascii="Times New Roman" w:hAnsi="Times New Roman"/>
                <w:kern w:val="2"/>
                <w:sz w:val="21"/>
                <w:szCs w:val="22"/>
                <w:lang w:val="en-US" w:eastAsia="zh-CN" w:bidi="ar-SA"/>
              </w:rPr>
            </w:pPr>
            <w:r>
              <w:rPr>
                <w:rFonts w:hint="eastAsia"/>
                <w:lang w:val="en-US" w:eastAsia="zh-CN"/>
              </w:rPr>
              <w:t>2022-5-24</w:t>
            </w:r>
          </w:p>
        </w:tc>
        <w:tc>
          <w:tcPr>
            <w:tcW w:w="488" w:type="pct"/>
            <w:vMerge w:val="restart"/>
            <w:noWrap w:val="0"/>
            <w:vAlign w:val="center"/>
          </w:tcPr>
          <w:p>
            <w:pPr>
              <w:pStyle w:val="29"/>
              <w:bidi w:val="0"/>
            </w:pPr>
            <w:r>
              <w:t>K5</w:t>
            </w:r>
          </w:p>
        </w:tc>
        <w:tc>
          <w:tcPr>
            <w:tcW w:w="652" w:type="pct"/>
            <w:noWrap w:val="0"/>
            <w:vAlign w:val="center"/>
          </w:tcPr>
          <w:p>
            <w:pPr>
              <w:pStyle w:val="29"/>
              <w:bidi w:val="0"/>
              <w:rPr>
                <w:rFonts w:hint="default"/>
                <w:lang w:val="en-US" w:eastAsia="zh-CN"/>
              </w:rPr>
            </w:pPr>
            <w:r>
              <w:rPr>
                <w:rFonts w:hint="eastAsia"/>
                <w:lang w:val="en-US" w:eastAsia="zh-CN"/>
              </w:rPr>
              <w:t>1.97</w:t>
            </w:r>
            <w:r>
              <w:rPr>
                <w:rFonts w:hint="default"/>
                <w:lang w:val="en-US" w:eastAsia="zh-CN"/>
              </w:rPr>
              <w:t>×10</w:t>
            </w:r>
            <w:r>
              <w:rPr>
                <w:rFonts w:hint="default"/>
                <w:vertAlign w:val="superscript"/>
                <w:lang w:val="en-US" w:eastAsia="zh-CN"/>
              </w:rPr>
              <w:t>-4</w:t>
            </w:r>
          </w:p>
        </w:tc>
        <w:tc>
          <w:tcPr>
            <w:tcW w:w="652" w:type="pct"/>
            <w:noWrap w:val="0"/>
            <w:vAlign w:val="center"/>
          </w:tcPr>
          <w:p>
            <w:pPr>
              <w:pStyle w:val="29"/>
              <w:bidi w:val="0"/>
              <w:rPr>
                <w:rFonts w:hint="default"/>
                <w:lang w:val="en-US" w:eastAsia="zh-CN"/>
              </w:rPr>
            </w:pPr>
            <w:r>
              <w:rPr>
                <w:rFonts w:hint="eastAsia"/>
                <w:lang w:val="en-US" w:eastAsia="zh-CN"/>
              </w:rPr>
              <w:t>1.96</w:t>
            </w:r>
            <w:r>
              <w:rPr>
                <w:rFonts w:hint="default"/>
                <w:lang w:val="en-US" w:eastAsia="zh-CN"/>
              </w:rPr>
              <w:t>×10</w:t>
            </w:r>
            <w:r>
              <w:rPr>
                <w:rFonts w:hint="default"/>
                <w:vertAlign w:val="superscript"/>
                <w:lang w:val="en-US" w:eastAsia="zh-CN"/>
              </w:rPr>
              <w:t>-4</w:t>
            </w:r>
          </w:p>
        </w:tc>
        <w:tc>
          <w:tcPr>
            <w:tcW w:w="652" w:type="pct"/>
            <w:noWrap w:val="0"/>
            <w:vAlign w:val="center"/>
          </w:tcPr>
          <w:p>
            <w:pPr>
              <w:pStyle w:val="29"/>
              <w:bidi w:val="0"/>
              <w:rPr>
                <w:rFonts w:hint="default"/>
                <w:lang w:val="en-US" w:eastAsia="zh-CN"/>
              </w:rPr>
            </w:pPr>
            <w:r>
              <w:rPr>
                <w:rFonts w:hint="eastAsia"/>
                <w:lang w:val="en-US" w:eastAsia="zh-CN"/>
              </w:rPr>
              <w:t>2.24</w:t>
            </w:r>
            <w:r>
              <w:rPr>
                <w:rFonts w:hint="default"/>
                <w:lang w:val="en-US" w:eastAsia="zh-CN"/>
              </w:rPr>
              <w:t>×10</w:t>
            </w:r>
            <w:r>
              <w:rPr>
                <w:rFonts w:hint="default"/>
                <w:vertAlign w:val="superscript"/>
                <w:lang w:val="en-US" w:eastAsia="zh-CN"/>
              </w:rPr>
              <w:t>-4</w:t>
            </w:r>
          </w:p>
        </w:tc>
        <w:tc>
          <w:tcPr>
            <w:tcW w:w="654" w:type="pct"/>
            <w:noWrap w:val="0"/>
            <w:vAlign w:val="center"/>
          </w:tcPr>
          <w:p>
            <w:pPr>
              <w:pStyle w:val="29"/>
              <w:bidi w:val="0"/>
              <w:rPr>
                <w:rFonts w:hint="default"/>
                <w:lang w:val="en-US" w:eastAsia="zh-CN"/>
              </w:rPr>
            </w:pPr>
            <w:r>
              <w:rPr>
                <w:rFonts w:hint="eastAsia"/>
                <w:lang w:val="en-US" w:eastAsia="zh-CN"/>
              </w:rPr>
              <w:t>2.41</w:t>
            </w:r>
            <w:r>
              <w:rPr>
                <w:rFonts w:hint="default"/>
                <w:lang w:val="en-US" w:eastAsia="zh-CN"/>
              </w:rPr>
              <w:t>×10</w:t>
            </w:r>
            <w:r>
              <w:rPr>
                <w:rFonts w:hint="default"/>
                <w:vertAlign w:val="superscript"/>
                <w:lang w:val="en-US" w:eastAsia="zh-CN"/>
              </w:rPr>
              <w:t>-4</w:t>
            </w:r>
          </w:p>
        </w:tc>
        <w:tc>
          <w:tcPr>
            <w:tcW w:w="465" w:type="pct"/>
            <w:vMerge w:val="restart"/>
            <w:noWrap w:val="0"/>
            <w:vAlign w:val="center"/>
          </w:tcPr>
          <w:p>
            <w:pPr>
              <w:pStyle w:val="29"/>
              <w:bidi w:val="0"/>
            </w:pPr>
            <w: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pct"/>
            <w:vMerge w:val="continue"/>
            <w:noWrap w:val="0"/>
            <w:vAlign w:val="center"/>
          </w:tcPr>
          <w:p>
            <w:pPr>
              <w:pStyle w:val="29"/>
              <w:bidi w:val="0"/>
            </w:pPr>
          </w:p>
        </w:tc>
        <w:tc>
          <w:tcPr>
            <w:tcW w:w="820" w:type="pct"/>
            <w:noWrap w:val="0"/>
            <w:vAlign w:val="center"/>
          </w:tcPr>
          <w:p>
            <w:pPr>
              <w:pStyle w:val="29"/>
              <w:bidi w:val="0"/>
            </w:pPr>
            <w:r>
              <w:rPr>
                <w:rFonts w:hint="eastAsia"/>
                <w:lang w:val="en-US" w:eastAsia="zh-CN"/>
              </w:rPr>
              <w:t>2022-5-25</w:t>
            </w:r>
          </w:p>
        </w:tc>
        <w:tc>
          <w:tcPr>
            <w:tcW w:w="488" w:type="pct"/>
            <w:vMerge w:val="continue"/>
            <w:noWrap w:val="0"/>
            <w:vAlign w:val="center"/>
          </w:tcPr>
          <w:p>
            <w:pPr>
              <w:pStyle w:val="29"/>
              <w:bidi w:val="0"/>
            </w:pPr>
          </w:p>
        </w:tc>
        <w:tc>
          <w:tcPr>
            <w:tcW w:w="652" w:type="pct"/>
            <w:noWrap w:val="0"/>
            <w:vAlign w:val="center"/>
          </w:tcPr>
          <w:p>
            <w:pPr>
              <w:pStyle w:val="29"/>
              <w:bidi w:val="0"/>
              <w:rPr>
                <w:rFonts w:hint="default"/>
                <w:lang w:val="en-US" w:eastAsia="zh-CN"/>
              </w:rPr>
            </w:pPr>
            <w:r>
              <w:rPr>
                <w:rFonts w:hint="eastAsia"/>
                <w:lang w:val="en-US" w:eastAsia="zh-CN"/>
              </w:rPr>
              <w:t>2.20</w:t>
            </w:r>
            <w:r>
              <w:rPr>
                <w:rFonts w:hint="default"/>
                <w:lang w:val="en-US" w:eastAsia="zh-CN"/>
              </w:rPr>
              <w:t>×10</w:t>
            </w:r>
            <w:r>
              <w:rPr>
                <w:rFonts w:hint="default"/>
                <w:vertAlign w:val="superscript"/>
                <w:lang w:val="en-US" w:eastAsia="zh-CN"/>
              </w:rPr>
              <w:t>-4</w:t>
            </w:r>
          </w:p>
        </w:tc>
        <w:tc>
          <w:tcPr>
            <w:tcW w:w="652" w:type="pct"/>
            <w:noWrap w:val="0"/>
            <w:vAlign w:val="center"/>
          </w:tcPr>
          <w:p>
            <w:pPr>
              <w:pStyle w:val="29"/>
              <w:bidi w:val="0"/>
              <w:rPr>
                <w:rFonts w:hint="default"/>
                <w:lang w:val="en-US" w:eastAsia="zh-CN"/>
              </w:rPr>
            </w:pPr>
            <w:r>
              <w:rPr>
                <w:rFonts w:hint="eastAsia"/>
                <w:lang w:val="en-US" w:eastAsia="zh-CN"/>
              </w:rPr>
              <w:t>2.17</w:t>
            </w:r>
            <w:r>
              <w:rPr>
                <w:rFonts w:hint="default"/>
                <w:lang w:val="en-US" w:eastAsia="zh-CN"/>
              </w:rPr>
              <w:t>×10</w:t>
            </w:r>
            <w:r>
              <w:rPr>
                <w:rFonts w:hint="default"/>
                <w:vertAlign w:val="superscript"/>
                <w:lang w:val="en-US" w:eastAsia="zh-CN"/>
              </w:rPr>
              <w:t>-4</w:t>
            </w:r>
          </w:p>
        </w:tc>
        <w:tc>
          <w:tcPr>
            <w:tcW w:w="652" w:type="pct"/>
            <w:noWrap w:val="0"/>
            <w:vAlign w:val="center"/>
          </w:tcPr>
          <w:p>
            <w:pPr>
              <w:pStyle w:val="29"/>
              <w:bidi w:val="0"/>
              <w:rPr>
                <w:rFonts w:hint="default"/>
                <w:lang w:val="en-US" w:eastAsia="zh-CN"/>
              </w:rPr>
            </w:pPr>
            <w:r>
              <w:rPr>
                <w:rFonts w:hint="eastAsia"/>
                <w:lang w:val="en-US" w:eastAsia="zh-CN"/>
              </w:rPr>
              <w:t>2.03</w:t>
            </w:r>
            <w:r>
              <w:rPr>
                <w:rFonts w:hint="default"/>
                <w:lang w:val="en-US" w:eastAsia="zh-CN"/>
              </w:rPr>
              <w:t>×10</w:t>
            </w:r>
            <w:r>
              <w:rPr>
                <w:rFonts w:hint="default"/>
                <w:vertAlign w:val="superscript"/>
                <w:lang w:val="en-US" w:eastAsia="zh-CN"/>
              </w:rPr>
              <w:t>-4</w:t>
            </w:r>
          </w:p>
        </w:tc>
        <w:tc>
          <w:tcPr>
            <w:tcW w:w="654" w:type="pct"/>
            <w:noWrap w:val="0"/>
            <w:vAlign w:val="center"/>
          </w:tcPr>
          <w:p>
            <w:pPr>
              <w:pStyle w:val="29"/>
              <w:bidi w:val="0"/>
              <w:rPr>
                <w:rFonts w:hint="default"/>
                <w:lang w:val="en-US" w:eastAsia="zh-CN"/>
              </w:rPr>
            </w:pPr>
            <w:r>
              <w:rPr>
                <w:rFonts w:hint="eastAsia"/>
                <w:lang w:val="en-US" w:eastAsia="zh-CN"/>
              </w:rPr>
              <w:t>2.21</w:t>
            </w:r>
            <w:r>
              <w:rPr>
                <w:rFonts w:hint="default"/>
                <w:lang w:val="en-US" w:eastAsia="zh-CN"/>
              </w:rPr>
              <w:t>×10</w:t>
            </w:r>
            <w:r>
              <w:rPr>
                <w:rFonts w:hint="default"/>
                <w:vertAlign w:val="superscript"/>
                <w:lang w:val="en-US" w:eastAsia="zh-CN"/>
              </w:rPr>
              <w:t>-4</w:t>
            </w:r>
          </w:p>
        </w:tc>
        <w:tc>
          <w:tcPr>
            <w:tcW w:w="465" w:type="pct"/>
            <w:vMerge w:val="continue"/>
            <w:noWrap w:val="0"/>
            <w:vAlign w:val="center"/>
          </w:tcPr>
          <w:p>
            <w:pPr>
              <w:pStyle w:val="29"/>
              <w:bidi w:val="0"/>
            </w:pPr>
          </w:p>
        </w:tc>
      </w:tr>
    </w:tbl>
    <w:p>
      <w:r>
        <w:t>验收监测期间，项目废气（有组织）排放监测结果表明：氨、硫化氢、臭气浓度的排放浓度均符合恶臭污染物排放标准</w:t>
      </w:r>
      <w:r>
        <w:rPr>
          <w:rFonts w:hint="eastAsia"/>
        </w:rPr>
        <w:t>（</w:t>
      </w:r>
      <w:r>
        <w:t>GB14554-93</w:t>
      </w:r>
      <w:r>
        <w:rPr>
          <w:rFonts w:hint="eastAsia"/>
        </w:rPr>
        <w:t>）</w:t>
      </w:r>
      <w:r>
        <w:t>“表2”标准要求；项目废气（无组织）排放监测结果表明：氨、硫化氢、臭气浓度、甲烷的排放浓度均符合《城镇污水处理厂污染物排放标准》</w:t>
      </w:r>
      <w:r>
        <w:rPr>
          <w:rFonts w:hint="eastAsia"/>
        </w:rPr>
        <w:t>（</w:t>
      </w:r>
      <w:r>
        <w:t>GB18918-2002</w:t>
      </w:r>
      <w:r>
        <w:rPr>
          <w:rFonts w:hint="eastAsia"/>
        </w:rPr>
        <w:t>）</w:t>
      </w:r>
      <w:r>
        <w:t>表“表4”中的二级标准要求。</w:t>
      </w:r>
    </w:p>
    <w:p>
      <w:pPr>
        <w:pStyle w:val="7"/>
        <w:numPr>
          <w:ilvl w:val="3"/>
          <w:numId w:val="0"/>
        </w:numPr>
      </w:pPr>
      <w:bookmarkStart w:id="124" w:name="_Toc3263"/>
      <w:r>
        <w:t>9.2.2.3厂界噪声</w:t>
      </w:r>
    </w:p>
    <w:p>
      <w:r>
        <w:t>厂界噪声排放监测结果见表9-</w:t>
      </w:r>
      <w:bookmarkStart w:id="125" w:name="_Toc519171347"/>
      <w:r>
        <w:rPr>
          <w:rFonts w:hint="eastAsia"/>
        </w:rPr>
        <w:t>8</w:t>
      </w:r>
      <w:r>
        <w:t>；</w:t>
      </w:r>
    </w:p>
    <w:p>
      <w:pPr>
        <w:spacing w:line="240" w:lineRule="auto"/>
        <w:ind w:firstLine="0" w:firstLineChars="0"/>
        <w:jc w:val="center"/>
        <w:rPr>
          <w:b/>
          <w:sz w:val="21"/>
          <w:szCs w:val="21"/>
        </w:rPr>
      </w:pPr>
      <w:r>
        <w:rPr>
          <w:b/>
          <w:sz w:val="21"/>
          <w:szCs w:val="21"/>
        </w:rPr>
        <w:t>表9-</w:t>
      </w:r>
      <w:r>
        <w:rPr>
          <w:rFonts w:hint="eastAsia"/>
          <w:b/>
          <w:sz w:val="21"/>
          <w:szCs w:val="21"/>
        </w:rPr>
        <w:t>8</w:t>
      </w:r>
      <w:r>
        <w:rPr>
          <w:b/>
          <w:sz w:val="21"/>
          <w:szCs w:val="21"/>
        </w:rPr>
        <w:t xml:space="preserve">  厂界噪声监测结果</w:t>
      </w:r>
    </w:p>
    <w:p>
      <w:pPr>
        <w:pStyle w:val="28"/>
        <w:ind w:firstLine="420"/>
        <w:jc w:val="right"/>
        <w:rPr>
          <w:b w:val="0"/>
          <w:bCs/>
          <w:sz w:val="21"/>
          <w:szCs w:val="20"/>
        </w:rPr>
      </w:pPr>
      <w:r>
        <w:rPr>
          <w:b w:val="0"/>
          <w:bCs/>
          <w:sz w:val="21"/>
          <w:szCs w:val="20"/>
        </w:rPr>
        <w:t>单位：dB（A）</w:t>
      </w:r>
    </w:p>
    <w:tbl>
      <w:tblPr>
        <w:tblStyle w:val="20"/>
        <w:tblW w:w="4997"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32"/>
        <w:gridCol w:w="1543"/>
        <w:gridCol w:w="1548"/>
        <w:gridCol w:w="1548"/>
        <w:gridCol w:w="1548"/>
        <w:gridCol w:w="154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734" w:type="pct"/>
            <w:tcBorders>
              <w:tl2br w:val="nil"/>
              <w:tr2bl w:val="nil"/>
            </w:tcBorders>
            <w:noWrap w:val="0"/>
            <w:vAlign w:val="center"/>
          </w:tcPr>
          <w:p>
            <w:pPr>
              <w:pStyle w:val="29"/>
              <w:bidi w:val="0"/>
              <w:rPr>
                <w:rFonts w:hint="default"/>
                <w:b/>
                <w:bCs/>
                <w:lang w:val="en-US" w:eastAsia="zh-CN"/>
              </w:rPr>
            </w:pPr>
            <w:r>
              <w:rPr>
                <w:rFonts w:hint="eastAsia"/>
                <w:b/>
                <w:bCs/>
                <w:lang w:val="en-US" w:eastAsia="zh-CN"/>
              </w:rPr>
              <w:t>检测项目</w:t>
            </w:r>
          </w:p>
        </w:tc>
        <w:tc>
          <w:tcPr>
            <w:tcW w:w="850" w:type="pct"/>
            <w:tcBorders>
              <w:tl2br w:val="nil"/>
              <w:tr2bl w:val="nil"/>
            </w:tcBorders>
            <w:noWrap w:val="0"/>
            <w:vAlign w:val="center"/>
          </w:tcPr>
          <w:p>
            <w:pPr>
              <w:pStyle w:val="29"/>
              <w:bidi w:val="0"/>
              <w:rPr>
                <w:b/>
                <w:bCs/>
                <w:lang w:val="en-US" w:eastAsia="zh-CN"/>
              </w:rPr>
            </w:pPr>
            <w:r>
              <w:rPr>
                <w:b/>
                <w:bCs/>
                <w:lang w:val="en-US"/>
              </w:rPr>
              <w:t>检测日期</w:t>
            </w:r>
          </w:p>
        </w:tc>
        <w:tc>
          <w:tcPr>
            <w:tcW w:w="853" w:type="pct"/>
            <w:tcBorders>
              <w:tl2br w:val="nil"/>
              <w:tr2bl w:val="nil"/>
            </w:tcBorders>
            <w:noWrap w:val="0"/>
            <w:vAlign w:val="center"/>
          </w:tcPr>
          <w:p>
            <w:pPr>
              <w:pStyle w:val="29"/>
              <w:bidi w:val="0"/>
              <w:rPr>
                <w:rFonts w:hint="eastAsia"/>
                <w:b/>
                <w:bCs/>
                <w:lang w:val="en-US" w:eastAsia="zh-CN"/>
              </w:rPr>
            </w:pPr>
            <w:r>
              <w:rPr>
                <w:rFonts w:hint="eastAsia"/>
                <w:b/>
                <w:bCs/>
                <w:lang w:val="en-US" w:eastAsia="zh-CN"/>
              </w:rPr>
              <w:t>点位编号</w:t>
            </w:r>
          </w:p>
        </w:tc>
        <w:tc>
          <w:tcPr>
            <w:tcW w:w="853" w:type="pct"/>
            <w:tcBorders>
              <w:tl2br w:val="nil"/>
              <w:tr2bl w:val="nil"/>
            </w:tcBorders>
            <w:noWrap w:val="0"/>
            <w:vAlign w:val="center"/>
          </w:tcPr>
          <w:p>
            <w:pPr>
              <w:pStyle w:val="29"/>
              <w:bidi w:val="0"/>
              <w:rPr>
                <w:b/>
                <w:bCs/>
                <w:lang w:val="en-US"/>
              </w:rPr>
            </w:pPr>
            <w:r>
              <w:rPr>
                <w:rFonts w:hint="eastAsia"/>
                <w:b/>
                <w:bCs/>
                <w:lang w:val="en-US"/>
              </w:rPr>
              <w:t>测量时段</w:t>
            </w:r>
          </w:p>
        </w:tc>
        <w:tc>
          <w:tcPr>
            <w:tcW w:w="853" w:type="pct"/>
            <w:tcBorders>
              <w:tl2br w:val="nil"/>
              <w:tr2bl w:val="nil"/>
            </w:tcBorders>
            <w:noWrap w:val="0"/>
            <w:vAlign w:val="center"/>
          </w:tcPr>
          <w:p>
            <w:pPr>
              <w:pStyle w:val="29"/>
              <w:bidi w:val="0"/>
              <w:rPr>
                <w:b/>
                <w:bCs/>
                <w:lang w:val="en-US"/>
              </w:rPr>
            </w:pPr>
            <w:r>
              <w:rPr>
                <w:rFonts w:hint="eastAsia"/>
                <w:b/>
                <w:bCs/>
                <w:lang w:val="en-US" w:eastAsia="zh-CN"/>
              </w:rPr>
              <w:t>测量值</w:t>
            </w:r>
            <w:r>
              <w:rPr>
                <w:b/>
                <w:bCs/>
                <w:lang w:val="en-US"/>
              </w:rPr>
              <w:t>LAeq</w:t>
            </w:r>
          </w:p>
        </w:tc>
        <w:tc>
          <w:tcPr>
            <w:tcW w:w="853" w:type="pct"/>
            <w:tcBorders>
              <w:tl2br w:val="nil"/>
              <w:tr2bl w:val="nil"/>
            </w:tcBorders>
            <w:noWrap w:val="0"/>
            <w:vAlign w:val="center"/>
          </w:tcPr>
          <w:p>
            <w:pPr>
              <w:pStyle w:val="29"/>
              <w:bidi w:val="0"/>
              <w:rPr>
                <w:b/>
                <w:bCs/>
                <w:lang w:val="en-US"/>
              </w:rPr>
            </w:pPr>
            <w:r>
              <w:rPr>
                <w:rFonts w:hint="eastAsia"/>
                <w:b/>
                <w:bCs/>
                <w:lang w:val="en-US"/>
              </w:rPr>
              <w:t>标准限值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4" w:type="pct"/>
            <w:vMerge w:val="restart"/>
            <w:tcBorders>
              <w:tl2br w:val="nil"/>
              <w:tr2bl w:val="nil"/>
            </w:tcBorders>
            <w:noWrap w:val="0"/>
            <w:vAlign w:val="center"/>
          </w:tcPr>
          <w:p>
            <w:pPr>
              <w:pStyle w:val="29"/>
              <w:bidi w:val="0"/>
              <w:rPr>
                <w:rFonts w:hint="eastAsia"/>
                <w:lang w:val="en-US" w:eastAsia="zh-CN"/>
              </w:rPr>
            </w:pPr>
            <w:r>
              <w:rPr>
                <w:lang w:val="en-US"/>
              </w:rPr>
              <w:t>工业企业厂界环境噪声</w:t>
            </w:r>
          </w:p>
        </w:tc>
        <w:tc>
          <w:tcPr>
            <w:tcW w:w="850" w:type="pct"/>
            <w:vMerge w:val="restart"/>
            <w:tcBorders>
              <w:tl2br w:val="nil"/>
              <w:tr2bl w:val="nil"/>
            </w:tcBorders>
            <w:noWrap w:val="0"/>
            <w:vAlign w:val="center"/>
          </w:tcPr>
          <w:p>
            <w:pPr>
              <w:pStyle w:val="29"/>
              <w:bidi w:val="0"/>
              <w:rPr>
                <w:rFonts w:hint="default"/>
                <w:lang w:val="en-US" w:eastAsia="zh-CN"/>
              </w:rPr>
            </w:pPr>
            <w:r>
              <w:rPr>
                <w:rFonts w:hint="eastAsia"/>
                <w:lang w:val="en-US" w:eastAsia="zh-CN"/>
              </w:rPr>
              <w:t>2022-5-24</w:t>
            </w:r>
          </w:p>
        </w:tc>
        <w:tc>
          <w:tcPr>
            <w:tcW w:w="853" w:type="pct"/>
            <w:vMerge w:val="restart"/>
            <w:tcBorders>
              <w:tl2br w:val="nil"/>
              <w:tr2bl w:val="nil"/>
            </w:tcBorders>
            <w:noWrap w:val="0"/>
            <w:vAlign w:val="center"/>
          </w:tcPr>
          <w:p>
            <w:pPr>
              <w:pStyle w:val="29"/>
              <w:bidi w:val="0"/>
              <w:rPr>
                <w:rFonts w:hint="default"/>
                <w:lang w:val="en-US" w:eastAsia="zh-CN"/>
              </w:rPr>
            </w:pPr>
            <w:r>
              <w:rPr>
                <w:rFonts w:hint="eastAsia"/>
                <w:lang w:val="en-US" w:eastAsia="zh-CN"/>
              </w:rPr>
              <w:t>N1</w:t>
            </w:r>
          </w:p>
        </w:tc>
        <w:tc>
          <w:tcPr>
            <w:tcW w:w="853" w:type="pct"/>
            <w:tcBorders>
              <w:tl2br w:val="nil"/>
              <w:tr2bl w:val="nil"/>
            </w:tcBorders>
            <w:noWrap w:val="0"/>
            <w:vAlign w:val="center"/>
          </w:tcPr>
          <w:p>
            <w:pPr>
              <w:pStyle w:val="29"/>
              <w:bidi w:val="0"/>
              <w:rPr>
                <w:lang w:val="en-US"/>
              </w:rPr>
            </w:pPr>
            <w:r>
              <w:rPr>
                <w:rFonts w:hint="eastAsia"/>
                <w:lang w:val="en-US"/>
              </w:rPr>
              <w:t>昼间</w:t>
            </w:r>
          </w:p>
        </w:tc>
        <w:tc>
          <w:tcPr>
            <w:tcW w:w="853" w:type="pct"/>
            <w:tcBorders>
              <w:tl2br w:val="nil"/>
              <w:tr2bl w:val="nil"/>
            </w:tcBorders>
            <w:noWrap w:val="0"/>
            <w:vAlign w:val="center"/>
          </w:tcPr>
          <w:p>
            <w:pPr>
              <w:pStyle w:val="29"/>
              <w:bidi w:val="0"/>
              <w:rPr>
                <w:rFonts w:hint="default"/>
                <w:lang w:val="en-US" w:eastAsia="zh-CN"/>
              </w:rPr>
            </w:pPr>
            <w:r>
              <w:rPr>
                <w:rFonts w:hint="eastAsia"/>
                <w:lang w:val="en-US" w:eastAsia="zh-CN"/>
              </w:rPr>
              <w:t>53</w:t>
            </w:r>
          </w:p>
        </w:tc>
        <w:tc>
          <w:tcPr>
            <w:tcW w:w="853" w:type="pct"/>
            <w:tcBorders>
              <w:tl2br w:val="nil"/>
              <w:tr2bl w:val="nil"/>
            </w:tcBorders>
            <w:noWrap w:val="0"/>
            <w:vAlign w:val="center"/>
          </w:tcPr>
          <w:p>
            <w:pPr>
              <w:pStyle w:val="29"/>
              <w:bidi w:val="0"/>
              <w:rPr>
                <w:rFonts w:hint="default"/>
                <w:lang w:val="en-US" w:eastAsia="zh-CN"/>
              </w:rPr>
            </w:pPr>
            <w:r>
              <w:rPr>
                <w:rFonts w:hint="eastAsia"/>
                <w:lang w:val="en-US" w:eastAsia="zh-CN"/>
              </w:rPr>
              <w:t>65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4" w:type="pct"/>
            <w:vMerge w:val="continue"/>
            <w:tcBorders>
              <w:tl2br w:val="nil"/>
              <w:tr2bl w:val="nil"/>
            </w:tcBorders>
            <w:noWrap w:val="0"/>
            <w:vAlign w:val="center"/>
          </w:tcPr>
          <w:p>
            <w:pPr>
              <w:pStyle w:val="29"/>
              <w:bidi w:val="0"/>
              <w:rPr>
                <w:lang w:val="en-US"/>
              </w:rPr>
            </w:pPr>
          </w:p>
        </w:tc>
        <w:tc>
          <w:tcPr>
            <w:tcW w:w="850" w:type="pct"/>
            <w:vMerge w:val="continue"/>
            <w:tcBorders>
              <w:tl2br w:val="nil"/>
              <w:tr2bl w:val="nil"/>
            </w:tcBorders>
            <w:noWrap w:val="0"/>
            <w:vAlign w:val="center"/>
          </w:tcPr>
          <w:p>
            <w:pPr>
              <w:pStyle w:val="29"/>
              <w:bidi w:val="0"/>
              <w:rPr>
                <w:lang w:val="en-US"/>
              </w:rPr>
            </w:pPr>
          </w:p>
        </w:tc>
        <w:tc>
          <w:tcPr>
            <w:tcW w:w="853" w:type="pct"/>
            <w:vMerge w:val="continue"/>
            <w:tcBorders>
              <w:tl2br w:val="nil"/>
              <w:tr2bl w:val="nil"/>
            </w:tcBorders>
            <w:noWrap w:val="0"/>
            <w:vAlign w:val="center"/>
          </w:tcPr>
          <w:p>
            <w:pPr>
              <w:pStyle w:val="29"/>
              <w:bidi w:val="0"/>
              <w:rPr>
                <w:rFonts w:hint="eastAsia"/>
                <w:lang w:val="en-US"/>
              </w:rPr>
            </w:pPr>
          </w:p>
        </w:tc>
        <w:tc>
          <w:tcPr>
            <w:tcW w:w="853" w:type="pct"/>
            <w:tcBorders>
              <w:tl2br w:val="nil"/>
              <w:tr2bl w:val="nil"/>
            </w:tcBorders>
            <w:noWrap w:val="0"/>
            <w:vAlign w:val="center"/>
          </w:tcPr>
          <w:p>
            <w:pPr>
              <w:pStyle w:val="29"/>
              <w:bidi w:val="0"/>
              <w:rPr>
                <w:rFonts w:hint="eastAsia"/>
                <w:lang w:val="en-US" w:eastAsia="zh-CN"/>
              </w:rPr>
            </w:pPr>
            <w:r>
              <w:rPr>
                <w:rFonts w:hint="eastAsia"/>
                <w:lang w:val="en-US" w:eastAsia="zh-CN"/>
              </w:rPr>
              <w:t>夜间</w:t>
            </w:r>
          </w:p>
        </w:tc>
        <w:tc>
          <w:tcPr>
            <w:tcW w:w="853" w:type="pct"/>
            <w:tcBorders>
              <w:tl2br w:val="nil"/>
              <w:tr2bl w:val="nil"/>
            </w:tcBorders>
            <w:noWrap w:val="0"/>
            <w:vAlign w:val="center"/>
          </w:tcPr>
          <w:p>
            <w:pPr>
              <w:pStyle w:val="29"/>
              <w:bidi w:val="0"/>
              <w:rPr>
                <w:rFonts w:hint="default"/>
                <w:lang w:val="en-US" w:eastAsia="zh-CN"/>
              </w:rPr>
            </w:pPr>
            <w:r>
              <w:rPr>
                <w:rFonts w:hint="eastAsia"/>
                <w:lang w:val="en-US" w:eastAsia="zh-CN"/>
              </w:rPr>
              <w:t>49</w:t>
            </w:r>
          </w:p>
        </w:tc>
        <w:tc>
          <w:tcPr>
            <w:tcW w:w="853" w:type="pct"/>
            <w:tcBorders>
              <w:tl2br w:val="nil"/>
              <w:tr2bl w:val="nil"/>
            </w:tcBorders>
            <w:noWrap w:val="0"/>
            <w:vAlign w:val="center"/>
          </w:tcPr>
          <w:p>
            <w:pPr>
              <w:pStyle w:val="29"/>
              <w:bidi w:val="0"/>
              <w:rPr>
                <w:rFonts w:hint="default"/>
                <w:lang w:val="en-US" w:eastAsia="zh-CN"/>
              </w:rPr>
            </w:pPr>
            <w:r>
              <w:rPr>
                <w:rFonts w:hint="eastAsia"/>
                <w:lang w:val="en-US" w:eastAsia="zh-CN"/>
              </w:rPr>
              <w:t>55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4" w:type="pct"/>
            <w:vMerge w:val="continue"/>
            <w:tcBorders>
              <w:tl2br w:val="nil"/>
              <w:tr2bl w:val="nil"/>
            </w:tcBorders>
            <w:noWrap w:val="0"/>
            <w:vAlign w:val="center"/>
          </w:tcPr>
          <w:p>
            <w:pPr>
              <w:pStyle w:val="29"/>
              <w:bidi w:val="0"/>
              <w:rPr>
                <w:lang w:val="en-US"/>
              </w:rPr>
            </w:pPr>
          </w:p>
        </w:tc>
        <w:tc>
          <w:tcPr>
            <w:tcW w:w="850" w:type="pct"/>
            <w:vMerge w:val="continue"/>
            <w:tcBorders>
              <w:tl2br w:val="nil"/>
              <w:tr2bl w:val="nil"/>
            </w:tcBorders>
            <w:noWrap w:val="0"/>
            <w:vAlign w:val="center"/>
          </w:tcPr>
          <w:p>
            <w:pPr>
              <w:pStyle w:val="29"/>
              <w:bidi w:val="0"/>
              <w:rPr>
                <w:lang w:val="en-US"/>
              </w:rPr>
            </w:pPr>
          </w:p>
        </w:tc>
        <w:tc>
          <w:tcPr>
            <w:tcW w:w="853" w:type="pct"/>
            <w:vMerge w:val="restart"/>
            <w:tcBorders>
              <w:tl2br w:val="nil"/>
              <w:tr2bl w:val="nil"/>
            </w:tcBorders>
            <w:noWrap w:val="0"/>
            <w:vAlign w:val="center"/>
          </w:tcPr>
          <w:p>
            <w:pPr>
              <w:pStyle w:val="29"/>
              <w:bidi w:val="0"/>
              <w:rPr>
                <w:rFonts w:hint="default"/>
                <w:lang w:val="en-US" w:eastAsia="zh-CN"/>
              </w:rPr>
            </w:pPr>
            <w:r>
              <w:rPr>
                <w:rFonts w:hint="eastAsia"/>
                <w:lang w:val="en-US" w:eastAsia="zh-CN"/>
              </w:rPr>
              <w:t>N2</w:t>
            </w:r>
          </w:p>
        </w:tc>
        <w:tc>
          <w:tcPr>
            <w:tcW w:w="853" w:type="pct"/>
            <w:tcBorders>
              <w:tl2br w:val="nil"/>
              <w:tr2bl w:val="nil"/>
            </w:tcBorders>
            <w:noWrap w:val="0"/>
            <w:vAlign w:val="center"/>
          </w:tcPr>
          <w:p>
            <w:pPr>
              <w:pStyle w:val="29"/>
              <w:bidi w:val="0"/>
              <w:rPr>
                <w:lang w:val="en-US" w:eastAsia="zh-CN"/>
              </w:rPr>
            </w:pPr>
            <w:r>
              <w:rPr>
                <w:rFonts w:hint="eastAsia"/>
                <w:lang w:val="en-US"/>
              </w:rPr>
              <w:t>昼间</w:t>
            </w:r>
          </w:p>
        </w:tc>
        <w:tc>
          <w:tcPr>
            <w:tcW w:w="853" w:type="pct"/>
            <w:tcBorders>
              <w:tl2br w:val="nil"/>
              <w:tr2bl w:val="nil"/>
            </w:tcBorders>
            <w:noWrap w:val="0"/>
            <w:vAlign w:val="center"/>
          </w:tcPr>
          <w:p>
            <w:pPr>
              <w:pStyle w:val="29"/>
              <w:bidi w:val="0"/>
              <w:rPr>
                <w:rFonts w:hint="default"/>
                <w:lang w:val="en-US" w:eastAsia="zh-CN"/>
              </w:rPr>
            </w:pPr>
            <w:r>
              <w:rPr>
                <w:rFonts w:hint="eastAsia"/>
                <w:lang w:val="en-US" w:eastAsia="zh-CN"/>
              </w:rPr>
              <w:t>52</w:t>
            </w:r>
          </w:p>
        </w:tc>
        <w:tc>
          <w:tcPr>
            <w:tcW w:w="853" w:type="pct"/>
            <w:tcBorders>
              <w:tl2br w:val="nil"/>
              <w:tr2bl w:val="nil"/>
            </w:tcBorders>
            <w:noWrap w:val="0"/>
            <w:vAlign w:val="center"/>
          </w:tcPr>
          <w:p>
            <w:pPr>
              <w:pStyle w:val="29"/>
              <w:bidi w:val="0"/>
              <w:rPr>
                <w:rFonts w:hint="default"/>
                <w:lang w:val="en-US" w:eastAsia="zh-CN"/>
              </w:rPr>
            </w:pPr>
            <w:r>
              <w:rPr>
                <w:rFonts w:hint="eastAsia"/>
                <w:lang w:val="en-US" w:eastAsia="zh-CN"/>
              </w:rPr>
              <w:t>65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4" w:type="pct"/>
            <w:vMerge w:val="continue"/>
            <w:tcBorders>
              <w:tl2br w:val="nil"/>
              <w:tr2bl w:val="nil"/>
            </w:tcBorders>
            <w:noWrap w:val="0"/>
            <w:vAlign w:val="center"/>
          </w:tcPr>
          <w:p>
            <w:pPr>
              <w:pStyle w:val="29"/>
              <w:bidi w:val="0"/>
              <w:rPr>
                <w:lang w:val="en-US"/>
              </w:rPr>
            </w:pPr>
          </w:p>
        </w:tc>
        <w:tc>
          <w:tcPr>
            <w:tcW w:w="850" w:type="pct"/>
            <w:vMerge w:val="continue"/>
            <w:tcBorders>
              <w:tl2br w:val="nil"/>
              <w:tr2bl w:val="nil"/>
            </w:tcBorders>
            <w:noWrap w:val="0"/>
            <w:vAlign w:val="center"/>
          </w:tcPr>
          <w:p>
            <w:pPr>
              <w:pStyle w:val="29"/>
              <w:bidi w:val="0"/>
              <w:rPr>
                <w:lang w:val="en-US"/>
              </w:rPr>
            </w:pPr>
          </w:p>
        </w:tc>
        <w:tc>
          <w:tcPr>
            <w:tcW w:w="853" w:type="pct"/>
            <w:vMerge w:val="continue"/>
            <w:tcBorders>
              <w:tl2br w:val="nil"/>
              <w:tr2bl w:val="nil"/>
            </w:tcBorders>
            <w:noWrap w:val="0"/>
            <w:vAlign w:val="center"/>
          </w:tcPr>
          <w:p>
            <w:pPr>
              <w:pStyle w:val="29"/>
              <w:bidi w:val="0"/>
              <w:rPr>
                <w:rFonts w:hint="eastAsia"/>
                <w:lang w:val="en-US"/>
              </w:rPr>
            </w:pPr>
          </w:p>
        </w:tc>
        <w:tc>
          <w:tcPr>
            <w:tcW w:w="853" w:type="pct"/>
            <w:tcBorders>
              <w:tl2br w:val="nil"/>
              <w:tr2bl w:val="nil"/>
            </w:tcBorders>
            <w:noWrap w:val="0"/>
            <w:vAlign w:val="center"/>
          </w:tcPr>
          <w:p>
            <w:pPr>
              <w:pStyle w:val="29"/>
              <w:bidi w:val="0"/>
              <w:rPr>
                <w:rFonts w:hint="eastAsia"/>
                <w:lang w:val="en-US"/>
              </w:rPr>
            </w:pPr>
            <w:r>
              <w:rPr>
                <w:rFonts w:hint="eastAsia"/>
                <w:lang w:val="en-US" w:eastAsia="zh-CN"/>
              </w:rPr>
              <w:t>夜间</w:t>
            </w:r>
          </w:p>
        </w:tc>
        <w:tc>
          <w:tcPr>
            <w:tcW w:w="853" w:type="pct"/>
            <w:tcBorders>
              <w:tl2br w:val="nil"/>
              <w:tr2bl w:val="nil"/>
            </w:tcBorders>
            <w:noWrap w:val="0"/>
            <w:vAlign w:val="center"/>
          </w:tcPr>
          <w:p>
            <w:pPr>
              <w:pStyle w:val="29"/>
              <w:bidi w:val="0"/>
              <w:rPr>
                <w:rFonts w:hint="default"/>
                <w:lang w:val="en-US" w:eastAsia="zh-CN"/>
              </w:rPr>
            </w:pPr>
            <w:r>
              <w:rPr>
                <w:rFonts w:hint="eastAsia"/>
                <w:lang w:val="en-US" w:eastAsia="zh-CN"/>
              </w:rPr>
              <w:t>48</w:t>
            </w:r>
          </w:p>
        </w:tc>
        <w:tc>
          <w:tcPr>
            <w:tcW w:w="853" w:type="pct"/>
            <w:tcBorders>
              <w:tl2br w:val="nil"/>
              <w:tr2bl w:val="nil"/>
            </w:tcBorders>
            <w:noWrap w:val="0"/>
            <w:vAlign w:val="center"/>
          </w:tcPr>
          <w:p>
            <w:pPr>
              <w:pStyle w:val="29"/>
              <w:bidi w:val="0"/>
              <w:rPr>
                <w:rFonts w:hint="eastAsia"/>
                <w:lang w:val="en-US" w:eastAsia="zh-CN"/>
              </w:rPr>
            </w:pPr>
            <w:r>
              <w:rPr>
                <w:rFonts w:hint="eastAsia"/>
                <w:lang w:val="en-US" w:eastAsia="zh-CN"/>
              </w:rPr>
              <w:t>55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4" w:type="pct"/>
            <w:vMerge w:val="continue"/>
            <w:tcBorders>
              <w:tl2br w:val="nil"/>
              <w:tr2bl w:val="nil"/>
            </w:tcBorders>
            <w:noWrap w:val="0"/>
            <w:vAlign w:val="center"/>
          </w:tcPr>
          <w:p>
            <w:pPr>
              <w:pStyle w:val="29"/>
              <w:bidi w:val="0"/>
              <w:rPr>
                <w:lang w:val="en-US"/>
              </w:rPr>
            </w:pPr>
          </w:p>
        </w:tc>
        <w:tc>
          <w:tcPr>
            <w:tcW w:w="850" w:type="pct"/>
            <w:vMerge w:val="continue"/>
            <w:tcBorders>
              <w:tl2br w:val="nil"/>
              <w:tr2bl w:val="nil"/>
            </w:tcBorders>
            <w:noWrap w:val="0"/>
            <w:vAlign w:val="center"/>
          </w:tcPr>
          <w:p>
            <w:pPr>
              <w:pStyle w:val="29"/>
              <w:bidi w:val="0"/>
              <w:rPr>
                <w:lang w:val="en-US"/>
              </w:rPr>
            </w:pPr>
          </w:p>
        </w:tc>
        <w:tc>
          <w:tcPr>
            <w:tcW w:w="853" w:type="pct"/>
            <w:vMerge w:val="restart"/>
            <w:tcBorders>
              <w:tl2br w:val="nil"/>
              <w:tr2bl w:val="nil"/>
            </w:tcBorders>
            <w:noWrap w:val="0"/>
            <w:vAlign w:val="center"/>
          </w:tcPr>
          <w:p>
            <w:pPr>
              <w:pStyle w:val="29"/>
              <w:bidi w:val="0"/>
              <w:rPr>
                <w:rFonts w:hint="default"/>
                <w:lang w:val="en-US" w:eastAsia="zh-CN"/>
              </w:rPr>
            </w:pPr>
            <w:r>
              <w:rPr>
                <w:rFonts w:hint="eastAsia"/>
                <w:lang w:val="en-US" w:eastAsia="zh-CN"/>
              </w:rPr>
              <w:t>N3</w:t>
            </w:r>
          </w:p>
        </w:tc>
        <w:tc>
          <w:tcPr>
            <w:tcW w:w="853" w:type="pct"/>
            <w:tcBorders>
              <w:tl2br w:val="nil"/>
              <w:tr2bl w:val="nil"/>
            </w:tcBorders>
            <w:noWrap w:val="0"/>
            <w:vAlign w:val="center"/>
          </w:tcPr>
          <w:p>
            <w:pPr>
              <w:pStyle w:val="29"/>
              <w:bidi w:val="0"/>
              <w:rPr>
                <w:rFonts w:hint="eastAsia"/>
                <w:lang w:val="en-US" w:eastAsia="zh-CN"/>
              </w:rPr>
            </w:pPr>
            <w:r>
              <w:rPr>
                <w:rFonts w:hint="eastAsia"/>
                <w:lang w:val="en-US"/>
              </w:rPr>
              <w:t>昼间</w:t>
            </w:r>
          </w:p>
        </w:tc>
        <w:tc>
          <w:tcPr>
            <w:tcW w:w="853" w:type="pct"/>
            <w:tcBorders>
              <w:tl2br w:val="nil"/>
              <w:tr2bl w:val="nil"/>
            </w:tcBorders>
            <w:noWrap w:val="0"/>
            <w:vAlign w:val="center"/>
          </w:tcPr>
          <w:p>
            <w:pPr>
              <w:pStyle w:val="29"/>
              <w:bidi w:val="0"/>
              <w:rPr>
                <w:rFonts w:hint="default"/>
                <w:lang w:val="en-US" w:eastAsia="zh-CN"/>
              </w:rPr>
            </w:pPr>
            <w:r>
              <w:rPr>
                <w:rFonts w:hint="eastAsia"/>
                <w:lang w:val="en-US" w:eastAsia="zh-CN"/>
              </w:rPr>
              <w:t>56</w:t>
            </w:r>
          </w:p>
        </w:tc>
        <w:tc>
          <w:tcPr>
            <w:tcW w:w="853" w:type="pct"/>
            <w:tcBorders>
              <w:tl2br w:val="nil"/>
              <w:tr2bl w:val="nil"/>
            </w:tcBorders>
            <w:noWrap w:val="0"/>
            <w:vAlign w:val="center"/>
          </w:tcPr>
          <w:p>
            <w:pPr>
              <w:pStyle w:val="29"/>
              <w:bidi w:val="0"/>
              <w:rPr>
                <w:rFonts w:hint="default"/>
                <w:lang w:val="en-US" w:eastAsia="zh-CN"/>
              </w:rPr>
            </w:pPr>
            <w:r>
              <w:rPr>
                <w:rFonts w:hint="eastAsia"/>
                <w:lang w:val="en-US" w:eastAsia="zh-CN"/>
              </w:rPr>
              <w:t>65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4" w:type="pct"/>
            <w:vMerge w:val="continue"/>
            <w:tcBorders>
              <w:tl2br w:val="nil"/>
              <w:tr2bl w:val="nil"/>
            </w:tcBorders>
            <w:noWrap w:val="0"/>
            <w:vAlign w:val="center"/>
          </w:tcPr>
          <w:p>
            <w:pPr>
              <w:pStyle w:val="29"/>
              <w:bidi w:val="0"/>
              <w:rPr>
                <w:lang w:val="en-US"/>
              </w:rPr>
            </w:pPr>
          </w:p>
        </w:tc>
        <w:tc>
          <w:tcPr>
            <w:tcW w:w="850" w:type="pct"/>
            <w:vMerge w:val="continue"/>
            <w:tcBorders>
              <w:tl2br w:val="nil"/>
              <w:tr2bl w:val="nil"/>
            </w:tcBorders>
            <w:noWrap w:val="0"/>
            <w:vAlign w:val="center"/>
          </w:tcPr>
          <w:p>
            <w:pPr>
              <w:pStyle w:val="29"/>
              <w:bidi w:val="0"/>
              <w:rPr>
                <w:lang w:val="en-US"/>
              </w:rPr>
            </w:pPr>
          </w:p>
        </w:tc>
        <w:tc>
          <w:tcPr>
            <w:tcW w:w="853" w:type="pct"/>
            <w:vMerge w:val="continue"/>
            <w:tcBorders>
              <w:tl2br w:val="nil"/>
              <w:tr2bl w:val="nil"/>
            </w:tcBorders>
            <w:noWrap w:val="0"/>
            <w:vAlign w:val="center"/>
          </w:tcPr>
          <w:p>
            <w:pPr>
              <w:pStyle w:val="29"/>
              <w:bidi w:val="0"/>
              <w:rPr>
                <w:rFonts w:hint="eastAsia"/>
                <w:lang w:val="en-US"/>
              </w:rPr>
            </w:pPr>
          </w:p>
        </w:tc>
        <w:tc>
          <w:tcPr>
            <w:tcW w:w="853" w:type="pct"/>
            <w:tcBorders>
              <w:tl2br w:val="nil"/>
              <w:tr2bl w:val="nil"/>
            </w:tcBorders>
            <w:noWrap w:val="0"/>
            <w:vAlign w:val="center"/>
          </w:tcPr>
          <w:p>
            <w:pPr>
              <w:pStyle w:val="29"/>
              <w:bidi w:val="0"/>
              <w:rPr>
                <w:rFonts w:hint="eastAsia"/>
                <w:lang w:val="en-US"/>
              </w:rPr>
            </w:pPr>
            <w:r>
              <w:rPr>
                <w:rFonts w:hint="eastAsia"/>
                <w:lang w:val="en-US" w:eastAsia="zh-CN"/>
              </w:rPr>
              <w:t>夜间</w:t>
            </w:r>
          </w:p>
        </w:tc>
        <w:tc>
          <w:tcPr>
            <w:tcW w:w="853" w:type="pct"/>
            <w:tcBorders>
              <w:tl2br w:val="nil"/>
              <w:tr2bl w:val="nil"/>
            </w:tcBorders>
            <w:noWrap w:val="0"/>
            <w:vAlign w:val="center"/>
          </w:tcPr>
          <w:p>
            <w:pPr>
              <w:pStyle w:val="29"/>
              <w:bidi w:val="0"/>
              <w:rPr>
                <w:rFonts w:hint="default"/>
                <w:lang w:val="en-US" w:eastAsia="zh-CN"/>
              </w:rPr>
            </w:pPr>
            <w:r>
              <w:rPr>
                <w:rFonts w:hint="eastAsia"/>
                <w:lang w:val="en-US" w:eastAsia="zh-CN"/>
              </w:rPr>
              <w:t>47</w:t>
            </w:r>
          </w:p>
        </w:tc>
        <w:tc>
          <w:tcPr>
            <w:tcW w:w="853" w:type="pct"/>
            <w:tcBorders>
              <w:tl2br w:val="nil"/>
              <w:tr2bl w:val="nil"/>
            </w:tcBorders>
            <w:noWrap w:val="0"/>
            <w:vAlign w:val="center"/>
          </w:tcPr>
          <w:p>
            <w:pPr>
              <w:pStyle w:val="29"/>
              <w:bidi w:val="0"/>
              <w:rPr>
                <w:rFonts w:hint="eastAsia"/>
                <w:lang w:val="en-US" w:eastAsia="zh-CN"/>
              </w:rPr>
            </w:pPr>
            <w:r>
              <w:rPr>
                <w:rFonts w:hint="eastAsia"/>
                <w:lang w:val="en-US" w:eastAsia="zh-CN"/>
              </w:rPr>
              <w:t>55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4" w:type="pct"/>
            <w:vMerge w:val="continue"/>
            <w:tcBorders>
              <w:tl2br w:val="nil"/>
              <w:tr2bl w:val="nil"/>
            </w:tcBorders>
            <w:noWrap w:val="0"/>
            <w:vAlign w:val="center"/>
          </w:tcPr>
          <w:p>
            <w:pPr>
              <w:pStyle w:val="29"/>
              <w:bidi w:val="0"/>
              <w:rPr>
                <w:lang w:val="en-US"/>
              </w:rPr>
            </w:pPr>
          </w:p>
        </w:tc>
        <w:tc>
          <w:tcPr>
            <w:tcW w:w="850" w:type="pct"/>
            <w:vMerge w:val="continue"/>
            <w:tcBorders>
              <w:tl2br w:val="nil"/>
              <w:tr2bl w:val="nil"/>
            </w:tcBorders>
            <w:noWrap w:val="0"/>
            <w:vAlign w:val="center"/>
          </w:tcPr>
          <w:p>
            <w:pPr>
              <w:pStyle w:val="29"/>
              <w:bidi w:val="0"/>
              <w:rPr>
                <w:lang w:val="en-US"/>
              </w:rPr>
            </w:pPr>
          </w:p>
        </w:tc>
        <w:tc>
          <w:tcPr>
            <w:tcW w:w="853" w:type="pct"/>
            <w:vMerge w:val="restart"/>
            <w:tcBorders>
              <w:tl2br w:val="nil"/>
              <w:tr2bl w:val="nil"/>
            </w:tcBorders>
            <w:noWrap w:val="0"/>
            <w:vAlign w:val="center"/>
          </w:tcPr>
          <w:p>
            <w:pPr>
              <w:pStyle w:val="29"/>
              <w:bidi w:val="0"/>
              <w:rPr>
                <w:rFonts w:hint="default"/>
                <w:lang w:val="en-US" w:eastAsia="zh-CN"/>
              </w:rPr>
            </w:pPr>
            <w:r>
              <w:rPr>
                <w:rFonts w:hint="eastAsia"/>
                <w:lang w:val="en-US" w:eastAsia="zh-CN"/>
              </w:rPr>
              <w:t>N4</w:t>
            </w:r>
          </w:p>
        </w:tc>
        <w:tc>
          <w:tcPr>
            <w:tcW w:w="853" w:type="pct"/>
            <w:tcBorders>
              <w:tl2br w:val="nil"/>
              <w:tr2bl w:val="nil"/>
            </w:tcBorders>
            <w:noWrap w:val="0"/>
            <w:vAlign w:val="center"/>
          </w:tcPr>
          <w:p>
            <w:pPr>
              <w:pStyle w:val="29"/>
              <w:bidi w:val="0"/>
              <w:rPr>
                <w:rFonts w:hint="eastAsia"/>
                <w:lang w:val="en-US"/>
              </w:rPr>
            </w:pPr>
            <w:r>
              <w:rPr>
                <w:rFonts w:hint="eastAsia"/>
                <w:lang w:val="en-US"/>
              </w:rPr>
              <w:t>昼间</w:t>
            </w:r>
          </w:p>
        </w:tc>
        <w:tc>
          <w:tcPr>
            <w:tcW w:w="853" w:type="pct"/>
            <w:tcBorders>
              <w:tl2br w:val="nil"/>
              <w:tr2bl w:val="nil"/>
            </w:tcBorders>
            <w:noWrap w:val="0"/>
            <w:vAlign w:val="center"/>
          </w:tcPr>
          <w:p>
            <w:pPr>
              <w:pStyle w:val="29"/>
              <w:bidi w:val="0"/>
              <w:rPr>
                <w:rFonts w:hint="default"/>
                <w:lang w:val="en-US" w:eastAsia="zh-CN"/>
              </w:rPr>
            </w:pPr>
            <w:r>
              <w:rPr>
                <w:rFonts w:hint="eastAsia"/>
                <w:lang w:val="en-US" w:eastAsia="zh-CN"/>
              </w:rPr>
              <w:t>56</w:t>
            </w:r>
          </w:p>
        </w:tc>
        <w:tc>
          <w:tcPr>
            <w:tcW w:w="853" w:type="pct"/>
            <w:tcBorders>
              <w:tl2br w:val="nil"/>
              <w:tr2bl w:val="nil"/>
            </w:tcBorders>
            <w:noWrap w:val="0"/>
            <w:vAlign w:val="center"/>
          </w:tcPr>
          <w:p>
            <w:pPr>
              <w:pStyle w:val="29"/>
              <w:bidi w:val="0"/>
              <w:rPr>
                <w:rFonts w:hint="eastAsia"/>
                <w:lang w:val="en-US" w:eastAsia="zh-CN"/>
              </w:rPr>
            </w:pPr>
            <w:r>
              <w:rPr>
                <w:rFonts w:hint="eastAsia"/>
                <w:lang w:val="en-US" w:eastAsia="zh-CN"/>
              </w:rPr>
              <w:t>65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4" w:type="pct"/>
            <w:vMerge w:val="continue"/>
            <w:tcBorders>
              <w:tl2br w:val="nil"/>
              <w:tr2bl w:val="nil"/>
            </w:tcBorders>
            <w:noWrap w:val="0"/>
            <w:vAlign w:val="center"/>
          </w:tcPr>
          <w:p>
            <w:pPr>
              <w:pStyle w:val="29"/>
              <w:bidi w:val="0"/>
              <w:rPr>
                <w:lang w:val="en-US"/>
              </w:rPr>
            </w:pPr>
          </w:p>
        </w:tc>
        <w:tc>
          <w:tcPr>
            <w:tcW w:w="850" w:type="pct"/>
            <w:vMerge w:val="continue"/>
            <w:tcBorders>
              <w:tl2br w:val="nil"/>
              <w:tr2bl w:val="nil"/>
            </w:tcBorders>
            <w:noWrap w:val="0"/>
            <w:vAlign w:val="center"/>
          </w:tcPr>
          <w:p>
            <w:pPr>
              <w:pStyle w:val="29"/>
              <w:bidi w:val="0"/>
              <w:rPr>
                <w:lang w:val="en-US"/>
              </w:rPr>
            </w:pPr>
          </w:p>
        </w:tc>
        <w:tc>
          <w:tcPr>
            <w:tcW w:w="853" w:type="pct"/>
            <w:vMerge w:val="continue"/>
            <w:tcBorders>
              <w:tl2br w:val="nil"/>
              <w:tr2bl w:val="nil"/>
            </w:tcBorders>
            <w:noWrap w:val="0"/>
            <w:vAlign w:val="center"/>
          </w:tcPr>
          <w:p>
            <w:pPr>
              <w:pStyle w:val="29"/>
              <w:bidi w:val="0"/>
              <w:rPr>
                <w:rFonts w:hint="eastAsia"/>
                <w:lang w:val="en-US" w:eastAsia="zh-CN"/>
              </w:rPr>
            </w:pPr>
          </w:p>
        </w:tc>
        <w:tc>
          <w:tcPr>
            <w:tcW w:w="853" w:type="pct"/>
            <w:tcBorders>
              <w:tl2br w:val="nil"/>
              <w:tr2bl w:val="nil"/>
            </w:tcBorders>
            <w:noWrap w:val="0"/>
            <w:vAlign w:val="center"/>
          </w:tcPr>
          <w:p>
            <w:pPr>
              <w:pStyle w:val="29"/>
              <w:bidi w:val="0"/>
              <w:rPr>
                <w:rFonts w:hint="eastAsia"/>
                <w:lang w:val="en-US" w:eastAsia="zh-CN"/>
              </w:rPr>
            </w:pPr>
            <w:r>
              <w:rPr>
                <w:rFonts w:hint="eastAsia"/>
                <w:lang w:val="en-US" w:eastAsia="zh-CN"/>
              </w:rPr>
              <w:t>夜间</w:t>
            </w:r>
          </w:p>
        </w:tc>
        <w:tc>
          <w:tcPr>
            <w:tcW w:w="853" w:type="pct"/>
            <w:tcBorders>
              <w:tl2br w:val="nil"/>
              <w:tr2bl w:val="nil"/>
            </w:tcBorders>
            <w:noWrap w:val="0"/>
            <w:vAlign w:val="center"/>
          </w:tcPr>
          <w:p>
            <w:pPr>
              <w:pStyle w:val="29"/>
              <w:bidi w:val="0"/>
              <w:rPr>
                <w:rFonts w:hint="default"/>
                <w:lang w:val="en-US" w:eastAsia="zh-CN"/>
              </w:rPr>
            </w:pPr>
            <w:r>
              <w:rPr>
                <w:rFonts w:hint="eastAsia"/>
                <w:lang w:val="en-US" w:eastAsia="zh-CN"/>
              </w:rPr>
              <w:t>49</w:t>
            </w:r>
          </w:p>
        </w:tc>
        <w:tc>
          <w:tcPr>
            <w:tcW w:w="853" w:type="pct"/>
            <w:tcBorders>
              <w:tl2br w:val="nil"/>
              <w:tr2bl w:val="nil"/>
            </w:tcBorders>
            <w:noWrap w:val="0"/>
            <w:vAlign w:val="center"/>
          </w:tcPr>
          <w:p>
            <w:pPr>
              <w:pStyle w:val="29"/>
              <w:bidi w:val="0"/>
              <w:rPr>
                <w:rFonts w:hint="default"/>
                <w:lang w:val="en-US" w:eastAsia="zh-CN"/>
              </w:rPr>
            </w:pPr>
            <w:r>
              <w:rPr>
                <w:rFonts w:hint="eastAsia"/>
                <w:lang w:val="en-US" w:eastAsia="zh-CN"/>
              </w:rPr>
              <w:t>55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trHeight w:val="454" w:hRule="atLeast"/>
          <w:jc w:val="center"/>
        </w:trPr>
        <w:tc>
          <w:tcPr>
            <w:tcW w:w="734" w:type="pct"/>
            <w:vMerge w:val="continue"/>
            <w:tcBorders>
              <w:tl2br w:val="nil"/>
              <w:tr2bl w:val="nil"/>
            </w:tcBorders>
            <w:noWrap w:val="0"/>
            <w:vAlign w:val="center"/>
          </w:tcPr>
          <w:p>
            <w:pPr>
              <w:pStyle w:val="29"/>
              <w:bidi w:val="0"/>
              <w:rPr>
                <w:rFonts w:hint="eastAsia"/>
                <w:lang w:val="en-US" w:eastAsia="zh-CN"/>
              </w:rPr>
            </w:pPr>
          </w:p>
        </w:tc>
        <w:tc>
          <w:tcPr>
            <w:tcW w:w="850" w:type="pct"/>
            <w:vMerge w:val="restart"/>
            <w:tcBorders>
              <w:tl2br w:val="nil"/>
              <w:tr2bl w:val="nil"/>
            </w:tcBorders>
            <w:noWrap w:val="0"/>
            <w:vAlign w:val="center"/>
          </w:tcPr>
          <w:p>
            <w:pPr>
              <w:pStyle w:val="29"/>
              <w:bidi w:val="0"/>
              <w:rPr>
                <w:rFonts w:hint="default"/>
                <w:lang w:val="en-US" w:eastAsia="zh-CN"/>
              </w:rPr>
            </w:pPr>
            <w:r>
              <w:rPr>
                <w:rFonts w:hint="eastAsia"/>
                <w:lang w:val="en-US" w:eastAsia="zh-CN"/>
              </w:rPr>
              <w:t>2022-5-25</w:t>
            </w:r>
          </w:p>
        </w:tc>
        <w:tc>
          <w:tcPr>
            <w:tcW w:w="853" w:type="pct"/>
            <w:vMerge w:val="restart"/>
            <w:tcBorders>
              <w:tl2br w:val="nil"/>
              <w:tr2bl w:val="nil"/>
            </w:tcBorders>
            <w:noWrap w:val="0"/>
            <w:vAlign w:val="center"/>
          </w:tcPr>
          <w:p>
            <w:pPr>
              <w:pStyle w:val="29"/>
              <w:bidi w:val="0"/>
              <w:ind w:firstLine="0" w:firstLineChars="0"/>
              <w:rPr>
                <w:rFonts w:hint="eastAsia"/>
                <w:lang w:val="en-US" w:eastAsia="zh-CN"/>
              </w:rPr>
            </w:pPr>
            <w:r>
              <w:rPr>
                <w:rFonts w:hint="eastAsia"/>
                <w:lang w:val="en-US" w:eastAsia="zh-CN"/>
              </w:rPr>
              <w:t>N1</w:t>
            </w:r>
          </w:p>
        </w:tc>
        <w:tc>
          <w:tcPr>
            <w:tcW w:w="853" w:type="pct"/>
            <w:tcBorders>
              <w:tl2br w:val="nil"/>
              <w:tr2bl w:val="nil"/>
            </w:tcBorders>
            <w:noWrap w:val="0"/>
            <w:vAlign w:val="center"/>
          </w:tcPr>
          <w:p>
            <w:pPr>
              <w:pStyle w:val="29"/>
              <w:bidi w:val="0"/>
              <w:rPr>
                <w:lang w:val="en-US"/>
              </w:rPr>
            </w:pPr>
            <w:r>
              <w:rPr>
                <w:rFonts w:hint="eastAsia"/>
                <w:lang w:val="en-US"/>
              </w:rPr>
              <w:t>昼间</w:t>
            </w:r>
          </w:p>
        </w:tc>
        <w:tc>
          <w:tcPr>
            <w:tcW w:w="853" w:type="pct"/>
            <w:tcBorders>
              <w:tl2br w:val="nil"/>
              <w:tr2bl w:val="nil"/>
            </w:tcBorders>
            <w:noWrap w:val="0"/>
            <w:vAlign w:val="center"/>
          </w:tcPr>
          <w:p>
            <w:pPr>
              <w:pStyle w:val="29"/>
              <w:bidi w:val="0"/>
              <w:rPr>
                <w:rFonts w:hint="default"/>
                <w:lang w:val="en-US" w:eastAsia="zh-CN"/>
              </w:rPr>
            </w:pPr>
            <w:r>
              <w:rPr>
                <w:rFonts w:hint="eastAsia"/>
                <w:lang w:val="en-US" w:eastAsia="zh-CN"/>
              </w:rPr>
              <w:t>50</w:t>
            </w:r>
          </w:p>
        </w:tc>
        <w:tc>
          <w:tcPr>
            <w:tcW w:w="853" w:type="pct"/>
            <w:tcBorders>
              <w:tl2br w:val="nil"/>
              <w:tr2bl w:val="nil"/>
            </w:tcBorders>
            <w:noWrap w:val="0"/>
            <w:vAlign w:val="center"/>
          </w:tcPr>
          <w:p>
            <w:pPr>
              <w:pStyle w:val="29"/>
              <w:bidi w:val="0"/>
              <w:rPr>
                <w:rFonts w:hint="default"/>
                <w:lang w:val="en-US" w:eastAsia="zh-CN"/>
              </w:rPr>
            </w:pPr>
            <w:r>
              <w:rPr>
                <w:rFonts w:hint="eastAsia"/>
                <w:lang w:val="en-US" w:eastAsia="zh-CN"/>
              </w:rPr>
              <w:t>65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4" w:type="pct"/>
            <w:vMerge w:val="continue"/>
            <w:tcBorders>
              <w:tl2br w:val="nil"/>
              <w:tr2bl w:val="nil"/>
            </w:tcBorders>
            <w:noWrap w:val="0"/>
            <w:vAlign w:val="center"/>
          </w:tcPr>
          <w:p>
            <w:pPr>
              <w:pStyle w:val="29"/>
              <w:bidi w:val="0"/>
              <w:rPr>
                <w:lang w:val="en-US"/>
              </w:rPr>
            </w:pPr>
          </w:p>
        </w:tc>
        <w:tc>
          <w:tcPr>
            <w:tcW w:w="850" w:type="pct"/>
            <w:vMerge w:val="continue"/>
            <w:tcBorders>
              <w:tl2br w:val="nil"/>
              <w:tr2bl w:val="nil"/>
            </w:tcBorders>
            <w:noWrap w:val="0"/>
            <w:vAlign w:val="center"/>
          </w:tcPr>
          <w:p>
            <w:pPr>
              <w:pStyle w:val="29"/>
              <w:bidi w:val="0"/>
              <w:rPr>
                <w:lang w:val="en-US"/>
              </w:rPr>
            </w:pPr>
          </w:p>
        </w:tc>
        <w:tc>
          <w:tcPr>
            <w:tcW w:w="853" w:type="pct"/>
            <w:vMerge w:val="continue"/>
            <w:tcBorders>
              <w:tl2br w:val="nil"/>
              <w:tr2bl w:val="nil"/>
            </w:tcBorders>
            <w:noWrap w:val="0"/>
            <w:vAlign w:val="center"/>
          </w:tcPr>
          <w:p>
            <w:pPr>
              <w:pStyle w:val="29"/>
              <w:bidi w:val="0"/>
              <w:rPr>
                <w:rFonts w:hint="eastAsia"/>
                <w:lang w:val="en-US"/>
              </w:rPr>
            </w:pPr>
          </w:p>
        </w:tc>
        <w:tc>
          <w:tcPr>
            <w:tcW w:w="853" w:type="pct"/>
            <w:tcBorders>
              <w:tl2br w:val="nil"/>
              <w:tr2bl w:val="nil"/>
            </w:tcBorders>
            <w:noWrap w:val="0"/>
            <w:vAlign w:val="center"/>
          </w:tcPr>
          <w:p>
            <w:pPr>
              <w:pStyle w:val="29"/>
              <w:bidi w:val="0"/>
              <w:rPr>
                <w:rFonts w:hint="eastAsia"/>
                <w:lang w:val="en-US"/>
              </w:rPr>
            </w:pPr>
            <w:r>
              <w:rPr>
                <w:rFonts w:hint="eastAsia"/>
                <w:lang w:val="en-US" w:eastAsia="zh-CN"/>
              </w:rPr>
              <w:t>夜间</w:t>
            </w:r>
          </w:p>
        </w:tc>
        <w:tc>
          <w:tcPr>
            <w:tcW w:w="853" w:type="pct"/>
            <w:tcBorders>
              <w:tl2br w:val="nil"/>
              <w:tr2bl w:val="nil"/>
            </w:tcBorders>
            <w:noWrap w:val="0"/>
            <w:vAlign w:val="center"/>
          </w:tcPr>
          <w:p>
            <w:pPr>
              <w:pStyle w:val="29"/>
              <w:bidi w:val="0"/>
              <w:rPr>
                <w:rFonts w:hint="default"/>
                <w:lang w:val="en-US" w:eastAsia="zh-CN"/>
              </w:rPr>
            </w:pPr>
            <w:r>
              <w:rPr>
                <w:rFonts w:hint="eastAsia"/>
                <w:lang w:val="en-US" w:eastAsia="zh-CN"/>
              </w:rPr>
              <w:t>46</w:t>
            </w:r>
          </w:p>
        </w:tc>
        <w:tc>
          <w:tcPr>
            <w:tcW w:w="853" w:type="pct"/>
            <w:tcBorders>
              <w:tl2br w:val="nil"/>
              <w:tr2bl w:val="nil"/>
            </w:tcBorders>
            <w:noWrap w:val="0"/>
            <w:vAlign w:val="center"/>
          </w:tcPr>
          <w:p>
            <w:pPr>
              <w:pStyle w:val="29"/>
              <w:bidi w:val="0"/>
              <w:rPr>
                <w:rFonts w:hint="eastAsia"/>
                <w:lang w:val="en-US" w:eastAsia="zh-CN"/>
              </w:rPr>
            </w:pPr>
            <w:r>
              <w:rPr>
                <w:rFonts w:hint="eastAsia"/>
                <w:lang w:val="en-US" w:eastAsia="zh-CN"/>
              </w:rPr>
              <w:t>55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4" w:type="pct"/>
            <w:vMerge w:val="continue"/>
            <w:tcBorders>
              <w:tl2br w:val="nil"/>
              <w:tr2bl w:val="nil"/>
            </w:tcBorders>
            <w:noWrap w:val="0"/>
            <w:vAlign w:val="center"/>
          </w:tcPr>
          <w:p>
            <w:pPr>
              <w:pStyle w:val="29"/>
              <w:bidi w:val="0"/>
              <w:rPr>
                <w:lang w:val="en-US"/>
              </w:rPr>
            </w:pPr>
          </w:p>
        </w:tc>
        <w:tc>
          <w:tcPr>
            <w:tcW w:w="850" w:type="pct"/>
            <w:vMerge w:val="continue"/>
            <w:tcBorders>
              <w:tl2br w:val="nil"/>
              <w:tr2bl w:val="nil"/>
            </w:tcBorders>
            <w:noWrap w:val="0"/>
            <w:vAlign w:val="center"/>
          </w:tcPr>
          <w:p>
            <w:pPr>
              <w:pStyle w:val="29"/>
              <w:bidi w:val="0"/>
              <w:rPr>
                <w:lang w:val="en-US"/>
              </w:rPr>
            </w:pPr>
          </w:p>
        </w:tc>
        <w:tc>
          <w:tcPr>
            <w:tcW w:w="853" w:type="pct"/>
            <w:vMerge w:val="restart"/>
            <w:tcBorders>
              <w:tl2br w:val="nil"/>
              <w:tr2bl w:val="nil"/>
            </w:tcBorders>
            <w:noWrap w:val="0"/>
            <w:vAlign w:val="center"/>
          </w:tcPr>
          <w:p>
            <w:pPr>
              <w:pStyle w:val="29"/>
              <w:bidi w:val="0"/>
              <w:ind w:firstLine="0" w:firstLineChars="0"/>
              <w:rPr>
                <w:rFonts w:hint="eastAsia"/>
                <w:lang w:val="en-US" w:eastAsia="zh-CN"/>
              </w:rPr>
            </w:pPr>
            <w:r>
              <w:rPr>
                <w:rFonts w:hint="eastAsia"/>
                <w:lang w:val="en-US" w:eastAsia="zh-CN"/>
              </w:rPr>
              <w:t>N2</w:t>
            </w:r>
          </w:p>
        </w:tc>
        <w:tc>
          <w:tcPr>
            <w:tcW w:w="853" w:type="pct"/>
            <w:tcBorders>
              <w:tl2br w:val="nil"/>
              <w:tr2bl w:val="nil"/>
            </w:tcBorders>
            <w:noWrap w:val="0"/>
            <w:vAlign w:val="center"/>
          </w:tcPr>
          <w:p>
            <w:pPr>
              <w:pStyle w:val="29"/>
              <w:bidi w:val="0"/>
              <w:rPr>
                <w:lang w:val="en-US" w:eastAsia="zh-CN"/>
              </w:rPr>
            </w:pPr>
            <w:r>
              <w:rPr>
                <w:rFonts w:hint="eastAsia"/>
                <w:lang w:val="en-US"/>
              </w:rPr>
              <w:t>昼间</w:t>
            </w:r>
          </w:p>
        </w:tc>
        <w:tc>
          <w:tcPr>
            <w:tcW w:w="853" w:type="pct"/>
            <w:tcBorders>
              <w:tl2br w:val="nil"/>
              <w:tr2bl w:val="nil"/>
            </w:tcBorders>
            <w:noWrap w:val="0"/>
            <w:vAlign w:val="center"/>
          </w:tcPr>
          <w:p>
            <w:pPr>
              <w:pStyle w:val="29"/>
              <w:bidi w:val="0"/>
              <w:rPr>
                <w:rFonts w:hint="default"/>
                <w:lang w:val="en-US" w:eastAsia="zh-CN"/>
              </w:rPr>
            </w:pPr>
            <w:r>
              <w:rPr>
                <w:rFonts w:hint="eastAsia"/>
                <w:lang w:val="en-US" w:eastAsia="zh-CN"/>
              </w:rPr>
              <w:t>53</w:t>
            </w:r>
          </w:p>
        </w:tc>
        <w:tc>
          <w:tcPr>
            <w:tcW w:w="853" w:type="pct"/>
            <w:tcBorders>
              <w:tl2br w:val="nil"/>
              <w:tr2bl w:val="nil"/>
            </w:tcBorders>
            <w:noWrap w:val="0"/>
            <w:vAlign w:val="center"/>
          </w:tcPr>
          <w:p>
            <w:pPr>
              <w:pStyle w:val="29"/>
              <w:bidi w:val="0"/>
              <w:rPr>
                <w:rFonts w:hint="default"/>
                <w:lang w:val="en-US" w:eastAsia="zh-CN"/>
              </w:rPr>
            </w:pPr>
            <w:r>
              <w:rPr>
                <w:rFonts w:hint="eastAsia"/>
                <w:lang w:val="en-US" w:eastAsia="zh-CN"/>
              </w:rPr>
              <w:t>65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4" w:type="pct"/>
            <w:vMerge w:val="continue"/>
            <w:tcBorders>
              <w:tl2br w:val="nil"/>
              <w:tr2bl w:val="nil"/>
            </w:tcBorders>
            <w:noWrap w:val="0"/>
            <w:vAlign w:val="center"/>
          </w:tcPr>
          <w:p>
            <w:pPr>
              <w:pStyle w:val="29"/>
              <w:bidi w:val="0"/>
              <w:rPr>
                <w:lang w:val="en-US"/>
              </w:rPr>
            </w:pPr>
          </w:p>
        </w:tc>
        <w:tc>
          <w:tcPr>
            <w:tcW w:w="850" w:type="pct"/>
            <w:vMerge w:val="continue"/>
            <w:tcBorders>
              <w:tl2br w:val="nil"/>
              <w:tr2bl w:val="nil"/>
            </w:tcBorders>
            <w:noWrap w:val="0"/>
            <w:vAlign w:val="center"/>
          </w:tcPr>
          <w:p>
            <w:pPr>
              <w:pStyle w:val="29"/>
              <w:bidi w:val="0"/>
              <w:rPr>
                <w:lang w:val="en-US"/>
              </w:rPr>
            </w:pPr>
          </w:p>
        </w:tc>
        <w:tc>
          <w:tcPr>
            <w:tcW w:w="853" w:type="pct"/>
            <w:vMerge w:val="continue"/>
            <w:tcBorders>
              <w:tl2br w:val="nil"/>
              <w:tr2bl w:val="nil"/>
            </w:tcBorders>
            <w:noWrap w:val="0"/>
            <w:vAlign w:val="center"/>
          </w:tcPr>
          <w:p>
            <w:pPr>
              <w:pStyle w:val="29"/>
              <w:bidi w:val="0"/>
              <w:rPr>
                <w:rFonts w:hint="eastAsia"/>
                <w:lang w:val="en-US"/>
              </w:rPr>
            </w:pPr>
          </w:p>
        </w:tc>
        <w:tc>
          <w:tcPr>
            <w:tcW w:w="853" w:type="pct"/>
            <w:tcBorders>
              <w:tl2br w:val="nil"/>
              <w:tr2bl w:val="nil"/>
            </w:tcBorders>
            <w:noWrap w:val="0"/>
            <w:vAlign w:val="center"/>
          </w:tcPr>
          <w:p>
            <w:pPr>
              <w:pStyle w:val="29"/>
              <w:bidi w:val="0"/>
              <w:rPr>
                <w:rFonts w:hint="eastAsia"/>
                <w:lang w:val="en-US"/>
              </w:rPr>
            </w:pPr>
            <w:r>
              <w:rPr>
                <w:rFonts w:hint="eastAsia"/>
                <w:lang w:val="en-US" w:eastAsia="zh-CN"/>
              </w:rPr>
              <w:t>夜间</w:t>
            </w:r>
          </w:p>
        </w:tc>
        <w:tc>
          <w:tcPr>
            <w:tcW w:w="853" w:type="pct"/>
            <w:tcBorders>
              <w:tl2br w:val="nil"/>
              <w:tr2bl w:val="nil"/>
            </w:tcBorders>
            <w:noWrap w:val="0"/>
            <w:vAlign w:val="center"/>
          </w:tcPr>
          <w:p>
            <w:pPr>
              <w:pStyle w:val="29"/>
              <w:bidi w:val="0"/>
              <w:rPr>
                <w:rFonts w:hint="default"/>
                <w:lang w:val="en-US" w:eastAsia="zh-CN"/>
              </w:rPr>
            </w:pPr>
            <w:r>
              <w:rPr>
                <w:rFonts w:hint="eastAsia"/>
                <w:lang w:val="en-US" w:eastAsia="zh-CN"/>
              </w:rPr>
              <w:t>47</w:t>
            </w:r>
          </w:p>
        </w:tc>
        <w:tc>
          <w:tcPr>
            <w:tcW w:w="853" w:type="pct"/>
            <w:tcBorders>
              <w:tl2br w:val="nil"/>
              <w:tr2bl w:val="nil"/>
            </w:tcBorders>
            <w:noWrap w:val="0"/>
            <w:vAlign w:val="center"/>
          </w:tcPr>
          <w:p>
            <w:pPr>
              <w:pStyle w:val="29"/>
              <w:bidi w:val="0"/>
              <w:rPr>
                <w:rFonts w:hint="eastAsia"/>
                <w:lang w:val="en-US" w:eastAsia="zh-CN"/>
              </w:rPr>
            </w:pPr>
            <w:r>
              <w:rPr>
                <w:rFonts w:hint="eastAsia"/>
                <w:lang w:val="en-US" w:eastAsia="zh-CN"/>
              </w:rPr>
              <w:t>55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trHeight w:val="454" w:hRule="atLeast"/>
          <w:jc w:val="center"/>
        </w:trPr>
        <w:tc>
          <w:tcPr>
            <w:tcW w:w="734" w:type="pct"/>
            <w:vMerge w:val="continue"/>
            <w:tcBorders>
              <w:tl2br w:val="nil"/>
              <w:tr2bl w:val="nil"/>
            </w:tcBorders>
            <w:noWrap w:val="0"/>
            <w:vAlign w:val="center"/>
          </w:tcPr>
          <w:p>
            <w:pPr>
              <w:pStyle w:val="29"/>
              <w:bidi w:val="0"/>
              <w:rPr>
                <w:lang w:val="en-US"/>
              </w:rPr>
            </w:pPr>
          </w:p>
        </w:tc>
        <w:tc>
          <w:tcPr>
            <w:tcW w:w="850" w:type="pct"/>
            <w:vMerge w:val="continue"/>
            <w:tcBorders>
              <w:tl2br w:val="nil"/>
              <w:tr2bl w:val="nil"/>
            </w:tcBorders>
            <w:noWrap w:val="0"/>
            <w:vAlign w:val="center"/>
          </w:tcPr>
          <w:p>
            <w:pPr>
              <w:pStyle w:val="29"/>
              <w:bidi w:val="0"/>
              <w:rPr>
                <w:lang w:val="en-US"/>
              </w:rPr>
            </w:pPr>
          </w:p>
        </w:tc>
        <w:tc>
          <w:tcPr>
            <w:tcW w:w="853" w:type="pct"/>
            <w:vMerge w:val="restart"/>
            <w:tcBorders>
              <w:tl2br w:val="nil"/>
              <w:tr2bl w:val="nil"/>
            </w:tcBorders>
            <w:noWrap w:val="0"/>
            <w:vAlign w:val="center"/>
          </w:tcPr>
          <w:p>
            <w:pPr>
              <w:pStyle w:val="29"/>
              <w:bidi w:val="0"/>
              <w:ind w:firstLine="0" w:firstLineChars="0"/>
              <w:rPr>
                <w:rFonts w:hint="eastAsia" w:ascii="Times New Roman" w:hAnsi="Times New Roman"/>
                <w:kern w:val="2"/>
                <w:sz w:val="21"/>
                <w:szCs w:val="22"/>
                <w:lang w:val="en-US" w:eastAsia="zh-CN" w:bidi="ar-SA"/>
              </w:rPr>
            </w:pPr>
            <w:r>
              <w:rPr>
                <w:rFonts w:hint="eastAsia"/>
                <w:lang w:val="en-US" w:eastAsia="zh-CN"/>
              </w:rPr>
              <w:t>N3</w:t>
            </w:r>
          </w:p>
        </w:tc>
        <w:tc>
          <w:tcPr>
            <w:tcW w:w="853" w:type="pct"/>
            <w:tcBorders>
              <w:tl2br w:val="nil"/>
              <w:tr2bl w:val="nil"/>
            </w:tcBorders>
            <w:noWrap w:val="0"/>
            <w:vAlign w:val="center"/>
          </w:tcPr>
          <w:p>
            <w:pPr>
              <w:pStyle w:val="29"/>
              <w:bidi w:val="0"/>
              <w:rPr>
                <w:rFonts w:hint="eastAsia"/>
                <w:lang w:val="en-US" w:eastAsia="zh-CN"/>
              </w:rPr>
            </w:pPr>
            <w:r>
              <w:rPr>
                <w:rFonts w:hint="eastAsia"/>
                <w:lang w:val="en-US"/>
              </w:rPr>
              <w:t>昼间</w:t>
            </w:r>
          </w:p>
        </w:tc>
        <w:tc>
          <w:tcPr>
            <w:tcW w:w="853" w:type="pct"/>
            <w:tcBorders>
              <w:tl2br w:val="nil"/>
              <w:tr2bl w:val="nil"/>
            </w:tcBorders>
            <w:noWrap w:val="0"/>
            <w:vAlign w:val="center"/>
          </w:tcPr>
          <w:p>
            <w:pPr>
              <w:pStyle w:val="29"/>
              <w:bidi w:val="0"/>
              <w:rPr>
                <w:rFonts w:hint="eastAsia"/>
                <w:lang w:val="en-US" w:eastAsia="zh-CN"/>
              </w:rPr>
            </w:pPr>
            <w:r>
              <w:rPr>
                <w:rFonts w:hint="eastAsia"/>
                <w:lang w:val="en-US" w:eastAsia="zh-CN"/>
              </w:rPr>
              <w:t>52</w:t>
            </w:r>
          </w:p>
        </w:tc>
        <w:tc>
          <w:tcPr>
            <w:tcW w:w="853" w:type="pct"/>
            <w:tcBorders>
              <w:tl2br w:val="nil"/>
              <w:tr2bl w:val="nil"/>
            </w:tcBorders>
            <w:noWrap w:val="0"/>
            <w:vAlign w:val="center"/>
          </w:tcPr>
          <w:p>
            <w:pPr>
              <w:pStyle w:val="29"/>
              <w:bidi w:val="0"/>
              <w:rPr>
                <w:rFonts w:hint="eastAsia"/>
                <w:lang w:val="en-US" w:eastAsia="zh-CN"/>
              </w:rPr>
            </w:pPr>
            <w:r>
              <w:rPr>
                <w:rFonts w:hint="eastAsia"/>
                <w:lang w:val="en-US" w:eastAsia="zh-CN"/>
              </w:rPr>
              <w:t>65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4" w:type="pct"/>
            <w:vMerge w:val="continue"/>
            <w:tcBorders>
              <w:tl2br w:val="nil"/>
              <w:tr2bl w:val="nil"/>
            </w:tcBorders>
            <w:noWrap w:val="0"/>
            <w:vAlign w:val="center"/>
          </w:tcPr>
          <w:p>
            <w:pPr>
              <w:pStyle w:val="29"/>
              <w:bidi w:val="0"/>
              <w:rPr>
                <w:lang w:val="en-US"/>
              </w:rPr>
            </w:pPr>
          </w:p>
        </w:tc>
        <w:tc>
          <w:tcPr>
            <w:tcW w:w="850" w:type="pct"/>
            <w:vMerge w:val="continue"/>
            <w:tcBorders>
              <w:tl2br w:val="nil"/>
              <w:tr2bl w:val="nil"/>
            </w:tcBorders>
            <w:noWrap w:val="0"/>
            <w:vAlign w:val="center"/>
          </w:tcPr>
          <w:p>
            <w:pPr>
              <w:pStyle w:val="29"/>
              <w:bidi w:val="0"/>
              <w:rPr>
                <w:lang w:val="en-US"/>
              </w:rPr>
            </w:pPr>
          </w:p>
        </w:tc>
        <w:tc>
          <w:tcPr>
            <w:tcW w:w="853" w:type="pct"/>
            <w:vMerge w:val="continue"/>
            <w:tcBorders>
              <w:tl2br w:val="nil"/>
              <w:tr2bl w:val="nil"/>
            </w:tcBorders>
            <w:noWrap w:val="0"/>
            <w:vAlign w:val="center"/>
          </w:tcPr>
          <w:p>
            <w:pPr>
              <w:pStyle w:val="29"/>
              <w:bidi w:val="0"/>
              <w:rPr>
                <w:rFonts w:hint="eastAsia"/>
                <w:lang w:val="en-US"/>
              </w:rPr>
            </w:pPr>
          </w:p>
        </w:tc>
        <w:tc>
          <w:tcPr>
            <w:tcW w:w="853" w:type="pct"/>
            <w:tcBorders>
              <w:tl2br w:val="nil"/>
              <w:tr2bl w:val="nil"/>
            </w:tcBorders>
            <w:noWrap w:val="0"/>
            <w:vAlign w:val="center"/>
          </w:tcPr>
          <w:p>
            <w:pPr>
              <w:pStyle w:val="29"/>
              <w:bidi w:val="0"/>
              <w:rPr>
                <w:rFonts w:hint="eastAsia"/>
                <w:lang w:val="en-US" w:eastAsia="zh-CN"/>
              </w:rPr>
            </w:pPr>
            <w:r>
              <w:rPr>
                <w:rFonts w:hint="eastAsia"/>
                <w:lang w:val="en-US" w:eastAsia="zh-CN"/>
              </w:rPr>
              <w:t>夜间</w:t>
            </w:r>
          </w:p>
        </w:tc>
        <w:tc>
          <w:tcPr>
            <w:tcW w:w="853" w:type="pct"/>
            <w:tcBorders>
              <w:tl2br w:val="nil"/>
              <w:tr2bl w:val="nil"/>
            </w:tcBorders>
            <w:noWrap w:val="0"/>
            <w:vAlign w:val="center"/>
          </w:tcPr>
          <w:p>
            <w:pPr>
              <w:pStyle w:val="29"/>
              <w:bidi w:val="0"/>
              <w:rPr>
                <w:rFonts w:hint="eastAsia"/>
                <w:lang w:val="en-US" w:eastAsia="zh-CN"/>
              </w:rPr>
            </w:pPr>
            <w:r>
              <w:rPr>
                <w:rFonts w:hint="eastAsia"/>
                <w:lang w:val="en-US" w:eastAsia="zh-CN"/>
              </w:rPr>
              <w:t>46</w:t>
            </w:r>
          </w:p>
        </w:tc>
        <w:tc>
          <w:tcPr>
            <w:tcW w:w="853" w:type="pct"/>
            <w:tcBorders>
              <w:tl2br w:val="nil"/>
              <w:tr2bl w:val="nil"/>
            </w:tcBorders>
            <w:noWrap w:val="0"/>
            <w:vAlign w:val="center"/>
          </w:tcPr>
          <w:p>
            <w:pPr>
              <w:pStyle w:val="29"/>
              <w:bidi w:val="0"/>
              <w:rPr>
                <w:rFonts w:hint="eastAsia"/>
                <w:lang w:val="en-US" w:eastAsia="zh-CN"/>
              </w:rPr>
            </w:pPr>
            <w:r>
              <w:rPr>
                <w:rFonts w:hint="eastAsia"/>
                <w:lang w:val="en-US" w:eastAsia="zh-CN"/>
              </w:rPr>
              <w:t>55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4" w:type="pct"/>
            <w:vMerge w:val="continue"/>
            <w:tcBorders>
              <w:tl2br w:val="nil"/>
              <w:tr2bl w:val="nil"/>
            </w:tcBorders>
            <w:noWrap w:val="0"/>
            <w:vAlign w:val="center"/>
          </w:tcPr>
          <w:p>
            <w:pPr>
              <w:pStyle w:val="29"/>
              <w:bidi w:val="0"/>
              <w:rPr>
                <w:lang w:val="en-US"/>
              </w:rPr>
            </w:pPr>
          </w:p>
        </w:tc>
        <w:tc>
          <w:tcPr>
            <w:tcW w:w="850" w:type="pct"/>
            <w:vMerge w:val="continue"/>
            <w:tcBorders>
              <w:tl2br w:val="nil"/>
              <w:tr2bl w:val="nil"/>
            </w:tcBorders>
            <w:noWrap w:val="0"/>
            <w:vAlign w:val="center"/>
          </w:tcPr>
          <w:p>
            <w:pPr>
              <w:pStyle w:val="29"/>
              <w:bidi w:val="0"/>
              <w:rPr>
                <w:lang w:val="en-US"/>
              </w:rPr>
            </w:pPr>
          </w:p>
        </w:tc>
        <w:tc>
          <w:tcPr>
            <w:tcW w:w="853" w:type="pct"/>
            <w:vMerge w:val="restart"/>
            <w:tcBorders>
              <w:tl2br w:val="nil"/>
              <w:tr2bl w:val="nil"/>
            </w:tcBorders>
            <w:noWrap w:val="0"/>
            <w:vAlign w:val="center"/>
          </w:tcPr>
          <w:p>
            <w:pPr>
              <w:pStyle w:val="29"/>
              <w:bidi w:val="0"/>
              <w:ind w:firstLine="0" w:firstLineChars="0"/>
              <w:rPr>
                <w:rFonts w:hint="eastAsia" w:ascii="Times New Roman" w:hAnsi="Times New Roman"/>
                <w:kern w:val="2"/>
                <w:sz w:val="21"/>
                <w:szCs w:val="22"/>
                <w:lang w:val="en-US" w:eastAsia="zh-CN" w:bidi="ar-SA"/>
              </w:rPr>
            </w:pPr>
            <w:r>
              <w:rPr>
                <w:rFonts w:hint="eastAsia"/>
                <w:lang w:val="en-US" w:eastAsia="zh-CN"/>
              </w:rPr>
              <w:t>N4</w:t>
            </w:r>
          </w:p>
        </w:tc>
        <w:tc>
          <w:tcPr>
            <w:tcW w:w="853" w:type="pct"/>
            <w:tcBorders>
              <w:tl2br w:val="nil"/>
              <w:tr2bl w:val="nil"/>
            </w:tcBorders>
            <w:noWrap w:val="0"/>
            <w:vAlign w:val="center"/>
          </w:tcPr>
          <w:p>
            <w:pPr>
              <w:pStyle w:val="29"/>
              <w:bidi w:val="0"/>
              <w:rPr>
                <w:rFonts w:hint="eastAsia"/>
                <w:lang w:val="en-US" w:eastAsia="zh-CN"/>
              </w:rPr>
            </w:pPr>
            <w:r>
              <w:rPr>
                <w:rFonts w:hint="eastAsia"/>
                <w:lang w:val="en-US"/>
              </w:rPr>
              <w:t>昼间</w:t>
            </w:r>
          </w:p>
        </w:tc>
        <w:tc>
          <w:tcPr>
            <w:tcW w:w="853" w:type="pct"/>
            <w:tcBorders>
              <w:tl2br w:val="nil"/>
              <w:tr2bl w:val="nil"/>
            </w:tcBorders>
            <w:noWrap w:val="0"/>
            <w:vAlign w:val="center"/>
          </w:tcPr>
          <w:p>
            <w:pPr>
              <w:pStyle w:val="29"/>
              <w:bidi w:val="0"/>
              <w:rPr>
                <w:rFonts w:hint="eastAsia"/>
                <w:lang w:val="en-US" w:eastAsia="zh-CN"/>
              </w:rPr>
            </w:pPr>
            <w:r>
              <w:rPr>
                <w:rFonts w:hint="eastAsia"/>
                <w:lang w:val="en-US" w:eastAsia="zh-CN"/>
              </w:rPr>
              <w:t>54</w:t>
            </w:r>
          </w:p>
        </w:tc>
        <w:tc>
          <w:tcPr>
            <w:tcW w:w="853" w:type="pct"/>
            <w:tcBorders>
              <w:tl2br w:val="nil"/>
              <w:tr2bl w:val="nil"/>
            </w:tcBorders>
            <w:noWrap w:val="0"/>
            <w:vAlign w:val="center"/>
          </w:tcPr>
          <w:p>
            <w:pPr>
              <w:pStyle w:val="29"/>
              <w:bidi w:val="0"/>
              <w:rPr>
                <w:rFonts w:hint="eastAsia"/>
                <w:lang w:val="en-US" w:eastAsia="zh-CN"/>
              </w:rPr>
            </w:pPr>
            <w:r>
              <w:rPr>
                <w:rFonts w:hint="eastAsia"/>
                <w:lang w:val="en-US" w:eastAsia="zh-CN"/>
              </w:rPr>
              <w:t>65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4" w:type="pct"/>
            <w:vMerge w:val="continue"/>
            <w:tcBorders>
              <w:tl2br w:val="nil"/>
              <w:tr2bl w:val="nil"/>
            </w:tcBorders>
            <w:noWrap w:val="0"/>
            <w:vAlign w:val="top"/>
          </w:tcPr>
          <w:p>
            <w:pPr>
              <w:pStyle w:val="29"/>
              <w:bidi w:val="0"/>
              <w:rPr>
                <w:lang w:val="en-US"/>
              </w:rPr>
            </w:pPr>
          </w:p>
        </w:tc>
        <w:tc>
          <w:tcPr>
            <w:tcW w:w="850" w:type="pct"/>
            <w:vMerge w:val="continue"/>
            <w:tcBorders>
              <w:tl2br w:val="nil"/>
              <w:tr2bl w:val="nil"/>
            </w:tcBorders>
            <w:noWrap w:val="0"/>
            <w:vAlign w:val="top"/>
          </w:tcPr>
          <w:p>
            <w:pPr>
              <w:pStyle w:val="29"/>
              <w:bidi w:val="0"/>
              <w:rPr>
                <w:lang w:val="en-US"/>
              </w:rPr>
            </w:pPr>
          </w:p>
        </w:tc>
        <w:tc>
          <w:tcPr>
            <w:tcW w:w="853" w:type="pct"/>
            <w:vMerge w:val="continue"/>
            <w:tcBorders>
              <w:tl2br w:val="nil"/>
              <w:tr2bl w:val="nil"/>
            </w:tcBorders>
            <w:noWrap w:val="0"/>
            <w:vAlign w:val="top"/>
          </w:tcPr>
          <w:p>
            <w:pPr>
              <w:pStyle w:val="29"/>
              <w:bidi w:val="0"/>
              <w:rPr>
                <w:rFonts w:hint="eastAsia"/>
                <w:lang w:val="en-US"/>
              </w:rPr>
            </w:pPr>
          </w:p>
        </w:tc>
        <w:tc>
          <w:tcPr>
            <w:tcW w:w="0" w:type="auto"/>
            <w:tcBorders>
              <w:tl2br w:val="nil"/>
              <w:tr2bl w:val="nil"/>
            </w:tcBorders>
            <w:noWrap w:val="0"/>
            <w:vAlign w:val="center"/>
          </w:tcPr>
          <w:p>
            <w:pPr>
              <w:pStyle w:val="29"/>
              <w:bidi w:val="0"/>
              <w:rPr>
                <w:rFonts w:hint="eastAsia"/>
                <w:lang w:val="en-US" w:eastAsia="zh-CN"/>
              </w:rPr>
            </w:pPr>
            <w:r>
              <w:rPr>
                <w:rFonts w:hint="eastAsia"/>
                <w:lang w:val="en-US" w:eastAsia="zh-CN"/>
              </w:rPr>
              <w:t>夜间</w:t>
            </w:r>
          </w:p>
        </w:tc>
        <w:tc>
          <w:tcPr>
            <w:tcW w:w="0" w:type="auto"/>
            <w:tcBorders>
              <w:tl2br w:val="nil"/>
              <w:tr2bl w:val="nil"/>
            </w:tcBorders>
            <w:noWrap w:val="0"/>
            <w:vAlign w:val="center"/>
          </w:tcPr>
          <w:p>
            <w:pPr>
              <w:pStyle w:val="29"/>
              <w:bidi w:val="0"/>
              <w:rPr>
                <w:rFonts w:hint="eastAsia"/>
                <w:lang w:val="en-US" w:eastAsia="zh-CN"/>
              </w:rPr>
            </w:pPr>
            <w:r>
              <w:rPr>
                <w:rFonts w:hint="eastAsia"/>
                <w:lang w:val="en-US" w:eastAsia="zh-CN"/>
              </w:rPr>
              <w:t>48</w:t>
            </w:r>
          </w:p>
        </w:tc>
        <w:tc>
          <w:tcPr>
            <w:tcW w:w="0" w:type="auto"/>
            <w:tcBorders>
              <w:tl2br w:val="nil"/>
              <w:tr2bl w:val="nil"/>
            </w:tcBorders>
            <w:noWrap w:val="0"/>
            <w:vAlign w:val="center"/>
          </w:tcPr>
          <w:p>
            <w:pPr>
              <w:pStyle w:val="29"/>
              <w:bidi w:val="0"/>
              <w:rPr>
                <w:rFonts w:hint="eastAsia"/>
                <w:lang w:val="en-US" w:eastAsia="zh-CN"/>
              </w:rPr>
            </w:pPr>
            <w:r>
              <w:rPr>
                <w:rFonts w:hint="eastAsia"/>
                <w:lang w:val="en-US" w:eastAsia="zh-CN"/>
              </w:rPr>
              <w:t>55</w:t>
            </w:r>
          </w:p>
        </w:tc>
      </w:tr>
    </w:tbl>
    <w:p>
      <w:r>
        <w:t>验收监测期间，噪声监测结果表明：N1~N4点位，昼间、夜间噪声均符合《工业企业厂界环境噪声》排放标准</w:t>
      </w:r>
      <w:r>
        <w:rPr>
          <w:rFonts w:hint="eastAsia"/>
        </w:rPr>
        <w:t>（</w:t>
      </w:r>
      <w:r>
        <w:t>GB12348-2008</w:t>
      </w:r>
      <w:r>
        <w:rPr>
          <w:rFonts w:hint="eastAsia"/>
        </w:rPr>
        <w:t>）</w:t>
      </w:r>
      <w:r>
        <w:rPr>
          <w:rFonts w:hint="eastAsia"/>
          <w:lang w:val="en-US" w:eastAsia="zh-CN"/>
        </w:rPr>
        <w:t>3</w:t>
      </w:r>
      <w:r>
        <w:t>类标准要求。</w:t>
      </w:r>
    </w:p>
    <w:p>
      <w:pPr>
        <w:pStyle w:val="7"/>
        <w:numPr>
          <w:ilvl w:val="3"/>
          <w:numId w:val="0"/>
        </w:numPr>
      </w:pPr>
      <w:r>
        <w:t>9.2.2.4固体废物</w:t>
      </w:r>
    </w:p>
    <w:p>
      <w:r>
        <w:t>脱水污泥测结果见表9-</w:t>
      </w:r>
      <w:r>
        <w:rPr>
          <w:rFonts w:hint="eastAsia"/>
        </w:rPr>
        <w:t>9</w:t>
      </w:r>
      <w:r>
        <w:t>。</w:t>
      </w:r>
    </w:p>
    <w:p>
      <w:pPr>
        <w:spacing w:line="240" w:lineRule="auto"/>
        <w:ind w:firstLine="422"/>
        <w:jc w:val="center"/>
        <w:rPr>
          <w:b/>
          <w:bCs/>
          <w:sz w:val="21"/>
          <w:szCs w:val="20"/>
        </w:rPr>
      </w:pPr>
      <w:r>
        <w:rPr>
          <w:b/>
          <w:bCs/>
          <w:sz w:val="21"/>
          <w:szCs w:val="20"/>
        </w:rPr>
        <w:t>表9-</w:t>
      </w:r>
      <w:r>
        <w:rPr>
          <w:rFonts w:hint="eastAsia"/>
          <w:b/>
          <w:bCs/>
          <w:sz w:val="21"/>
          <w:szCs w:val="20"/>
        </w:rPr>
        <w:t>9</w:t>
      </w:r>
      <w:r>
        <w:rPr>
          <w:b/>
          <w:bCs/>
          <w:sz w:val="21"/>
          <w:szCs w:val="20"/>
        </w:rPr>
        <w:t xml:space="preserve">  固体废物监测结果</w:t>
      </w:r>
    </w:p>
    <w:tbl>
      <w:tblPr>
        <w:tblStyle w:val="19"/>
        <w:tblW w:w="4996"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6"/>
        <w:gridCol w:w="1492"/>
        <w:gridCol w:w="1854"/>
        <w:gridCol w:w="2188"/>
        <w:gridCol w:w="1388"/>
        <w:gridCol w:w="90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4" w:type="pct"/>
            <w:noWrap w:val="0"/>
            <w:vAlign w:val="center"/>
          </w:tcPr>
          <w:p>
            <w:pPr>
              <w:spacing w:line="300" w:lineRule="exact"/>
              <w:ind w:firstLine="0" w:firstLineChars="0"/>
              <w:jc w:val="center"/>
              <w:rPr>
                <w:b/>
                <w:sz w:val="21"/>
                <w:szCs w:val="21"/>
              </w:rPr>
            </w:pPr>
            <w:r>
              <w:rPr>
                <w:b/>
                <w:sz w:val="21"/>
                <w:szCs w:val="21"/>
              </w:rPr>
              <w:t>监测日期</w:t>
            </w:r>
          </w:p>
        </w:tc>
        <w:tc>
          <w:tcPr>
            <w:tcW w:w="803" w:type="pct"/>
            <w:noWrap w:val="0"/>
            <w:vAlign w:val="center"/>
          </w:tcPr>
          <w:p>
            <w:pPr>
              <w:spacing w:line="300" w:lineRule="exact"/>
              <w:ind w:firstLine="0" w:firstLineChars="0"/>
              <w:jc w:val="center"/>
              <w:rPr>
                <w:b/>
                <w:sz w:val="21"/>
                <w:szCs w:val="21"/>
              </w:rPr>
            </w:pPr>
            <w:r>
              <w:rPr>
                <w:b/>
                <w:sz w:val="21"/>
                <w:szCs w:val="21"/>
              </w:rPr>
              <w:t>点位编号</w:t>
            </w:r>
          </w:p>
        </w:tc>
        <w:tc>
          <w:tcPr>
            <w:tcW w:w="998" w:type="pct"/>
            <w:noWrap w:val="0"/>
            <w:vAlign w:val="center"/>
          </w:tcPr>
          <w:p>
            <w:pPr>
              <w:spacing w:line="300" w:lineRule="exact"/>
              <w:ind w:firstLine="0" w:firstLineChars="0"/>
              <w:jc w:val="center"/>
              <w:rPr>
                <w:b/>
                <w:sz w:val="21"/>
                <w:szCs w:val="21"/>
              </w:rPr>
            </w:pPr>
            <w:r>
              <w:rPr>
                <w:b/>
                <w:sz w:val="21"/>
                <w:szCs w:val="21"/>
              </w:rPr>
              <w:t>监测项目</w:t>
            </w:r>
          </w:p>
        </w:tc>
        <w:tc>
          <w:tcPr>
            <w:tcW w:w="1178" w:type="pct"/>
            <w:noWrap w:val="0"/>
            <w:vAlign w:val="center"/>
          </w:tcPr>
          <w:p>
            <w:pPr>
              <w:spacing w:line="300" w:lineRule="exact"/>
              <w:ind w:firstLine="0" w:firstLineChars="0"/>
              <w:jc w:val="center"/>
              <w:rPr>
                <w:b/>
                <w:sz w:val="21"/>
                <w:szCs w:val="21"/>
              </w:rPr>
            </w:pPr>
            <w:r>
              <w:rPr>
                <w:b/>
                <w:sz w:val="21"/>
                <w:szCs w:val="21"/>
              </w:rPr>
              <w:t>监测结果</w:t>
            </w:r>
          </w:p>
        </w:tc>
        <w:tc>
          <w:tcPr>
            <w:tcW w:w="747" w:type="pct"/>
            <w:noWrap w:val="0"/>
            <w:vAlign w:val="center"/>
          </w:tcPr>
          <w:p>
            <w:pPr>
              <w:spacing w:line="300" w:lineRule="exact"/>
              <w:ind w:firstLine="0" w:firstLineChars="0"/>
              <w:jc w:val="center"/>
              <w:rPr>
                <w:b/>
                <w:sz w:val="21"/>
                <w:szCs w:val="21"/>
              </w:rPr>
            </w:pPr>
            <w:r>
              <w:rPr>
                <w:b/>
                <w:sz w:val="21"/>
                <w:szCs w:val="21"/>
              </w:rPr>
              <w:t>排放限值</w:t>
            </w:r>
          </w:p>
        </w:tc>
        <w:tc>
          <w:tcPr>
            <w:tcW w:w="486" w:type="pct"/>
            <w:noWrap w:val="0"/>
            <w:vAlign w:val="center"/>
          </w:tcPr>
          <w:p>
            <w:pPr>
              <w:spacing w:line="300" w:lineRule="exact"/>
              <w:ind w:firstLine="0" w:firstLineChars="0"/>
              <w:jc w:val="center"/>
              <w:rPr>
                <w:b/>
                <w:sz w:val="21"/>
                <w:szCs w:val="21"/>
              </w:rPr>
            </w:pPr>
            <w:r>
              <w:rPr>
                <w:b/>
                <w:sz w:val="21"/>
                <w:szCs w:val="21"/>
              </w:rPr>
              <w:t>单位</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4" w:type="pct"/>
            <w:noWrap w:val="0"/>
            <w:vAlign w:val="center"/>
          </w:tcPr>
          <w:p>
            <w:pPr>
              <w:spacing w:line="300" w:lineRule="exact"/>
              <w:ind w:firstLine="0" w:firstLineChars="0"/>
              <w:jc w:val="center"/>
              <w:rPr>
                <w:rFonts w:hint="default" w:eastAsia="宋体"/>
                <w:bCs/>
                <w:sz w:val="21"/>
                <w:szCs w:val="21"/>
                <w:lang w:val="en-US" w:eastAsia="zh-CN"/>
              </w:rPr>
            </w:pPr>
            <w:r>
              <w:rPr>
                <w:rFonts w:hint="eastAsia"/>
                <w:bCs/>
                <w:sz w:val="21"/>
                <w:szCs w:val="21"/>
                <w:lang w:eastAsia="zh-CN"/>
              </w:rPr>
              <w:t>2</w:t>
            </w:r>
            <w:r>
              <w:rPr>
                <w:rFonts w:hint="eastAsia"/>
                <w:bCs/>
                <w:sz w:val="21"/>
                <w:szCs w:val="21"/>
                <w:lang w:val="en-US" w:eastAsia="zh-CN"/>
              </w:rPr>
              <w:t>022-5-24</w:t>
            </w:r>
          </w:p>
        </w:tc>
        <w:tc>
          <w:tcPr>
            <w:tcW w:w="803" w:type="pct"/>
            <w:vMerge w:val="restart"/>
            <w:noWrap w:val="0"/>
            <w:vAlign w:val="center"/>
          </w:tcPr>
          <w:p>
            <w:pPr>
              <w:spacing w:line="300" w:lineRule="exact"/>
              <w:ind w:firstLine="0" w:firstLineChars="0"/>
              <w:jc w:val="center"/>
              <w:rPr>
                <w:bCs/>
                <w:sz w:val="21"/>
                <w:szCs w:val="21"/>
              </w:rPr>
            </w:pPr>
            <w:r>
              <w:rPr>
                <w:bCs/>
                <w:sz w:val="21"/>
                <w:szCs w:val="21"/>
              </w:rPr>
              <w:t>S1</w:t>
            </w:r>
          </w:p>
        </w:tc>
        <w:tc>
          <w:tcPr>
            <w:tcW w:w="998" w:type="pct"/>
            <w:vMerge w:val="restart"/>
            <w:noWrap w:val="0"/>
            <w:vAlign w:val="center"/>
          </w:tcPr>
          <w:p>
            <w:pPr>
              <w:spacing w:line="300" w:lineRule="exact"/>
              <w:ind w:firstLine="0" w:firstLineChars="0"/>
              <w:jc w:val="center"/>
              <w:rPr>
                <w:bCs/>
                <w:sz w:val="21"/>
                <w:szCs w:val="21"/>
              </w:rPr>
            </w:pPr>
            <w:r>
              <w:rPr>
                <w:bCs/>
                <w:sz w:val="21"/>
                <w:szCs w:val="21"/>
              </w:rPr>
              <w:t>含水率</w:t>
            </w:r>
          </w:p>
        </w:tc>
        <w:tc>
          <w:tcPr>
            <w:tcW w:w="1178" w:type="pct"/>
            <w:noWrap w:val="0"/>
            <w:vAlign w:val="center"/>
          </w:tcPr>
          <w:p>
            <w:pPr>
              <w:pStyle w:val="29"/>
              <w:bidi w:val="0"/>
            </w:pPr>
            <w:r>
              <w:rPr>
                <w:rFonts w:hint="eastAsia"/>
                <w:lang w:val="en-US" w:eastAsia="zh-CN"/>
              </w:rPr>
              <w:t>78.5</w:t>
            </w:r>
          </w:p>
        </w:tc>
        <w:tc>
          <w:tcPr>
            <w:tcW w:w="747" w:type="pct"/>
            <w:noWrap w:val="0"/>
            <w:vAlign w:val="center"/>
          </w:tcPr>
          <w:p>
            <w:pPr>
              <w:pStyle w:val="29"/>
              <w:bidi w:val="0"/>
            </w:pPr>
            <w:r>
              <w:rPr>
                <w:rFonts w:hint="eastAsia"/>
                <w:lang w:val="en-US" w:eastAsia="zh-CN"/>
              </w:rPr>
              <w:t>＜80</w:t>
            </w:r>
          </w:p>
        </w:tc>
        <w:tc>
          <w:tcPr>
            <w:tcW w:w="486" w:type="pct"/>
            <w:vMerge w:val="restart"/>
            <w:noWrap w:val="0"/>
            <w:vAlign w:val="center"/>
          </w:tcPr>
          <w:p>
            <w:pPr>
              <w:spacing w:line="300" w:lineRule="exact"/>
              <w:ind w:firstLine="0" w:firstLineChars="0"/>
              <w:jc w:val="center"/>
              <w:rPr>
                <w:bCs/>
                <w:sz w:val="21"/>
                <w:szCs w:val="21"/>
              </w:rPr>
            </w:pPr>
            <w:r>
              <w:rPr>
                <w:bCs/>
                <w:sz w:val="21"/>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4" w:type="pct"/>
            <w:noWrap w:val="0"/>
            <w:vAlign w:val="center"/>
          </w:tcPr>
          <w:p>
            <w:pPr>
              <w:spacing w:line="300" w:lineRule="exact"/>
              <w:ind w:firstLine="0" w:firstLineChars="0"/>
              <w:jc w:val="center"/>
              <w:rPr>
                <w:rFonts w:hint="default" w:eastAsia="宋体"/>
                <w:bCs/>
                <w:sz w:val="21"/>
                <w:szCs w:val="21"/>
                <w:lang w:val="en-US" w:eastAsia="zh-CN"/>
              </w:rPr>
            </w:pPr>
            <w:r>
              <w:rPr>
                <w:rFonts w:hint="eastAsia"/>
                <w:bCs/>
                <w:sz w:val="21"/>
                <w:szCs w:val="21"/>
                <w:lang w:val="en-US" w:eastAsia="zh-CN"/>
              </w:rPr>
              <w:t>2022-5-25</w:t>
            </w:r>
          </w:p>
        </w:tc>
        <w:tc>
          <w:tcPr>
            <w:tcW w:w="803" w:type="pct"/>
            <w:vMerge w:val="continue"/>
            <w:noWrap w:val="0"/>
            <w:vAlign w:val="center"/>
          </w:tcPr>
          <w:p>
            <w:pPr>
              <w:spacing w:line="300" w:lineRule="exact"/>
              <w:ind w:firstLine="0" w:firstLineChars="0"/>
              <w:jc w:val="center"/>
              <w:rPr>
                <w:bCs/>
                <w:sz w:val="21"/>
                <w:szCs w:val="21"/>
              </w:rPr>
            </w:pPr>
          </w:p>
        </w:tc>
        <w:tc>
          <w:tcPr>
            <w:tcW w:w="998" w:type="pct"/>
            <w:vMerge w:val="continue"/>
            <w:noWrap w:val="0"/>
            <w:vAlign w:val="center"/>
          </w:tcPr>
          <w:p>
            <w:pPr>
              <w:spacing w:line="300" w:lineRule="exact"/>
              <w:ind w:firstLine="0" w:firstLineChars="0"/>
              <w:jc w:val="center"/>
              <w:rPr>
                <w:bCs/>
                <w:sz w:val="21"/>
                <w:szCs w:val="21"/>
              </w:rPr>
            </w:pPr>
          </w:p>
        </w:tc>
        <w:tc>
          <w:tcPr>
            <w:tcW w:w="1178" w:type="pct"/>
            <w:noWrap w:val="0"/>
            <w:vAlign w:val="center"/>
          </w:tcPr>
          <w:p>
            <w:pPr>
              <w:pStyle w:val="29"/>
              <w:bidi w:val="0"/>
              <w:rPr>
                <w:rFonts w:hint="eastAsia"/>
              </w:rPr>
            </w:pPr>
            <w:r>
              <w:rPr>
                <w:rFonts w:hint="eastAsia"/>
                <w:lang w:val="en-US" w:eastAsia="zh-CN"/>
              </w:rPr>
              <w:t>79.4</w:t>
            </w:r>
          </w:p>
        </w:tc>
        <w:tc>
          <w:tcPr>
            <w:tcW w:w="747" w:type="pct"/>
            <w:noWrap w:val="0"/>
            <w:vAlign w:val="center"/>
          </w:tcPr>
          <w:p>
            <w:pPr>
              <w:pStyle w:val="29"/>
              <w:bidi w:val="0"/>
            </w:pPr>
            <w:r>
              <w:rPr>
                <w:rFonts w:hint="eastAsia"/>
                <w:lang w:val="en-US" w:eastAsia="zh-CN"/>
              </w:rPr>
              <w:t>＜80</w:t>
            </w:r>
          </w:p>
        </w:tc>
        <w:tc>
          <w:tcPr>
            <w:tcW w:w="486" w:type="pct"/>
            <w:vMerge w:val="continue"/>
            <w:noWrap w:val="0"/>
            <w:vAlign w:val="center"/>
          </w:tcPr>
          <w:p>
            <w:pPr>
              <w:spacing w:line="300" w:lineRule="exact"/>
              <w:ind w:firstLine="0" w:firstLineChars="0"/>
              <w:jc w:val="center"/>
              <w:rPr>
                <w:bCs/>
                <w:sz w:val="21"/>
                <w:szCs w:val="21"/>
              </w:rPr>
            </w:pPr>
          </w:p>
        </w:tc>
      </w:tr>
    </w:tbl>
    <w:p>
      <w:r>
        <w:t>验收监测期间，脱水污泥监测结果表明：污泥含水率符合《城镇污水处理厂污染物排放标准》（GB18918-2002）标准要求。</w:t>
      </w:r>
    </w:p>
    <w:bookmarkEnd w:id="124"/>
    <w:bookmarkEnd w:id="125"/>
    <w:p>
      <w:pPr>
        <w:rPr>
          <w:rFonts w:ascii="Times New Roman" w:hAnsi="Times New Roman" w:eastAsia="宋体" w:cs="Times New Roman"/>
        </w:rPr>
      </w:pPr>
      <w:bookmarkStart w:id="126" w:name="_Toc24749"/>
      <w:bookmarkStart w:id="127" w:name="_Toc23972"/>
      <w:r>
        <w:rPr>
          <w:rFonts w:ascii="Times New Roman" w:hAnsi="Times New Roman" w:eastAsia="宋体" w:cs="Times New Roman"/>
        </w:rPr>
        <w:t>验收监测报告见附件11。</w:t>
      </w:r>
    </w:p>
    <w:p>
      <w:pPr>
        <w:pStyle w:val="5"/>
        <w:keepLines w:val="0"/>
        <w:numPr>
          <w:ilvl w:val="1"/>
          <w:numId w:val="0"/>
        </w:numPr>
        <w:tabs>
          <w:tab w:val="left" w:pos="1134"/>
        </w:tabs>
        <w:adjustRightInd/>
        <w:textAlignment w:val="auto"/>
        <w:rPr>
          <w:bCs/>
          <w:szCs w:val="30"/>
        </w:rPr>
      </w:pPr>
      <w:bookmarkStart w:id="128" w:name="_Toc15129"/>
      <w:r>
        <w:rPr>
          <w:rFonts w:hint="eastAsia"/>
          <w:bCs/>
          <w:szCs w:val="30"/>
          <w:lang w:val="en-US" w:eastAsia="zh-CN"/>
        </w:rPr>
        <w:t>9.4</w:t>
      </w:r>
      <w:r>
        <w:rPr>
          <w:bCs/>
          <w:szCs w:val="30"/>
        </w:rPr>
        <w:t>污染物排放</w:t>
      </w:r>
      <w:r>
        <w:rPr>
          <w:rFonts w:hint="eastAsia"/>
          <w:bCs/>
          <w:szCs w:val="30"/>
        </w:rPr>
        <w:t>总量</w:t>
      </w:r>
      <w:r>
        <w:rPr>
          <w:bCs/>
          <w:szCs w:val="30"/>
        </w:rPr>
        <w:t>核算</w:t>
      </w:r>
      <w:bookmarkEnd w:id="126"/>
      <w:bookmarkEnd w:id="128"/>
    </w:p>
    <w:p>
      <w:r>
        <w:t>根据</w:t>
      </w:r>
      <w:r>
        <w:rPr>
          <w:rFonts w:hint="eastAsia"/>
          <w:lang w:eastAsia="zh-CN"/>
        </w:rPr>
        <w:t>环评报告书</w:t>
      </w:r>
      <w:r>
        <w:t>及批复要求，本项目实际污染物排放量见表9-</w:t>
      </w:r>
      <w:r>
        <w:rPr>
          <w:rFonts w:hint="eastAsia"/>
        </w:rPr>
        <w:t>10</w:t>
      </w:r>
      <w:r>
        <w:t>；</w:t>
      </w:r>
    </w:p>
    <w:p>
      <w:pPr>
        <w:pStyle w:val="28"/>
        <w:ind w:firstLine="482"/>
        <w:jc w:val="right"/>
        <w:rPr>
          <w:rFonts w:hint="eastAsia"/>
        </w:rPr>
      </w:pPr>
      <w:r>
        <w:t>表9-</w:t>
      </w:r>
      <w:r>
        <w:rPr>
          <w:rFonts w:hint="eastAsia"/>
        </w:rPr>
        <w:t>10</w:t>
      </w:r>
      <w:r>
        <w:t xml:space="preserve">  污染物排放总量</w:t>
      </w:r>
      <w:r>
        <w:rPr>
          <w:rFonts w:hint="eastAsia"/>
        </w:rPr>
        <w:t xml:space="preserve">                单位：t/a</w:t>
      </w:r>
    </w:p>
    <w:tbl>
      <w:tblPr>
        <w:tblStyle w:val="19"/>
        <w:tblW w:w="4996"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2134"/>
        <w:gridCol w:w="2168"/>
        <w:gridCol w:w="2132"/>
        <w:gridCol w:w="183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7" w:type="pct"/>
            <w:noWrap w:val="0"/>
            <w:vAlign w:val="center"/>
          </w:tcPr>
          <w:p>
            <w:pPr>
              <w:adjustRightInd w:val="0"/>
              <w:snapToGrid w:val="0"/>
              <w:spacing w:line="300" w:lineRule="exact"/>
              <w:ind w:firstLine="0" w:firstLineChars="0"/>
              <w:jc w:val="center"/>
              <w:textAlignment w:val="baseline"/>
              <w:rPr>
                <w:b/>
                <w:bCs/>
                <w:kern w:val="0"/>
                <w:sz w:val="21"/>
                <w:szCs w:val="21"/>
              </w:rPr>
            </w:pPr>
            <w:r>
              <w:rPr>
                <w:b/>
                <w:bCs/>
                <w:kern w:val="0"/>
                <w:sz w:val="21"/>
                <w:szCs w:val="21"/>
              </w:rPr>
              <w:t>类别</w:t>
            </w:r>
          </w:p>
        </w:tc>
        <w:tc>
          <w:tcPr>
            <w:tcW w:w="1149" w:type="pct"/>
            <w:noWrap w:val="0"/>
            <w:vAlign w:val="center"/>
          </w:tcPr>
          <w:p>
            <w:pPr>
              <w:adjustRightInd w:val="0"/>
              <w:snapToGrid w:val="0"/>
              <w:spacing w:line="300" w:lineRule="exact"/>
              <w:ind w:firstLine="0" w:firstLineChars="0"/>
              <w:jc w:val="center"/>
              <w:textAlignment w:val="baseline"/>
              <w:rPr>
                <w:b/>
                <w:bCs/>
                <w:kern w:val="0"/>
                <w:sz w:val="21"/>
                <w:szCs w:val="21"/>
              </w:rPr>
            </w:pPr>
            <w:r>
              <w:rPr>
                <w:b/>
                <w:bCs/>
                <w:kern w:val="0"/>
                <w:sz w:val="21"/>
                <w:szCs w:val="21"/>
              </w:rPr>
              <w:t>污染物名称</w:t>
            </w:r>
          </w:p>
        </w:tc>
        <w:tc>
          <w:tcPr>
            <w:tcW w:w="1167" w:type="pct"/>
            <w:noWrap w:val="0"/>
            <w:vAlign w:val="center"/>
          </w:tcPr>
          <w:p>
            <w:pPr>
              <w:adjustRightInd w:val="0"/>
              <w:snapToGrid w:val="0"/>
              <w:spacing w:line="300" w:lineRule="exact"/>
              <w:ind w:firstLine="0" w:firstLineChars="0"/>
              <w:jc w:val="center"/>
              <w:textAlignment w:val="baseline"/>
              <w:rPr>
                <w:rFonts w:hint="eastAsia" w:eastAsia="宋体"/>
                <w:b/>
                <w:bCs/>
                <w:kern w:val="0"/>
                <w:sz w:val="21"/>
                <w:szCs w:val="21"/>
                <w:lang w:eastAsia="zh-CN"/>
              </w:rPr>
            </w:pPr>
            <w:r>
              <w:rPr>
                <w:rFonts w:hint="eastAsia"/>
                <w:b/>
                <w:bCs/>
                <w:kern w:val="0"/>
                <w:sz w:val="21"/>
                <w:szCs w:val="21"/>
                <w:lang w:eastAsia="zh-CN"/>
              </w:rPr>
              <w:t>全厂核定排放量</w:t>
            </w:r>
          </w:p>
        </w:tc>
        <w:tc>
          <w:tcPr>
            <w:tcW w:w="1148" w:type="pct"/>
            <w:noWrap w:val="0"/>
            <w:vAlign w:val="center"/>
          </w:tcPr>
          <w:p>
            <w:pPr>
              <w:adjustRightInd w:val="0"/>
              <w:snapToGrid w:val="0"/>
              <w:spacing w:line="300" w:lineRule="exact"/>
              <w:ind w:firstLine="0" w:firstLineChars="0"/>
              <w:jc w:val="center"/>
              <w:textAlignment w:val="baseline"/>
              <w:rPr>
                <w:rFonts w:hint="eastAsia"/>
                <w:b/>
                <w:bCs/>
                <w:kern w:val="0"/>
                <w:sz w:val="21"/>
                <w:szCs w:val="21"/>
                <w:lang w:eastAsia="zh-CN"/>
              </w:rPr>
            </w:pPr>
            <w:r>
              <w:rPr>
                <w:rFonts w:hint="eastAsia"/>
                <w:b/>
                <w:bCs/>
                <w:kern w:val="0"/>
                <w:sz w:val="21"/>
                <w:szCs w:val="21"/>
                <w:lang w:eastAsia="zh-CN"/>
              </w:rPr>
              <w:t>全厂排放量</w:t>
            </w:r>
          </w:p>
        </w:tc>
        <w:tc>
          <w:tcPr>
            <w:tcW w:w="986" w:type="pct"/>
            <w:noWrap w:val="0"/>
            <w:vAlign w:val="center"/>
          </w:tcPr>
          <w:p>
            <w:pPr>
              <w:adjustRightInd w:val="0"/>
              <w:snapToGrid w:val="0"/>
              <w:spacing w:line="300" w:lineRule="exact"/>
              <w:ind w:firstLine="0" w:firstLineChars="0"/>
              <w:jc w:val="center"/>
              <w:textAlignment w:val="baseline"/>
              <w:rPr>
                <w:rFonts w:hint="eastAsia" w:ascii="Times New Roman" w:hAnsi="Times New Roman"/>
                <w:b/>
                <w:bCs/>
                <w:kern w:val="0"/>
                <w:sz w:val="21"/>
                <w:szCs w:val="21"/>
                <w:lang w:val="en-US" w:eastAsia="zh-CN" w:bidi="ar-SA"/>
              </w:rPr>
            </w:pPr>
            <w:r>
              <w:rPr>
                <w:rFonts w:hint="eastAsia"/>
                <w:b/>
                <w:bCs/>
                <w:kern w:val="0"/>
                <w:sz w:val="21"/>
                <w:szCs w:val="21"/>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7" w:type="pct"/>
            <w:vMerge w:val="restart"/>
            <w:noWrap w:val="0"/>
            <w:vAlign w:val="center"/>
          </w:tcPr>
          <w:p>
            <w:pPr>
              <w:adjustRightInd w:val="0"/>
              <w:snapToGrid w:val="0"/>
              <w:spacing w:line="300" w:lineRule="exact"/>
              <w:ind w:firstLine="0" w:firstLineChars="0"/>
              <w:jc w:val="center"/>
              <w:textAlignment w:val="baseline"/>
              <w:rPr>
                <w:kern w:val="0"/>
                <w:sz w:val="21"/>
                <w:szCs w:val="21"/>
              </w:rPr>
            </w:pPr>
            <w:r>
              <w:rPr>
                <w:kern w:val="0"/>
                <w:sz w:val="21"/>
                <w:szCs w:val="21"/>
              </w:rPr>
              <w:t>废水</w:t>
            </w:r>
          </w:p>
        </w:tc>
        <w:tc>
          <w:tcPr>
            <w:tcW w:w="1149" w:type="pct"/>
            <w:noWrap w:val="0"/>
            <w:vAlign w:val="center"/>
          </w:tcPr>
          <w:p>
            <w:pPr>
              <w:adjustRightInd w:val="0"/>
              <w:snapToGrid w:val="0"/>
              <w:spacing w:line="300" w:lineRule="exact"/>
              <w:ind w:firstLine="0" w:firstLineChars="0"/>
              <w:jc w:val="center"/>
              <w:textAlignment w:val="baseline"/>
              <w:rPr>
                <w:rFonts w:hint="eastAsia" w:ascii="Times New Roman" w:hAnsi="Times New Roman"/>
                <w:kern w:val="0"/>
                <w:sz w:val="21"/>
                <w:szCs w:val="21"/>
                <w:lang w:val="en-US" w:eastAsia="zh-CN" w:bidi="ar-SA"/>
              </w:rPr>
            </w:pPr>
            <w:r>
              <w:rPr>
                <w:rFonts w:hint="eastAsia"/>
                <w:kern w:val="0"/>
                <w:sz w:val="21"/>
                <w:szCs w:val="21"/>
                <w:lang w:val="en-US" w:eastAsia="zh-CN"/>
              </w:rPr>
              <w:t>COD</w:t>
            </w:r>
            <w:r>
              <w:rPr>
                <w:rFonts w:hint="eastAsia"/>
                <w:kern w:val="0"/>
                <w:sz w:val="21"/>
                <w:szCs w:val="21"/>
                <w:vertAlign w:val="subscript"/>
                <w:lang w:val="en-US" w:eastAsia="zh-CN"/>
              </w:rPr>
              <w:t>Cr</w:t>
            </w:r>
          </w:p>
        </w:tc>
        <w:tc>
          <w:tcPr>
            <w:tcW w:w="1167" w:type="pct"/>
            <w:noWrap w:val="0"/>
            <w:vAlign w:val="center"/>
          </w:tcPr>
          <w:p>
            <w:pPr>
              <w:adjustRightInd w:val="0"/>
              <w:snapToGrid w:val="0"/>
              <w:spacing w:line="300" w:lineRule="exact"/>
              <w:ind w:firstLine="0" w:firstLineChars="0"/>
              <w:jc w:val="center"/>
              <w:textAlignment w:val="baseline"/>
              <w:rPr>
                <w:rFonts w:hint="default" w:ascii="Times New Roman" w:hAnsi="Times New Roman"/>
                <w:kern w:val="0"/>
                <w:sz w:val="21"/>
                <w:szCs w:val="21"/>
                <w:lang w:val="en-US" w:eastAsia="zh-CN" w:bidi="ar-SA"/>
              </w:rPr>
            </w:pPr>
            <w:r>
              <w:rPr>
                <w:rFonts w:hint="eastAsia"/>
                <w:kern w:val="0"/>
                <w:sz w:val="21"/>
                <w:szCs w:val="21"/>
                <w:lang w:val="en-US" w:eastAsia="zh-CN" w:bidi="ar-SA"/>
              </w:rPr>
              <w:t>14.6</w:t>
            </w:r>
          </w:p>
        </w:tc>
        <w:tc>
          <w:tcPr>
            <w:tcW w:w="1148" w:type="pct"/>
            <w:noWrap w:val="0"/>
            <w:vAlign w:val="center"/>
          </w:tcPr>
          <w:p>
            <w:pPr>
              <w:adjustRightInd w:val="0"/>
              <w:snapToGrid w:val="0"/>
              <w:spacing w:line="300" w:lineRule="exact"/>
              <w:ind w:firstLine="0" w:firstLineChars="0"/>
              <w:jc w:val="center"/>
              <w:textAlignment w:val="baseline"/>
              <w:rPr>
                <w:rFonts w:hint="default" w:ascii="Times New Roman" w:hAnsi="Times New Roman"/>
                <w:kern w:val="0"/>
                <w:sz w:val="21"/>
                <w:szCs w:val="21"/>
                <w:lang w:val="en-US" w:eastAsia="zh-CN" w:bidi="ar-SA"/>
              </w:rPr>
            </w:pPr>
            <w:r>
              <w:rPr>
                <w:rFonts w:hint="eastAsia"/>
                <w:kern w:val="0"/>
                <w:sz w:val="21"/>
                <w:szCs w:val="21"/>
                <w:lang w:val="en-US" w:eastAsia="zh-CN" w:bidi="ar-SA"/>
              </w:rPr>
              <w:t>10.22</w:t>
            </w:r>
          </w:p>
        </w:tc>
        <w:tc>
          <w:tcPr>
            <w:tcW w:w="986" w:type="pct"/>
            <w:vMerge w:val="restart"/>
            <w:noWrap w:val="0"/>
            <w:vAlign w:val="center"/>
          </w:tcPr>
          <w:p>
            <w:pPr>
              <w:spacing w:line="320" w:lineRule="exact"/>
              <w:ind w:firstLine="0" w:firstLineChars="0"/>
              <w:jc w:val="center"/>
              <w:rPr>
                <w:rFonts w:hint="eastAsia" w:ascii="Times New Roman" w:hAnsi="Times New Roman"/>
                <w:kern w:val="0"/>
                <w:sz w:val="21"/>
                <w:szCs w:val="21"/>
                <w:lang w:val="en-US" w:eastAsia="zh-CN" w:bidi="ar-SA"/>
              </w:rPr>
            </w:pPr>
            <w:r>
              <w:rPr>
                <w:rFonts w:hint="eastAsia"/>
                <w:kern w:val="0"/>
                <w:sz w:val="21"/>
                <w:szCs w:val="21"/>
              </w:rPr>
              <w:t>按日均水量1000m</w:t>
            </w:r>
            <w:r>
              <w:rPr>
                <w:rFonts w:hint="eastAsia"/>
                <w:kern w:val="0"/>
                <w:sz w:val="21"/>
                <w:szCs w:val="21"/>
                <w:vertAlign w:val="superscript"/>
              </w:rPr>
              <w:t>3</w:t>
            </w:r>
            <w:r>
              <w:rPr>
                <w:rFonts w:hint="eastAsia"/>
                <w:kern w:val="0"/>
                <w:sz w:val="21"/>
                <w:szCs w:val="21"/>
              </w:rPr>
              <w:t>/d计算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7" w:type="pct"/>
            <w:vMerge w:val="continue"/>
            <w:noWrap w:val="0"/>
            <w:vAlign w:val="center"/>
          </w:tcPr>
          <w:p>
            <w:pPr>
              <w:adjustRightInd w:val="0"/>
              <w:snapToGrid w:val="0"/>
              <w:spacing w:line="300" w:lineRule="exact"/>
              <w:ind w:firstLine="0" w:firstLineChars="0"/>
              <w:jc w:val="center"/>
              <w:textAlignment w:val="baseline"/>
              <w:rPr>
                <w:kern w:val="0"/>
                <w:sz w:val="21"/>
                <w:szCs w:val="21"/>
              </w:rPr>
            </w:pPr>
          </w:p>
        </w:tc>
        <w:tc>
          <w:tcPr>
            <w:tcW w:w="1149" w:type="pct"/>
            <w:noWrap w:val="0"/>
            <w:vAlign w:val="center"/>
          </w:tcPr>
          <w:p>
            <w:pPr>
              <w:adjustRightInd w:val="0"/>
              <w:snapToGrid w:val="0"/>
              <w:spacing w:line="300" w:lineRule="exact"/>
              <w:ind w:firstLine="0" w:firstLineChars="0"/>
              <w:jc w:val="center"/>
              <w:textAlignment w:val="baseline"/>
              <w:rPr>
                <w:rFonts w:hint="eastAsia" w:ascii="Times New Roman" w:hAnsi="Times New Roman"/>
                <w:kern w:val="0"/>
                <w:sz w:val="21"/>
                <w:szCs w:val="21"/>
                <w:lang w:val="en-US" w:eastAsia="zh-CN" w:bidi="ar-SA"/>
              </w:rPr>
            </w:pPr>
            <w:r>
              <w:rPr>
                <w:rFonts w:hint="eastAsia"/>
                <w:kern w:val="0"/>
                <w:sz w:val="21"/>
                <w:szCs w:val="21"/>
                <w:lang w:val="en-US" w:eastAsia="zh-CN"/>
              </w:rPr>
              <w:t>NH</w:t>
            </w:r>
            <w:r>
              <w:rPr>
                <w:rFonts w:hint="eastAsia"/>
                <w:kern w:val="0"/>
                <w:sz w:val="21"/>
                <w:szCs w:val="21"/>
                <w:vertAlign w:val="subscript"/>
                <w:lang w:val="en-US" w:eastAsia="zh-CN"/>
              </w:rPr>
              <w:t>3</w:t>
            </w:r>
            <w:r>
              <w:rPr>
                <w:rFonts w:hint="eastAsia"/>
                <w:kern w:val="0"/>
                <w:sz w:val="21"/>
                <w:szCs w:val="21"/>
                <w:lang w:val="en-US" w:eastAsia="zh-CN"/>
              </w:rPr>
              <w:t>-N</w:t>
            </w:r>
          </w:p>
        </w:tc>
        <w:tc>
          <w:tcPr>
            <w:tcW w:w="1167" w:type="pct"/>
            <w:noWrap w:val="0"/>
            <w:vAlign w:val="center"/>
          </w:tcPr>
          <w:p>
            <w:pPr>
              <w:adjustRightInd w:val="0"/>
              <w:snapToGrid w:val="0"/>
              <w:spacing w:line="300" w:lineRule="exact"/>
              <w:ind w:firstLine="0" w:firstLineChars="0"/>
              <w:jc w:val="center"/>
              <w:textAlignment w:val="baseline"/>
              <w:rPr>
                <w:rFonts w:hint="default" w:ascii="Times New Roman" w:hAnsi="Times New Roman"/>
                <w:kern w:val="0"/>
                <w:sz w:val="21"/>
                <w:szCs w:val="21"/>
                <w:lang w:val="en-US" w:eastAsia="zh-CN" w:bidi="ar-SA"/>
              </w:rPr>
            </w:pPr>
            <w:r>
              <w:rPr>
                <w:rFonts w:hint="eastAsia"/>
                <w:kern w:val="0"/>
                <w:sz w:val="21"/>
                <w:szCs w:val="21"/>
                <w:lang w:val="en-US" w:eastAsia="zh-CN" w:bidi="ar-SA"/>
              </w:rPr>
              <w:t>1.095</w:t>
            </w:r>
          </w:p>
        </w:tc>
        <w:tc>
          <w:tcPr>
            <w:tcW w:w="1148" w:type="pct"/>
            <w:noWrap w:val="0"/>
            <w:vAlign w:val="center"/>
          </w:tcPr>
          <w:p>
            <w:pPr>
              <w:adjustRightInd w:val="0"/>
              <w:snapToGrid w:val="0"/>
              <w:spacing w:line="300" w:lineRule="exact"/>
              <w:ind w:firstLine="0" w:firstLineChars="0"/>
              <w:jc w:val="center"/>
              <w:textAlignment w:val="baseline"/>
              <w:rPr>
                <w:rFonts w:hint="default" w:ascii="Times New Roman" w:hAnsi="Times New Roman"/>
                <w:kern w:val="0"/>
                <w:sz w:val="21"/>
                <w:szCs w:val="21"/>
                <w:lang w:val="en-US" w:eastAsia="zh-CN" w:bidi="ar-SA"/>
              </w:rPr>
            </w:pPr>
            <w:r>
              <w:rPr>
                <w:rFonts w:hint="eastAsia"/>
                <w:kern w:val="0"/>
                <w:sz w:val="21"/>
                <w:szCs w:val="21"/>
                <w:lang w:val="en-US" w:eastAsia="zh-CN" w:bidi="ar-SA"/>
              </w:rPr>
              <w:t>0.383</w:t>
            </w:r>
          </w:p>
        </w:tc>
        <w:tc>
          <w:tcPr>
            <w:tcW w:w="986" w:type="pct"/>
            <w:vMerge w:val="continue"/>
            <w:noWrap w:val="0"/>
            <w:vAlign w:val="center"/>
          </w:tcPr>
          <w:p>
            <w:pPr>
              <w:spacing w:line="320" w:lineRule="exact"/>
              <w:ind w:firstLine="0" w:firstLineChars="0"/>
              <w:jc w:val="center"/>
              <w:rPr>
                <w:rFonts w:hint="eastAsia" w:ascii="Times New Roman" w:hAnsi="Times New Roman"/>
                <w:kern w:val="0"/>
                <w:sz w:val="21"/>
                <w:szCs w:val="21"/>
                <w:lang w:val="en-US" w:eastAsia="zh-CN" w:bidi="ar-SA"/>
              </w:rPr>
            </w:pPr>
          </w:p>
        </w:tc>
      </w:tr>
    </w:tbl>
    <w:p>
      <w:pPr>
        <w:spacing w:line="240" w:lineRule="auto"/>
        <w:ind w:firstLine="0" w:firstLineChars="0"/>
        <w:rPr>
          <w:b/>
          <w:sz w:val="21"/>
          <w:szCs w:val="21"/>
        </w:rPr>
      </w:pPr>
      <w:r>
        <w:rPr>
          <w:b/>
          <w:sz w:val="21"/>
          <w:szCs w:val="21"/>
        </w:rPr>
        <w:t>备注：以实际监测数据计算。</w:t>
      </w:r>
    </w:p>
    <w:p/>
    <w:p>
      <w:pPr>
        <w:pStyle w:val="11"/>
        <w:ind w:left="560" w:firstLine="420"/>
        <w:sectPr>
          <w:pgSz w:w="11906" w:h="16838"/>
          <w:pgMar w:top="1134" w:right="1417" w:bottom="1134" w:left="1417" w:header="850" w:footer="850" w:gutter="0"/>
          <w:pgBorders>
            <w:top w:val="none" w:sz="0" w:space="0"/>
            <w:left w:val="none" w:sz="0" w:space="0"/>
            <w:bottom w:val="none" w:sz="0" w:space="0"/>
            <w:right w:val="none" w:sz="0" w:space="0"/>
          </w:pgBorders>
          <w:pgNumType w:fmt="decimal"/>
          <w:cols w:space="720" w:num="1"/>
          <w:docGrid w:type="lines" w:linePitch="416" w:charSpace="0"/>
        </w:sectPr>
      </w:pPr>
    </w:p>
    <w:bookmarkEnd w:id="127"/>
    <w:p>
      <w:pPr>
        <w:ind w:firstLine="0" w:firstLineChars="0"/>
        <w:outlineLvl w:val="0"/>
        <w:rPr>
          <w:b/>
          <w:sz w:val="32"/>
          <w:szCs w:val="32"/>
        </w:rPr>
      </w:pPr>
      <w:bookmarkStart w:id="129" w:name="_Toc16571"/>
      <w:r>
        <w:rPr>
          <w:b/>
          <w:sz w:val="32"/>
          <w:szCs w:val="32"/>
        </w:rPr>
        <w:t>1</w:t>
      </w:r>
      <w:r>
        <w:rPr>
          <w:rFonts w:hint="eastAsia"/>
          <w:b/>
          <w:sz w:val="32"/>
          <w:szCs w:val="32"/>
          <w:lang w:val="en-US" w:eastAsia="zh-CN"/>
        </w:rPr>
        <w:t>0</w:t>
      </w:r>
      <w:r>
        <w:rPr>
          <w:b/>
          <w:sz w:val="32"/>
          <w:szCs w:val="32"/>
        </w:rPr>
        <w:t>验收监测结论</w:t>
      </w:r>
      <w:bookmarkEnd w:id="129"/>
    </w:p>
    <w:p>
      <w:pPr>
        <w:pStyle w:val="5"/>
        <w:keepLines w:val="0"/>
        <w:numPr>
          <w:ilvl w:val="1"/>
          <w:numId w:val="0"/>
        </w:numPr>
        <w:tabs>
          <w:tab w:val="left" w:pos="1134"/>
        </w:tabs>
        <w:adjustRightInd/>
        <w:textAlignment w:val="auto"/>
        <w:rPr>
          <w:bCs/>
          <w:szCs w:val="30"/>
        </w:rPr>
      </w:pPr>
      <w:bookmarkStart w:id="130" w:name="_Toc7765"/>
      <w:r>
        <w:rPr>
          <w:bCs/>
          <w:szCs w:val="30"/>
        </w:rPr>
        <w:t>1</w:t>
      </w:r>
      <w:r>
        <w:rPr>
          <w:rFonts w:hint="eastAsia"/>
          <w:bCs/>
          <w:szCs w:val="30"/>
          <w:lang w:val="en-US" w:eastAsia="zh-CN"/>
        </w:rPr>
        <w:t>0</w:t>
      </w:r>
      <w:r>
        <w:rPr>
          <w:bCs/>
          <w:szCs w:val="30"/>
        </w:rPr>
        <w:t>.1环保设施处理效率监测结果</w:t>
      </w:r>
      <w:bookmarkEnd w:id="130"/>
    </w:p>
    <w:p>
      <w:bookmarkStart w:id="131" w:name="_Toc28496"/>
      <w:bookmarkStart w:id="132" w:name="_Toc519171359"/>
      <w:r>
        <w:t>验收监测期间，本项目污水处理效率：化学需氧量的日均处理效率为</w:t>
      </w:r>
      <w:r>
        <w:rPr>
          <w:rFonts w:hint="eastAsia"/>
          <w:lang w:val="en-US" w:eastAsia="zh-CN"/>
        </w:rPr>
        <w:t>82.57</w:t>
      </w:r>
      <w:r>
        <w:t>%；氨氮的日均处理效率为</w:t>
      </w:r>
      <w:r>
        <w:rPr>
          <w:rFonts w:hint="eastAsia"/>
        </w:rPr>
        <w:t>9</w:t>
      </w:r>
      <w:r>
        <w:rPr>
          <w:rFonts w:hint="eastAsia"/>
          <w:lang w:val="en-US" w:eastAsia="zh-CN"/>
        </w:rPr>
        <w:t>4</w:t>
      </w:r>
      <w:r>
        <w:rPr>
          <w:rFonts w:hint="eastAsia"/>
        </w:rPr>
        <w:t>.37</w:t>
      </w:r>
      <w:r>
        <w:t>%；总磷的日均处理效率为</w:t>
      </w:r>
      <w:r>
        <w:rPr>
          <w:rFonts w:hint="eastAsia"/>
          <w:lang w:val="en-US" w:eastAsia="zh-CN"/>
        </w:rPr>
        <w:t>50</w:t>
      </w:r>
      <w:r>
        <w:t>%</w:t>
      </w:r>
      <w:r>
        <w:rPr>
          <w:rFonts w:hint="eastAsia"/>
          <w:lang w:eastAsia="zh-CN"/>
        </w:rPr>
        <w:t>；</w:t>
      </w:r>
      <w:r>
        <w:t>总</w:t>
      </w:r>
      <w:r>
        <w:rPr>
          <w:rFonts w:hint="eastAsia"/>
          <w:lang w:val="en-US" w:eastAsia="zh-CN"/>
        </w:rPr>
        <w:t>氮</w:t>
      </w:r>
      <w:r>
        <w:t>的日均处理效率为</w:t>
      </w:r>
      <w:r>
        <w:rPr>
          <w:rFonts w:hint="eastAsia"/>
          <w:lang w:val="en-US" w:eastAsia="zh-CN"/>
        </w:rPr>
        <w:t>93.01</w:t>
      </w:r>
      <w:r>
        <w:t>%。</w:t>
      </w:r>
    </w:p>
    <w:p>
      <w:pPr>
        <w:pStyle w:val="5"/>
        <w:keepLines w:val="0"/>
        <w:numPr>
          <w:ilvl w:val="1"/>
          <w:numId w:val="0"/>
        </w:numPr>
        <w:tabs>
          <w:tab w:val="left" w:pos="1134"/>
        </w:tabs>
        <w:adjustRightInd/>
        <w:textAlignment w:val="auto"/>
        <w:rPr>
          <w:bCs/>
          <w:szCs w:val="30"/>
        </w:rPr>
      </w:pPr>
      <w:bookmarkStart w:id="133" w:name="_Toc1522"/>
      <w:r>
        <w:rPr>
          <w:bCs/>
          <w:szCs w:val="30"/>
        </w:rPr>
        <w:t>1</w:t>
      </w:r>
      <w:r>
        <w:rPr>
          <w:rFonts w:hint="eastAsia"/>
          <w:bCs/>
          <w:szCs w:val="30"/>
          <w:lang w:val="en-US" w:eastAsia="zh-CN"/>
        </w:rPr>
        <w:t>0</w:t>
      </w:r>
      <w:r>
        <w:rPr>
          <w:bCs/>
          <w:szCs w:val="30"/>
        </w:rPr>
        <w:t>.</w:t>
      </w:r>
      <w:bookmarkEnd w:id="131"/>
      <w:r>
        <w:rPr>
          <w:bCs/>
          <w:szCs w:val="30"/>
        </w:rPr>
        <w:t>2污染物排放监测（检查）结果</w:t>
      </w:r>
      <w:bookmarkEnd w:id="133"/>
    </w:p>
    <w:p>
      <w:pPr>
        <w:pStyle w:val="6"/>
        <w:wordWrap w:val="0"/>
        <w:topLinePunct/>
        <w:jc w:val="both"/>
        <w:rPr>
          <w:kern w:val="2"/>
          <w:szCs w:val="28"/>
        </w:rPr>
      </w:pPr>
      <w:r>
        <w:rPr>
          <w:kern w:val="2"/>
          <w:szCs w:val="28"/>
        </w:rPr>
        <w:t>1</w:t>
      </w:r>
      <w:r>
        <w:rPr>
          <w:rFonts w:hint="eastAsia"/>
          <w:kern w:val="2"/>
          <w:szCs w:val="28"/>
          <w:lang w:val="en-US" w:eastAsia="zh-CN"/>
        </w:rPr>
        <w:t>0</w:t>
      </w:r>
      <w:r>
        <w:rPr>
          <w:kern w:val="2"/>
          <w:szCs w:val="28"/>
        </w:rPr>
        <w:t>.2.1废水</w:t>
      </w:r>
    </w:p>
    <w:p>
      <w:r>
        <w:t>验收监测期间，项目</w:t>
      </w:r>
      <w:r>
        <w:rPr>
          <w:rFonts w:hint="eastAsia"/>
          <w:lang w:eastAsia="zh-CN"/>
        </w:rPr>
        <w:t>排水</w:t>
      </w:r>
      <w:r>
        <w:t>水质监测结果表明：pH范围、悬浮物、阴离子表面活性剂、动植物油、石油类、粪大肠菌群的日均排放浓度均符合《城镇污水处理厂污染物排放标准》（GB18918-2002）“表1”中一级A标准；总汞、六价铬、总铬、总砷、总汞、总铅、总镉、烷基汞的日均排放浓度均符合《城镇污水处理厂污染物排放标准》（GB18918-2002）“表2”标准；化学需氧量、五日生化需氧量、总磷、总氮、氨氮的日均排放浓度均符合《四川省岷江、沱江流域水污染物排放标准》（DB51/2311-2016）“表1”标准。</w:t>
      </w:r>
    </w:p>
    <w:p>
      <w:pPr>
        <w:pStyle w:val="6"/>
        <w:wordWrap w:val="0"/>
        <w:topLinePunct/>
        <w:jc w:val="both"/>
        <w:rPr>
          <w:kern w:val="2"/>
          <w:szCs w:val="28"/>
        </w:rPr>
      </w:pPr>
      <w:r>
        <w:rPr>
          <w:kern w:val="2"/>
          <w:szCs w:val="28"/>
        </w:rPr>
        <w:t>1</w:t>
      </w:r>
      <w:r>
        <w:rPr>
          <w:rFonts w:hint="eastAsia"/>
          <w:kern w:val="2"/>
          <w:szCs w:val="28"/>
          <w:lang w:val="en-US" w:eastAsia="zh-CN"/>
        </w:rPr>
        <w:t>0</w:t>
      </w:r>
      <w:r>
        <w:rPr>
          <w:kern w:val="2"/>
          <w:szCs w:val="28"/>
        </w:rPr>
        <w:t>.2.2废气</w:t>
      </w:r>
      <w:bookmarkEnd w:id="132"/>
    </w:p>
    <w:p>
      <w:r>
        <w:t>验收监测期间，项目废气（有组织）排放监测结果表明：氨、硫化氢、臭气浓度的排放浓度均符合恶臭污染物排放标准</w:t>
      </w:r>
      <w:r>
        <w:rPr>
          <w:rFonts w:hint="eastAsia"/>
        </w:rPr>
        <w:t>（</w:t>
      </w:r>
      <w:r>
        <w:t>GB14554-93</w:t>
      </w:r>
      <w:r>
        <w:rPr>
          <w:rFonts w:hint="eastAsia"/>
        </w:rPr>
        <w:t>）</w:t>
      </w:r>
      <w:r>
        <w:t>“表2”标准要求；项目废气（无组织）排放监测结果表明：氨、硫化氢、臭气浓度、甲烷的排放浓度均符合《城镇污水处理厂污染物排放标准》</w:t>
      </w:r>
      <w:r>
        <w:rPr>
          <w:rFonts w:hint="eastAsia"/>
        </w:rPr>
        <w:t>（</w:t>
      </w:r>
      <w:r>
        <w:t>GB18918-2002</w:t>
      </w:r>
      <w:r>
        <w:rPr>
          <w:rFonts w:hint="eastAsia"/>
        </w:rPr>
        <w:t>）</w:t>
      </w:r>
      <w:r>
        <w:rPr>
          <w:highlight w:val="none"/>
        </w:rPr>
        <w:t>“表4”中的</w:t>
      </w:r>
      <w:r>
        <w:t>二级标准要求。</w:t>
      </w:r>
    </w:p>
    <w:p>
      <w:pPr>
        <w:pStyle w:val="6"/>
        <w:wordWrap w:val="0"/>
        <w:topLinePunct/>
        <w:jc w:val="both"/>
        <w:rPr>
          <w:kern w:val="2"/>
          <w:szCs w:val="28"/>
        </w:rPr>
      </w:pPr>
      <w:r>
        <w:rPr>
          <w:kern w:val="2"/>
          <w:szCs w:val="28"/>
        </w:rPr>
        <w:t>1</w:t>
      </w:r>
      <w:r>
        <w:rPr>
          <w:rFonts w:hint="eastAsia"/>
          <w:kern w:val="2"/>
          <w:szCs w:val="28"/>
          <w:lang w:val="en-US" w:eastAsia="zh-CN"/>
        </w:rPr>
        <w:t>0</w:t>
      </w:r>
      <w:r>
        <w:rPr>
          <w:kern w:val="2"/>
          <w:szCs w:val="28"/>
        </w:rPr>
        <w:t>.2.3噪声</w:t>
      </w:r>
      <w:bookmarkStart w:id="134" w:name="_Toc519171361"/>
    </w:p>
    <w:p>
      <w:r>
        <w:t>验收监测期间，噪声监测结果表明：N1~N4点位，昼间、夜间噪声均符合《工业企业厂界环境噪声》排放标准</w:t>
      </w:r>
      <w:r>
        <w:rPr>
          <w:rFonts w:hint="eastAsia"/>
        </w:rPr>
        <w:t>（</w:t>
      </w:r>
      <w:r>
        <w:t>GB12348-2008</w:t>
      </w:r>
      <w:r>
        <w:rPr>
          <w:rFonts w:hint="eastAsia"/>
        </w:rPr>
        <w:t>）</w:t>
      </w:r>
      <w:r>
        <w:t>2类标准要求。</w:t>
      </w:r>
    </w:p>
    <w:p>
      <w:pPr>
        <w:pStyle w:val="6"/>
        <w:wordWrap w:val="0"/>
        <w:topLinePunct/>
        <w:jc w:val="both"/>
        <w:rPr>
          <w:kern w:val="2"/>
          <w:szCs w:val="28"/>
        </w:rPr>
      </w:pPr>
      <w:r>
        <w:rPr>
          <w:kern w:val="2"/>
          <w:szCs w:val="28"/>
        </w:rPr>
        <w:t>1</w:t>
      </w:r>
      <w:r>
        <w:rPr>
          <w:rFonts w:hint="eastAsia"/>
          <w:kern w:val="2"/>
          <w:szCs w:val="28"/>
          <w:lang w:val="en-US" w:eastAsia="zh-CN"/>
        </w:rPr>
        <w:t>0</w:t>
      </w:r>
      <w:r>
        <w:rPr>
          <w:kern w:val="2"/>
          <w:szCs w:val="28"/>
        </w:rPr>
        <w:t>.2.4固体废物</w:t>
      </w:r>
    </w:p>
    <w:p>
      <w:r>
        <w:t>验收监测期间，项目污泥运至四川环能新型建材有限公司</w:t>
      </w:r>
      <w:r>
        <w:rPr>
          <w:rFonts w:hint="eastAsia"/>
          <w:lang w:eastAsia="zh-CN"/>
        </w:rPr>
        <w:t>烧制</w:t>
      </w:r>
      <w:r>
        <w:t>陶粒，脱水污泥含水率小于80%，污泥含水率符合《城镇污水处理厂污染物排放标准》（GB18918-2002）标准要求。</w:t>
      </w:r>
    </w:p>
    <w:bookmarkEnd w:id="134"/>
    <w:p>
      <w:pPr>
        <w:pStyle w:val="6"/>
        <w:wordWrap w:val="0"/>
        <w:topLinePunct/>
        <w:jc w:val="both"/>
        <w:rPr>
          <w:kern w:val="2"/>
          <w:szCs w:val="28"/>
        </w:rPr>
      </w:pPr>
      <w:bookmarkStart w:id="135" w:name="_Toc519171362"/>
      <w:bookmarkStart w:id="136" w:name="_Toc10201"/>
      <w:r>
        <w:rPr>
          <w:kern w:val="2"/>
          <w:szCs w:val="28"/>
        </w:rPr>
        <w:t>1</w:t>
      </w:r>
      <w:r>
        <w:rPr>
          <w:rFonts w:hint="eastAsia"/>
          <w:kern w:val="2"/>
          <w:szCs w:val="28"/>
          <w:lang w:val="en-US" w:eastAsia="zh-CN"/>
        </w:rPr>
        <w:t>0</w:t>
      </w:r>
      <w:r>
        <w:rPr>
          <w:kern w:val="2"/>
          <w:szCs w:val="28"/>
        </w:rPr>
        <w:t>.2.</w:t>
      </w:r>
      <w:r>
        <w:rPr>
          <w:rFonts w:hint="eastAsia"/>
          <w:kern w:val="2"/>
          <w:szCs w:val="28"/>
          <w:lang w:val="en-US" w:eastAsia="zh-CN"/>
        </w:rPr>
        <w:t>5</w:t>
      </w:r>
      <w:r>
        <w:rPr>
          <w:kern w:val="2"/>
          <w:szCs w:val="28"/>
        </w:rPr>
        <w:t>总量控制</w:t>
      </w:r>
    </w:p>
    <w:p>
      <w:r>
        <w:t>项目总量控制指标均符合</w:t>
      </w:r>
      <w:r>
        <w:rPr>
          <w:rFonts w:hint="eastAsia"/>
          <w:lang w:eastAsia="zh-CN"/>
        </w:rPr>
        <w:t>环评报告书</w:t>
      </w:r>
      <w:r>
        <w:t>及环评批复给出的总量控制指标要求。</w:t>
      </w:r>
    </w:p>
    <w:p>
      <w:pPr>
        <w:pStyle w:val="5"/>
        <w:numPr>
          <w:ilvl w:val="0"/>
          <w:numId w:val="0"/>
        </w:numPr>
        <w:bidi w:val="0"/>
        <w:rPr>
          <w:lang w:val="en-US" w:eastAsia="zh-CN"/>
        </w:rPr>
      </w:pPr>
      <w:bookmarkStart w:id="137" w:name="_Toc10768"/>
      <w:r>
        <w:rPr>
          <w:rFonts w:hint="eastAsia"/>
          <w:lang w:val="en-US" w:eastAsia="zh-CN"/>
        </w:rPr>
        <w:t>10</w:t>
      </w:r>
      <w:r>
        <w:rPr>
          <w:lang w:val="en-US" w:eastAsia="zh-CN"/>
        </w:rPr>
        <w:t>.</w:t>
      </w:r>
      <w:r>
        <w:rPr>
          <w:rFonts w:hint="eastAsia"/>
          <w:lang w:val="en-US" w:eastAsia="zh-CN"/>
        </w:rPr>
        <w:t>3环境质量监测结果</w:t>
      </w:r>
      <w:bookmarkEnd w:id="137"/>
    </w:p>
    <w:p>
      <w:pPr>
        <w:rPr>
          <w:lang w:val="en-US" w:eastAsia="zh-CN"/>
        </w:rPr>
      </w:pPr>
      <w:r>
        <w:rPr>
          <w:rFonts w:hint="eastAsia"/>
          <w:lang w:val="en-US" w:eastAsia="zh-CN"/>
        </w:rPr>
        <w:t>验收监测期间，监测结果表明：地下水中pH、耗氧量、氨氮均符合《地下水质量标准》（GB/T14848-2017）“表1”Ⅲ类标准。</w:t>
      </w:r>
    </w:p>
    <w:p>
      <w:pPr>
        <w:pStyle w:val="5"/>
        <w:keepLines w:val="0"/>
        <w:numPr>
          <w:ilvl w:val="1"/>
          <w:numId w:val="0"/>
        </w:numPr>
        <w:tabs>
          <w:tab w:val="left" w:pos="1134"/>
        </w:tabs>
        <w:adjustRightInd/>
        <w:textAlignment w:val="auto"/>
        <w:rPr>
          <w:bCs/>
          <w:szCs w:val="30"/>
        </w:rPr>
      </w:pPr>
      <w:bookmarkStart w:id="138" w:name="_Toc22601"/>
      <w:r>
        <w:rPr>
          <w:bCs/>
          <w:szCs w:val="30"/>
        </w:rPr>
        <w:t>1</w:t>
      </w:r>
      <w:r>
        <w:rPr>
          <w:rFonts w:hint="eastAsia"/>
          <w:bCs/>
          <w:szCs w:val="30"/>
          <w:lang w:val="en-US" w:eastAsia="zh-CN"/>
        </w:rPr>
        <w:t>0</w:t>
      </w:r>
      <w:r>
        <w:rPr>
          <w:bCs/>
          <w:szCs w:val="30"/>
        </w:rPr>
        <w:t>.</w:t>
      </w:r>
      <w:bookmarkEnd w:id="135"/>
      <w:r>
        <w:rPr>
          <w:rFonts w:hint="eastAsia"/>
          <w:bCs/>
          <w:szCs w:val="30"/>
          <w:lang w:val="en-US" w:eastAsia="zh-CN"/>
        </w:rPr>
        <w:t>4</w:t>
      </w:r>
      <w:r>
        <w:rPr>
          <w:bCs/>
          <w:szCs w:val="30"/>
        </w:rPr>
        <w:t>结论</w:t>
      </w:r>
      <w:bookmarkEnd w:id="136"/>
      <w:bookmarkEnd w:id="138"/>
    </w:p>
    <w:p>
      <w:pPr>
        <w:ind w:firstLine="562"/>
        <w:rPr>
          <w:b/>
          <w:bCs/>
        </w:rPr>
      </w:pPr>
      <w:r>
        <w:rPr>
          <w:b/>
          <w:bCs/>
        </w:rPr>
        <w:t>综上所述，</w:t>
      </w:r>
      <w:r>
        <w:rPr>
          <w:rFonts w:hint="eastAsia"/>
          <w:b/>
          <w:bCs/>
          <w:lang w:eastAsia="zh-CN"/>
        </w:rPr>
        <w:t>绵竹国润排水有限公司绵竹装备制造产业园污水处理厂项目（一期）</w:t>
      </w:r>
      <w:r>
        <w:rPr>
          <w:b/>
          <w:bCs/>
        </w:rPr>
        <w:t>执行了国家有关环境保护法律法规，环境保护审批手续齐全，履行了环境影响评价制度，项目配套的环保设施按“三同时”要求同时设计、同时施工和同时投入使用，运行基本正常。内部设有专人负责环境管理，建立了环境管理体系，环境保护管理制度较为完善，该项目产生的废水、废气、噪声均能实现达标排放，固体废物能妥善处置，环评报告及批复中提出的环保要求和措施已基本得到落实。本次验收符合项目竣工环境保护验收。</w:t>
      </w:r>
    </w:p>
    <w:p>
      <w:pPr>
        <w:pStyle w:val="5"/>
        <w:keepLines w:val="0"/>
        <w:numPr>
          <w:ilvl w:val="1"/>
          <w:numId w:val="0"/>
        </w:numPr>
        <w:tabs>
          <w:tab w:val="left" w:pos="1134"/>
        </w:tabs>
        <w:adjustRightInd/>
        <w:textAlignment w:val="auto"/>
        <w:rPr>
          <w:bCs/>
          <w:szCs w:val="30"/>
        </w:rPr>
      </w:pPr>
      <w:bookmarkStart w:id="139" w:name="_Toc22038"/>
      <w:bookmarkStart w:id="140" w:name="_Toc15252"/>
      <w:r>
        <w:rPr>
          <w:bCs/>
          <w:szCs w:val="30"/>
        </w:rPr>
        <w:t>1</w:t>
      </w:r>
      <w:r>
        <w:rPr>
          <w:rFonts w:hint="eastAsia"/>
          <w:bCs/>
          <w:szCs w:val="30"/>
          <w:lang w:val="en-US" w:eastAsia="zh-CN"/>
        </w:rPr>
        <w:t>0</w:t>
      </w:r>
      <w:r>
        <w:rPr>
          <w:bCs/>
          <w:szCs w:val="30"/>
        </w:rPr>
        <w:t>.</w:t>
      </w:r>
      <w:bookmarkEnd w:id="139"/>
      <w:r>
        <w:rPr>
          <w:rFonts w:hint="eastAsia"/>
          <w:bCs/>
          <w:szCs w:val="30"/>
          <w:lang w:val="en-US" w:eastAsia="zh-CN"/>
        </w:rPr>
        <w:t>5</w:t>
      </w:r>
      <w:r>
        <w:rPr>
          <w:bCs/>
          <w:szCs w:val="30"/>
        </w:rPr>
        <w:t>建议</w:t>
      </w:r>
      <w:bookmarkEnd w:id="140"/>
    </w:p>
    <w:p>
      <w:pPr>
        <w:numPr>
          <w:ilvl w:val="0"/>
          <w:numId w:val="6"/>
        </w:numPr>
      </w:pPr>
      <w:r>
        <w:t>定期对设备进行检查维修，防止设备损坏影响污水的处理；</w:t>
      </w:r>
    </w:p>
    <w:p>
      <w:pPr>
        <w:widowControl/>
        <w:numPr>
          <w:ilvl w:val="0"/>
          <w:numId w:val="6"/>
        </w:numPr>
        <w:rPr>
          <w:szCs w:val="24"/>
          <w:lang w:bidi="ar"/>
        </w:rPr>
      </w:pPr>
      <w:r>
        <w:rPr>
          <w:szCs w:val="24"/>
          <w:lang w:bidi="ar"/>
        </w:rPr>
        <w:t>做好在线监测的记录以及台账，随时观察数据变化是否正常；</w:t>
      </w:r>
    </w:p>
    <w:p>
      <w:pPr>
        <w:widowControl/>
        <w:numPr>
          <w:ilvl w:val="0"/>
          <w:numId w:val="6"/>
        </w:numPr>
        <w:rPr>
          <w:szCs w:val="24"/>
          <w:lang w:bidi="ar"/>
        </w:rPr>
      </w:pPr>
      <w:r>
        <w:rPr>
          <w:szCs w:val="24"/>
          <w:lang w:bidi="ar"/>
        </w:rPr>
        <w:t>进一步完善环保管理制度，加强对各环保设施的维护和完善；</w:t>
      </w:r>
    </w:p>
    <w:p>
      <w:pPr>
        <w:widowControl/>
        <w:numPr>
          <w:ilvl w:val="0"/>
          <w:numId w:val="6"/>
        </w:numPr>
        <w:rPr>
          <w:szCs w:val="24"/>
          <w:lang w:bidi="ar"/>
        </w:rPr>
      </w:pPr>
      <w:r>
        <w:rPr>
          <w:szCs w:val="24"/>
          <w:lang w:bidi="ar"/>
        </w:rPr>
        <w:t>加强污泥的管理，避免恶臭扰民；</w:t>
      </w:r>
    </w:p>
    <w:p>
      <w:pPr>
        <w:widowControl/>
        <w:numPr>
          <w:ilvl w:val="0"/>
          <w:numId w:val="6"/>
        </w:numPr>
        <w:rPr>
          <w:szCs w:val="24"/>
          <w:lang w:bidi="ar"/>
        </w:rPr>
      </w:pPr>
      <w:r>
        <w:rPr>
          <w:szCs w:val="24"/>
          <w:lang w:bidi="ar"/>
        </w:rPr>
        <w:t>做好污泥外运的台账，确保污泥含水率达标后外运处置。</w:t>
      </w:r>
    </w:p>
    <w:p>
      <w:pPr>
        <w:ind w:firstLine="0" w:firstLineChars="0"/>
        <w:rPr>
          <w:b/>
          <w:bCs/>
          <w:sz w:val="24"/>
          <w:szCs w:val="21"/>
        </w:rPr>
        <w:sectPr>
          <w:pgSz w:w="11906" w:h="16838"/>
          <w:pgMar w:top="1134" w:right="1417" w:bottom="1134" w:left="1417" w:header="850" w:footer="850" w:gutter="0"/>
          <w:pgBorders>
            <w:top w:val="none" w:sz="0" w:space="0"/>
            <w:left w:val="none" w:sz="0" w:space="0"/>
            <w:bottom w:val="none" w:sz="0" w:space="0"/>
            <w:right w:val="none" w:sz="0" w:space="0"/>
          </w:pgBorders>
          <w:pgNumType w:fmt="decimal"/>
          <w:cols w:space="720" w:num="1"/>
          <w:docGrid w:type="lines" w:linePitch="416" w:charSpace="0"/>
        </w:sectPr>
      </w:pPr>
      <w:r>
        <w:rPr>
          <w:b/>
          <w:bCs/>
          <w:sz w:val="24"/>
          <w:szCs w:val="21"/>
        </w:rPr>
        <w:t>附表：建设项目竣工环境保护“三同时”竣工验收登记表</w:t>
      </w:r>
    </w:p>
    <w:bookmarkEnd w:id="95"/>
    <w:bookmarkEnd w:id="96"/>
    <w:bookmarkEnd w:id="97"/>
    <w:bookmarkEnd w:id="98"/>
    <w:p>
      <w:pPr>
        <w:spacing w:line="300" w:lineRule="exact"/>
        <w:ind w:firstLine="0" w:firstLineChars="0"/>
        <w:jc w:val="center"/>
        <w:rPr>
          <w:b/>
          <w:color w:val="000000"/>
          <w:sz w:val="21"/>
          <w:szCs w:val="21"/>
        </w:rPr>
      </w:pPr>
      <w:r>
        <w:rPr>
          <w:b/>
          <w:color w:val="000000"/>
          <w:sz w:val="21"/>
          <w:szCs w:val="21"/>
        </w:rPr>
        <w:t>建设项目竣工环境保护“三同时”验收登记表</w:t>
      </w:r>
    </w:p>
    <w:p>
      <w:pPr>
        <w:ind w:firstLine="0" w:firstLineChars="0"/>
        <w:rPr>
          <w:b/>
          <w:color w:val="000000"/>
          <w:sz w:val="21"/>
          <w:szCs w:val="21"/>
        </w:rPr>
      </w:pPr>
      <w:r>
        <w:rPr>
          <w:b/>
          <w:color w:val="000000"/>
          <w:sz w:val="21"/>
          <w:szCs w:val="21"/>
        </w:rPr>
        <w:t xml:space="preserve">填表单位（盖章）：           </w:t>
      </w:r>
      <w:r>
        <w:rPr>
          <w:b/>
          <w:bCs/>
          <w:spacing w:val="1"/>
          <w:sz w:val="21"/>
          <w:szCs w:val="21"/>
        </w:rPr>
        <w:t xml:space="preserve">         </w:t>
      </w:r>
    </w:p>
    <w:tbl>
      <w:tblPr>
        <w:tblStyle w:val="19"/>
        <w:tblW w:w="1549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4"/>
        <w:gridCol w:w="1073"/>
        <w:gridCol w:w="809"/>
        <w:gridCol w:w="695"/>
        <w:gridCol w:w="1175"/>
        <w:gridCol w:w="1050"/>
        <w:gridCol w:w="875"/>
        <w:gridCol w:w="400"/>
        <w:gridCol w:w="625"/>
        <w:gridCol w:w="1025"/>
        <w:gridCol w:w="837"/>
        <w:gridCol w:w="638"/>
        <w:gridCol w:w="1500"/>
        <w:gridCol w:w="1144"/>
        <w:gridCol w:w="674"/>
        <w:gridCol w:w="540"/>
        <w:gridCol w:w="117"/>
        <w:gridCol w:w="275"/>
        <w:gridCol w:w="541"/>
        <w:gridCol w:w="9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584" w:type="dxa"/>
            <w:vMerge w:val="restart"/>
            <w:noWrap w:val="0"/>
            <w:tcMar>
              <w:left w:w="57" w:type="dxa"/>
              <w:right w:w="57" w:type="dxa"/>
            </w:tcMar>
            <w:textDirection w:val="tbRlV"/>
            <w:vAlign w:val="center"/>
          </w:tcPr>
          <w:p>
            <w:pPr>
              <w:spacing w:line="240" w:lineRule="exact"/>
              <w:ind w:left="102" w:firstLine="0" w:firstLineChars="0"/>
              <w:jc w:val="center"/>
              <w:rPr>
                <w:b/>
                <w:bCs/>
                <w:sz w:val="15"/>
                <w:szCs w:val="15"/>
              </w:rPr>
            </w:pPr>
            <w:r>
              <w:rPr>
                <w:b/>
                <w:bCs/>
                <w:sz w:val="15"/>
                <w:szCs w:val="15"/>
              </w:rPr>
              <w:t>建设项目</w:t>
            </w:r>
          </w:p>
        </w:tc>
        <w:tc>
          <w:tcPr>
            <w:tcW w:w="188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项目名称</w:t>
            </w:r>
          </w:p>
        </w:tc>
        <w:tc>
          <w:tcPr>
            <w:tcW w:w="4820" w:type="dxa"/>
            <w:gridSpan w:val="6"/>
            <w:noWrap w:val="0"/>
            <w:tcMar>
              <w:left w:w="57" w:type="dxa"/>
              <w:right w:w="57" w:type="dxa"/>
            </w:tcMar>
            <w:vAlign w:val="center"/>
          </w:tcPr>
          <w:p>
            <w:pPr>
              <w:spacing w:line="240" w:lineRule="exact"/>
              <w:ind w:left="102" w:firstLine="0" w:firstLineChars="0"/>
              <w:jc w:val="center"/>
              <w:rPr>
                <w:rFonts w:hint="eastAsia" w:eastAsia="宋体"/>
                <w:b/>
                <w:bCs/>
                <w:sz w:val="15"/>
                <w:szCs w:val="15"/>
                <w:lang w:eastAsia="zh-CN"/>
              </w:rPr>
            </w:pPr>
            <w:r>
              <w:rPr>
                <w:rFonts w:hint="eastAsia"/>
                <w:b/>
                <w:bCs/>
                <w:sz w:val="15"/>
                <w:szCs w:val="15"/>
                <w:lang w:eastAsia="zh-CN"/>
              </w:rPr>
              <w:t>绵竹装备制造产业园污水处理厂项目（一期）</w:t>
            </w:r>
          </w:p>
        </w:tc>
        <w:tc>
          <w:tcPr>
            <w:tcW w:w="186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项目代码</w:t>
            </w:r>
          </w:p>
        </w:tc>
        <w:tc>
          <w:tcPr>
            <w:tcW w:w="2138"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w:t>
            </w:r>
          </w:p>
        </w:tc>
        <w:tc>
          <w:tcPr>
            <w:tcW w:w="1818"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建设地点</w:t>
            </w:r>
          </w:p>
        </w:tc>
        <w:tc>
          <w:tcPr>
            <w:tcW w:w="2391" w:type="dxa"/>
            <w:gridSpan w:val="5"/>
            <w:noWrap w:val="0"/>
            <w:tcMar>
              <w:left w:w="57" w:type="dxa"/>
              <w:right w:w="57" w:type="dxa"/>
            </w:tcMar>
            <w:vAlign w:val="center"/>
          </w:tcPr>
          <w:p>
            <w:pPr>
              <w:spacing w:line="240" w:lineRule="exact"/>
              <w:ind w:left="102" w:firstLine="0" w:firstLineChars="0"/>
              <w:jc w:val="center"/>
              <w:rPr>
                <w:rFonts w:hint="eastAsia" w:eastAsia="宋体"/>
                <w:b/>
                <w:bCs/>
                <w:sz w:val="15"/>
                <w:szCs w:val="15"/>
                <w:lang w:eastAsia="zh-CN"/>
              </w:rPr>
            </w:pPr>
            <w:r>
              <w:rPr>
                <w:rFonts w:hint="eastAsia"/>
                <w:b/>
                <w:bCs/>
                <w:sz w:val="15"/>
                <w:szCs w:val="15"/>
                <w:lang w:eastAsia="zh-CN"/>
              </w:rPr>
              <w:t>新市镇金兰村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5" w:hRule="atLeast"/>
          <w:jc w:val="center"/>
        </w:trPr>
        <w:tc>
          <w:tcPr>
            <w:tcW w:w="584" w:type="dxa"/>
            <w:vMerge w:val="continue"/>
            <w:noWrap w:val="0"/>
            <w:tcMar>
              <w:left w:w="57" w:type="dxa"/>
              <w:right w:w="57" w:type="dxa"/>
            </w:tcMar>
            <w:vAlign w:val="center"/>
          </w:tcPr>
          <w:p>
            <w:pPr>
              <w:spacing w:line="240" w:lineRule="exact"/>
              <w:ind w:left="102" w:firstLine="0" w:firstLineChars="0"/>
              <w:jc w:val="center"/>
              <w:rPr>
                <w:b/>
                <w:bCs/>
                <w:sz w:val="15"/>
                <w:szCs w:val="15"/>
              </w:rPr>
            </w:pPr>
          </w:p>
        </w:tc>
        <w:tc>
          <w:tcPr>
            <w:tcW w:w="188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行业类别（分类管理名录）</w:t>
            </w:r>
          </w:p>
        </w:tc>
        <w:tc>
          <w:tcPr>
            <w:tcW w:w="4820" w:type="dxa"/>
            <w:gridSpan w:val="6"/>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污水处理及其再生利用(D4620)</w:t>
            </w:r>
          </w:p>
        </w:tc>
        <w:tc>
          <w:tcPr>
            <w:tcW w:w="186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建设性质</w:t>
            </w:r>
          </w:p>
        </w:tc>
        <w:tc>
          <w:tcPr>
            <w:tcW w:w="3956" w:type="dxa"/>
            <w:gridSpan w:val="4"/>
            <w:noWrap w:val="0"/>
            <w:tcMar>
              <w:left w:w="57" w:type="dxa"/>
              <w:right w:w="57" w:type="dxa"/>
            </w:tcMar>
            <w:vAlign w:val="center"/>
          </w:tcPr>
          <w:p>
            <w:pPr>
              <w:spacing w:line="240" w:lineRule="exact"/>
              <w:ind w:firstLine="0" w:firstLineChars="0"/>
              <w:jc w:val="center"/>
              <w:rPr>
                <w:b/>
                <w:bCs/>
                <w:sz w:val="15"/>
                <w:szCs w:val="15"/>
              </w:rPr>
            </w:pPr>
            <w:r>
              <w:rPr>
                <w:b/>
                <w:bCs/>
                <w:sz w:val="15"/>
                <w:szCs w:val="15"/>
              </w:rPr>
              <w:sym w:font="Wingdings 2" w:char="00A3"/>
            </w:r>
            <w:r>
              <w:rPr>
                <w:b/>
                <w:bCs/>
                <w:sz w:val="15"/>
                <w:szCs w:val="15"/>
              </w:rPr>
              <w:t xml:space="preserve">新建  </w:t>
            </w:r>
            <w:r>
              <w:rPr>
                <w:b/>
                <w:bCs/>
                <w:sz w:val="15"/>
                <w:szCs w:val="15"/>
              </w:rPr>
              <w:sym w:font="Wingdings 2" w:char="0052"/>
            </w:r>
            <w:r>
              <w:rPr>
                <w:b/>
                <w:bCs/>
                <w:sz w:val="15"/>
                <w:szCs w:val="15"/>
              </w:rPr>
              <w:t xml:space="preserve"> 改扩建  </w:t>
            </w:r>
            <w:r>
              <w:rPr>
                <w:b/>
                <w:bCs/>
                <w:sz w:val="15"/>
                <w:szCs w:val="15"/>
              </w:rPr>
              <w:sym w:font="Wingdings 2" w:char="00A3"/>
            </w:r>
            <w:r>
              <w:rPr>
                <w:b/>
                <w:bCs/>
                <w:sz w:val="15"/>
                <w:szCs w:val="15"/>
              </w:rPr>
              <w:t>技术改造</w:t>
            </w:r>
          </w:p>
        </w:tc>
        <w:tc>
          <w:tcPr>
            <w:tcW w:w="932" w:type="dxa"/>
            <w:gridSpan w:val="3"/>
            <w:noWrap w:val="0"/>
            <w:tcMar>
              <w:left w:w="57" w:type="dxa"/>
              <w:right w:w="57" w:type="dxa"/>
            </w:tcMar>
            <w:vAlign w:val="center"/>
          </w:tcPr>
          <w:p>
            <w:pPr>
              <w:spacing w:line="240" w:lineRule="exact"/>
              <w:ind w:firstLine="0" w:firstLineChars="0"/>
              <w:jc w:val="center"/>
              <w:rPr>
                <w:b/>
                <w:bCs/>
                <w:sz w:val="15"/>
                <w:szCs w:val="15"/>
              </w:rPr>
            </w:pPr>
            <w:r>
              <w:rPr>
                <w:b/>
                <w:bCs/>
                <w:sz w:val="15"/>
                <w:szCs w:val="15"/>
              </w:rPr>
              <w:t>项目厂区中心经度/纬度</w:t>
            </w:r>
          </w:p>
        </w:tc>
        <w:tc>
          <w:tcPr>
            <w:tcW w:w="1459" w:type="dxa"/>
            <w:gridSpan w:val="2"/>
            <w:noWrap w:val="0"/>
            <w:tcMar>
              <w:left w:w="57" w:type="dxa"/>
              <w:right w:w="57" w:type="dxa"/>
            </w:tcMar>
            <w:vAlign w:val="center"/>
          </w:tcPr>
          <w:p>
            <w:pPr>
              <w:spacing w:line="240" w:lineRule="exact"/>
              <w:ind w:firstLine="0" w:firstLineChars="0"/>
              <w:jc w:val="center"/>
              <w:rPr>
                <w:b/>
                <w:bCs/>
                <w:sz w:val="15"/>
                <w:szCs w:val="15"/>
              </w:rPr>
            </w:pPr>
            <w:r>
              <w:rPr>
                <w:rFonts w:hint="eastAsia"/>
                <w:b/>
                <w:bCs/>
                <w:sz w:val="15"/>
                <w:szCs w:val="15"/>
              </w:rPr>
              <w:t>103°53′12.92″E；30°12′47.18″N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0" w:hRule="atLeast"/>
          <w:jc w:val="center"/>
        </w:trPr>
        <w:tc>
          <w:tcPr>
            <w:tcW w:w="584" w:type="dxa"/>
            <w:vMerge w:val="continue"/>
            <w:noWrap w:val="0"/>
            <w:tcMar>
              <w:left w:w="57" w:type="dxa"/>
              <w:right w:w="57" w:type="dxa"/>
            </w:tcMar>
            <w:vAlign w:val="center"/>
          </w:tcPr>
          <w:p>
            <w:pPr>
              <w:spacing w:line="240" w:lineRule="exact"/>
              <w:ind w:left="102" w:firstLine="0" w:firstLineChars="0"/>
              <w:jc w:val="center"/>
              <w:rPr>
                <w:b/>
                <w:bCs/>
                <w:sz w:val="15"/>
                <w:szCs w:val="15"/>
              </w:rPr>
            </w:pPr>
          </w:p>
        </w:tc>
        <w:tc>
          <w:tcPr>
            <w:tcW w:w="188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设计生产能力</w:t>
            </w:r>
          </w:p>
        </w:tc>
        <w:tc>
          <w:tcPr>
            <w:tcW w:w="4820" w:type="dxa"/>
            <w:gridSpan w:val="6"/>
            <w:noWrap w:val="0"/>
            <w:tcMar>
              <w:left w:w="57" w:type="dxa"/>
              <w:right w:w="57" w:type="dxa"/>
            </w:tcMar>
            <w:vAlign w:val="center"/>
          </w:tcPr>
          <w:p>
            <w:pPr>
              <w:spacing w:line="240" w:lineRule="exact"/>
              <w:ind w:firstLine="0" w:firstLineChars="0"/>
              <w:jc w:val="center"/>
              <w:rPr>
                <w:b/>
                <w:bCs/>
                <w:sz w:val="15"/>
                <w:szCs w:val="15"/>
              </w:rPr>
            </w:pPr>
            <w:r>
              <w:rPr>
                <w:b/>
                <w:bCs/>
                <w:sz w:val="15"/>
                <w:szCs w:val="15"/>
              </w:rPr>
              <w:t>日处理生活污水</w:t>
            </w:r>
            <w:r>
              <w:rPr>
                <w:rFonts w:hint="eastAsia"/>
                <w:b/>
                <w:bCs/>
                <w:sz w:val="15"/>
                <w:szCs w:val="15"/>
                <w:lang w:val="en-US" w:eastAsia="zh-CN"/>
              </w:rPr>
              <w:t>100</w:t>
            </w:r>
            <w:r>
              <w:rPr>
                <w:b/>
                <w:bCs/>
                <w:sz w:val="15"/>
                <w:szCs w:val="15"/>
              </w:rPr>
              <w:t>0m</w:t>
            </w:r>
            <w:r>
              <w:rPr>
                <w:b/>
                <w:bCs/>
                <w:sz w:val="15"/>
                <w:szCs w:val="15"/>
                <w:vertAlign w:val="superscript"/>
              </w:rPr>
              <w:t>3</w:t>
            </w:r>
            <w:r>
              <w:rPr>
                <w:b/>
                <w:bCs/>
                <w:sz w:val="15"/>
                <w:szCs w:val="15"/>
              </w:rPr>
              <w:t>/d</w:t>
            </w:r>
          </w:p>
        </w:tc>
        <w:tc>
          <w:tcPr>
            <w:tcW w:w="186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实际生产能力</w:t>
            </w:r>
          </w:p>
        </w:tc>
        <w:tc>
          <w:tcPr>
            <w:tcW w:w="3956" w:type="dxa"/>
            <w:gridSpan w:val="4"/>
            <w:noWrap w:val="0"/>
            <w:tcMar>
              <w:left w:w="57" w:type="dxa"/>
              <w:right w:w="57" w:type="dxa"/>
            </w:tcMar>
            <w:vAlign w:val="center"/>
          </w:tcPr>
          <w:p>
            <w:pPr>
              <w:spacing w:line="240" w:lineRule="exact"/>
              <w:ind w:firstLine="0" w:firstLineChars="0"/>
              <w:jc w:val="center"/>
              <w:rPr>
                <w:b/>
                <w:bCs/>
                <w:sz w:val="15"/>
                <w:szCs w:val="15"/>
              </w:rPr>
            </w:pPr>
            <w:r>
              <w:rPr>
                <w:b/>
                <w:bCs/>
                <w:sz w:val="15"/>
                <w:szCs w:val="15"/>
              </w:rPr>
              <w:t>日处理生活污水1</w:t>
            </w:r>
            <w:r>
              <w:rPr>
                <w:rFonts w:hint="eastAsia"/>
                <w:b/>
                <w:bCs/>
                <w:sz w:val="15"/>
                <w:szCs w:val="15"/>
                <w:lang w:val="en-US" w:eastAsia="zh-CN"/>
              </w:rPr>
              <w:t>000</w:t>
            </w:r>
            <w:r>
              <w:rPr>
                <w:b/>
                <w:bCs/>
                <w:sz w:val="15"/>
                <w:szCs w:val="15"/>
              </w:rPr>
              <w:t>m</w:t>
            </w:r>
            <w:r>
              <w:rPr>
                <w:b/>
                <w:bCs/>
                <w:sz w:val="15"/>
                <w:szCs w:val="15"/>
                <w:vertAlign w:val="superscript"/>
              </w:rPr>
              <w:t>3</w:t>
            </w:r>
            <w:r>
              <w:rPr>
                <w:b/>
                <w:bCs/>
                <w:sz w:val="15"/>
                <w:szCs w:val="15"/>
              </w:rPr>
              <w:t>/d</w:t>
            </w:r>
          </w:p>
        </w:tc>
        <w:tc>
          <w:tcPr>
            <w:tcW w:w="657"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环评</w:t>
            </w:r>
          </w:p>
          <w:p>
            <w:pPr>
              <w:spacing w:line="240" w:lineRule="exact"/>
              <w:ind w:left="102" w:firstLine="0" w:firstLineChars="0"/>
              <w:jc w:val="center"/>
              <w:rPr>
                <w:b/>
                <w:bCs/>
                <w:sz w:val="15"/>
                <w:szCs w:val="15"/>
              </w:rPr>
            </w:pPr>
            <w:r>
              <w:rPr>
                <w:b/>
                <w:bCs/>
                <w:sz w:val="15"/>
                <w:szCs w:val="15"/>
              </w:rPr>
              <w:t>单位</w:t>
            </w:r>
          </w:p>
        </w:tc>
        <w:tc>
          <w:tcPr>
            <w:tcW w:w="1734" w:type="dxa"/>
            <w:gridSpan w:val="3"/>
            <w:noWrap w:val="0"/>
            <w:tcMar>
              <w:left w:w="57" w:type="dxa"/>
              <w:right w:w="57" w:type="dxa"/>
            </w:tcMar>
            <w:vAlign w:val="center"/>
          </w:tcPr>
          <w:p>
            <w:pPr>
              <w:spacing w:line="240" w:lineRule="exact"/>
              <w:ind w:left="102" w:firstLine="0" w:firstLineChars="0"/>
              <w:jc w:val="center"/>
              <w:rPr>
                <w:rFonts w:hint="eastAsia" w:eastAsia="宋体"/>
                <w:b/>
                <w:bCs/>
                <w:sz w:val="15"/>
                <w:szCs w:val="15"/>
                <w:lang w:eastAsia="zh-CN"/>
              </w:rPr>
            </w:pPr>
            <w:r>
              <w:rPr>
                <w:rFonts w:hint="eastAsia"/>
                <w:b/>
                <w:bCs/>
                <w:sz w:val="15"/>
                <w:szCs w:val="15"/>
                <w:lang w:eastAsia="zh-CN"/>
              </w:rPr>
              <w:t>安徽新湖环保科技有限公司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4" w:type="dxa"/>
            <w:vMerge w:val="continue"/>
            <w:noWrap w:val="0"/>
            <w:tcMar>
              <w:left w:w="57" w:type="dxa"/>
              <w:right w:w="57" w:type="dxa"/>
            </w:tcMar>
            <w:vAlign w:val="center"/>
          </w:tcPr>
          <w:p>
            <w:pPr>
              <w:spacing w:line="240" w:lineRule="exact"/>
              <w:ind w:left="102" w:firstLine="0" w:firstLineChars="0"/>
              <w:jc w:val="center"/>
              <w:rPr>
                <w:b/>
                <w:bCs/>
                <w:sz w:val="15"/>
                <w:szCs w:val="15"/>
              </w:rPr>
            </w:pPr>
          </w:p>
        </w:tc>
        <w:tc>
          <w:tcPr>
            <w:tcW w:w="188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环评文件审批机关</w:t>
            </w:r>
          </w:p>
        </w:tc>
        <w:tc>
          <w:tcPr>
            <w:tcW w:w="4820" w:type="dxa"/>
            <w:gridSpan w:val="6"/>
            <w:noWrap w:val="0"/>
            <w:tcMar>
              <w:left w:w="57" w:type="dxa"/>
              <w:right w:w="57" w:type="dxa"/>
            </w:tcMar>
            <w:vAlign w:val="center"/>
          </w:tcPr>
          <w:p>
            <w:pPr>
              <w:spacing w:line="240" w:lineRule="exact"/>
              <w:ind w:left="102" w:firstLine="0" w:firstLineChars="0"/>
              <w:jc w:val="center"/>
              <w:rPr>
                <w:rFonts w:hint="eastAsia" w:eastAsia="宋体"/>
                <w:b/>
                <w:bCs/>
                <w:sz w:val="15"/>
                <w:szCs w:val="15"/>
                <w:lang w:eastAsia="zh-CN"/>
              </w:rPr>
            </w:pPr>
            <w:r>
              <w:rPr>
                <w:rFonts w:hint="eastAsia"/>
                <w:b/>
                <w:bCs/>
                <w:sz w:val="15"/>
                <w:szCs w:val="15"/>
                <w:lang w:eastAsia="zh-CN"/>
              </w:rPr>
              <w:t>德阳市生态环境局</w:t>
            </w:r>
          </w:p>
        </w:tc>
        <w:tc>
          <w:tcPr>
            <w:tcW w:w="186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审批文号</w:t>
            </w:r>
          </w:p>
        </w:tc>
        <w:tc>
          <w:tcPr>
            <w:tcW w:w="2138" w:type="dxa"/>
            <w:gridSpan w:val="2"/>
            <w:noWrap w:val="0"/>
            <w:tcMar>
              <w:left w:w="57" w:type="dxa"/>
              <w:right w:w="57" w:type="dxa"/>
            </w:tcMar>
            <w:vAlign w:val="center"/>
          </w:tcPr>
          <w:p>
            <w:pPr>
              <w:spacing w:line="240" w:lineRule="exact"/>
              <w:ind w:firstLine="0" w:firstLineChars="0"/>
              <w:jc w:val="center"/>
              <w:rPr>
                <w:rFonts w:hint="eastAsia" w:eastAsia="宋体"/>
                <w:b/>
                <w:bCs/>
                <w:sz w:val="15"/>
                <w:szCs w:val="15"/>
                <w:lang w:eastAsia="zh-CN"/>
              </w:rPr>
            </w:pPr>
            <w:r>
              <w:rPr>
                <w:rFonts w:hint="eastAsia"/>
                <w:b/>
                <w:bCs/>
                <w:sz w:val="15"/>
                <w:szCs w:val="15"/>
                <w:lang w:eastAsia="zh-CN"/>
              </w:rPr>
              <w:t>德环审批[2021]292号</w:t>
            </w:r>
          </w:p>
        </w:tc>
        <w:tc>
          <w:tcPr>
            <w:tcW w:w="1818"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环评文件类型</w:t>
            </w:r>
          </w:p>
        </w:tc>
        <w:tc>
          <w:tcPr>
            <w:tcW w:w="2391" w:type="dxa"/>
            <w:gridSpan w:val="5"/>
            <w:noWrap w:val="0"/>
            <w:tcMar>
              <w:left w:w="57" w:type="dxa"/>
              <w:right w:w="57" w:type="dxa"/>
            </w:tcMar>
            <w:vAlign w:val="center"/>
          </w:tcPr>
          <w:p>
            <w:pPr>
              <w:spacing w:line="240" w:lineRule="exact"/>
              <w:ind w:left="102" w:firstLine="0" w:firstLineChars="0"/>
              <w:jc w:val="center"/>
              <w:rPr>
                <w:rFonts w:hint="eastAsia" w:eastAsia="宋体"/>
                <w:b/>
                <w:bCs/>
                <w:sz w:val="15"/>
                <w:szCs w:val="15"/>
                <w:lang w:eastAsia="zh-CN"/>
              </w:rPr>
            </w:pPr>
            <w:r>
              <w:rPr>
                <w:rFonts w:hint="eastAsia"/>
                <w:b/>
                <w:bCs/>
                <w:sz w:val="15"/>
                <w:szCs w:val="15"/>
                <w:lang w:eastAsia="zh-CN"/>
              </w:rPr>
              <w:t>环境影响报告书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4" w:type="dxa"/>
            <w:vMerge w:val="continue"/>
            <w:noWrap w:val="0"/>
            <w:tcMar>
              <w:left w:w="57" w:type="dxa"/>
              <w:right w:w="57" w:type="dxa"/>
            </w:tcMar>
            <w:vAlign w:val="center"/>
          </w:tcPr>
          <w:p>
            <w:pPr>
              <w:spacing w:line="240" w:lineRule="exact"/>
              <w:ind w:left="102" w:firstLine="0" w:firstLineChars="0"/>
              <w:jc w:val="center"/>
              <w:rPr>
                <w:b/>
                <w:bCs/>
                <w:sz w:val="15"/>
                <w:szCs w:val="15"/>
              </w:rPr>
            </w:pPr>
          </w:p>
        </w:tc>
        <w:tc>
          <w:tcPr>
            <w:tcW w:w="188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开工日期</w:t>
            </w:r>
          </w:p>
        </w:tc>
        <w:tc>
          <w:tcPr>
            <w:tcW w:w="4820" w:type="dxa"/>
            <w:gridSpan w:val="6"/>
            <w:noWrap w:val="0"/>
            <w:tcMar>
              <w:left w:w="57" w:type="dxa"/>
              <w:right w:w="57" w:type="dxa"/>
            </w:tcMar>
            <w:vAlign w:val="center"/>
          </w:tcPr>
          <w:p>
            <w:pPr>
              <w:spacing w:line="240" w:lineRule="exact"/>
              <w:ind w:left="102" w:firstLine="0" w:firstLineChars="0"/>
              <w:jc w:val="center"/>
              <w:rPr>
                <w:rFonts w:hint="default" w:eastAsia="宋体"/>
                <w:b/>
                <w:bCs/>
                <w:sz w:val="15"/>
                <w:szCs w:val="15"/>
                <w:lang w:val="en-US" w:eastAsia="zh-CN"/>
              </w:rPr>
            </w:pPr>
            <w:r>
              <w:rPr>
                <w:b/>
                <w:bCs/>
                <w:sz w:val="15"/>
                <w:szCs w:val="15"/>
              </w:rPr>
              <w:t>201</w:t>
            </w:r>
            <w:r>
              <w:rPr>
                <w:rFonts w:hint="eastAsia"/>
                <w:b/>
                <w:bCs/>
                <w:sz w:val="15"/>
                <w:szCs w:val="15"/>
                <w:lang w:val="en-US" w:eastAsia="zh-CN"/>
              </w:rPr>
              <w:t>9.4.12</w:t>
            </w:r>
          </w:p>
        </w:tc>
        <w:tc>
          <w:tcPr>
            <w:tcW w:w="186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竣工日期</w:t>
            </w:r>
          </w:p>
        </w:tc>
        <w:tc>
          <w:tcPr>
            <w:tcW w:w="2138" w:type="dxa"/>
            <w:gridSpan w:val="2"/>
            <w:noWrap w:val="0"/>
            <w:tcMar>
              <w:left w:w="57" w:type="dxa"/>
              <w:right w:w="57" w:type="dxa"/>
            </w:tcMar>
            <w:vAlign w:val="center"/>
          </w:tcPr>
          <w:p>
            <w:pPr>
              <w:spacing w:line="240" w:lineRule="exact"/>
              <w:ind w:left="102" w:firstLine="0" w:firstLineChars="0"/>
              <w:jc w:val="center"/>
              <w:rPr>
                <w:rFonts w:hint="default" w:eastAsia="宋体"/>
                <w:b/>
                <w:bCs/>
                <w:sz w:val="15"/>
                <w:szCs w:val="15"/>
                <w:lang w:val="en-US" w:eastAsia="zh-CN"/>
              </w:rPr>
            </w:pPr>
          </w:p>
        </w:tc>
        <w:tc>
          <w:tcPr>
            <w:tcW w:w="1818"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排污许可证申领时间</w:t>
            </w:r>
          </w:p>
        </w:tc>
        <w:tc>
          <w:tcPr>
            <w:tcW w:w="2391" w:type="dxa"/>
            <w:gridSpan w:val="5"/>
            <w:noWrap w:val="0"/>
            <w:tcMar>
              <w:left w:w="57" w:type="dxa"/>
              <w:right w:w="57" w:type="dxa"/>
            </w:tcMar>
            <w:vAlign w:val="center"/>
          </w:tcPr>
          <w:p>
            <w:pPr>
              <w:spacing w:line="240" w:lineRule="exact"/>
              <w:ind w:left="102" w:firstLine="0" w:firstLineChars="0"/>
              <w:jc w:val="center"/>
              <w:rPr>
                <w:rFonts w:hint="default" w:eastAsia="宋体"/>
                <w:b/>
                <w:bCs/>
                <w:sz w:val="15"/>
                <w:szCs w:val="15"/>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4" w:type="dxa"/>
            <w:vMerge w:val="continue"/>
            <w:noWrap w:val="0"/>
            <w:tcMar>
              <w:left w:w="57" w:type="dxa"/>
              <w:right w:w="57" w:type="dxa"/>
            </w:tcMar>
            <w:vAlign w:val="center"/>
          </w:tcPr>
          <w:p>
            <w:pPr>
              <w:spacing w:line="240" w:lineRule="exact"/>
              <w:ind w:left="102" w:firstLine="0" w:firstLineChars="0"/>
              <w:jc w:val="center"/>
              <w:rPr>
                <w:b/>
                <w:bCs/>
                <w:sz w:val="15"/>
                <w:szCs w:val="15"/>
              </w:rPr>
            </w:pPr>
          </w:p>
        </w:tc>
        <w:tc>
          <w:tcPr>
            <w:tcW w:w="188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环保设施设计单位</w:t>
            </w:r>
          </w:p>
        </w:tc>
        <w:tc>
          <w:tcPr>
            <w:tcW w:w="4820" w:type="dxa"/>
            <w:gridSpan w:val="6"/>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w:t>
            </w:r>
          </w:p>
        </w:tc>
        <w:tc>
          <w:tcPr>
            <w:tcW w:w="186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环保设施施工单位</w:t>
            </w:r>
          </w:p>
        </w:tc>
        <w:tc>
          <w:tcPr>
            <w:tcW w:w="2138"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w:t>
            </w:r>
          </w:p>
        </w:tc>
        <w:tc>
          <w:tcPr>
            <w:tcW w:w="1818"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本工程排污许可证编号</w:t>
            </w:r>
          </w:p>
        </w:tc>
        <w:tc>
          <w:tcPr>
            <w:tcW w:w="2391" w:type="dxa"/>
            <w:gridSpan w:val="5"/>
            <w:noWrap w:val="0"/>
            <w:tcMar>
              <w:left w:w="57" w:type="dxa"/>
              <w:right w:w="57" w:type="dxa"/>
            </w:tcMar>
            <w:vAlign w:val="center"/>
          </w:tcPr>
          <w:p>
            <w:pPr>
              <w:spacing w:line="240" w:lineRule="exact"/>
              <w:ind w:left="102" w:firstLine="0" w:firstLineChars="0"/>
              <w:jc w:val="center"/>
              <w:rPr>
                <w:rFonts w:hint="default" w:eastAsia="宋体"/>
                <w:b/>
                <w:bCs/>
                <w:sz w:val="15"/>
                <w:szCs w:val="15"/>
                <w:lang w:val="en-US" w:eastAsia="zh-CN"/>
              </w:rPr>
            </w:pPr>
            <w:r>
              <w:rPr>
                <w:rFonts w:hint="eastAsia"/>
                <w:b/>
                <w:bCs/>
                <w:sz w:val="15"/>
                <w:szCs w:val="15"/>
                <w:lang w:val="en-US" w:eastAsia="zh-CN"/>
              </w:rPr>
              <w:t>91510683MA62366354017V</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4" w:type="dxa"/>
            <w:vMerge w:val="continue"/>
            <w:noWrap w:val="0"/>
            <w:tcMar>
              <w:left w:w="57" w:type="dxa"/>
              <w:right w:w="57" w:type="dxa"/>
            </w:tcMar>
            <w:vAlign w:val="center"/>
          </w:tcPr>
          <w:p>
            <w:pPr>
              <w:spacing w:line="240" w:lineRule="exact"/>
              <w:ind w:left="102" w:firstLine="0" w:firstLineChars="0"/>
              <w:jc w:val="center"/>
              <w:rPr>
                <w:b/>
                <w:bCs/>
                <w:sz w:val="15"/>
                <w:szCs w:val="15"/>
              </w:rPr>
            </w:pPr>
          </w:p>
        </w:tc>
        <w:tc>
          <w:tcPr>
            <w:tcW w:w="188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验收单位</w:t>
            </w:r>
          </w:p>
        </w:tc>
        <w:tc>
          <w:tcPr>
            <w:tcW w:w="4820" w:type="dxa"/>
            <w:gridSpan w:val="6"/>
            <w:noWrap w:val="0"/>
            <w:tcMar>
              <w:left w:w="57" w:type="dxa"/>
              <w:right w:w="57" w:type="dxa"/>
            </w:tcMar>
            <w:vAlign w:val="center"/>
          </w:tcPr>
          <w:p>
            <w:pPr>
              <w:spacing w:line="240" w:lineRule="exact"/>
              <w:ind w:left="102" w:firstLine="0" w:firstLineChars="0"/>
              <w:jc w:val="center"/>
              <w:rPr>
                <w:rFonts w:hint="eastAsia" w:eastAsia="宋体"/>
                <w:b/>
                <w:bCs/>
                <w:sz w:val="15"/>
                <w:szCs w:val="15"/>
                <w:lang w:eastAsia="zh-CN"/>
              </w:rPr>
            </w:pPr>
            <w:r>
              <w:rPr>
                <w:rFonts w:hint="eastAsia"/>
                <w:b/>
                <w:bCs/>
                <w:sz w:val="15"/>
                <w:szCs w:val="15"/>
                <w:lang w:eastAsia="zh-CN"/>
              </w:rPr>
              <w:t>绵竹国润排水有限公司</w:t>
            </w:r>
          </w:p>
        </w:tc>
        <w:tc>
          <w:tcPr>
            <w:tcW w:w="186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环保设施监测单位</w:t>
            </w:r>
          </w:p>
        </w:tc>
        <w:tc>
          <w:tcPr>
            <w:tcW w:w="2138" w:type="dxa"/>
            <w:gridSpan w:val="2"/>
            <w:noWrap w:val="0"/>
            <w:tcMar>
              <w:left w:w="57" w:type="dxa"/>
              <w:right w:w="57" w:type="dxa"/>
            </w:tcMar>
            <w:vAlign w:val="center"/>
          </w:tcPr>
          <w:p>
            <w:pPr>
              <w:spacing w:line="240" w:lineRule="exact"/>
              <w:ind w:left="102" w:firstLine="0" w:firstLineChars="0"/>
              <w:jc w:val="center"/>
              <w:rPr>
                <w:rFonts w:hint="eastAsia" w:eastAsia="宋体"/>
                <w:b/>
                <w:bCs/>
                <w:sz w:val="15"/>
                <w:szCs w:val="15"/>
                <w:lang w:eastAsia="zh-CN"/>
              </w:rPr>
            </w:pPr>
            <w:r>
              <w:rPr>
                <w:rFonts w:hint="eastAsia"/>
                <w:b/>
                <w:bCs/>
                <w:sz w:val="15"/>
                <w:szCs w:val="15"/>
                <w:lang w:eastAsia="zh-CN"/>
              </w:rPr>
              <w:t>四川中谦检测有限公司</w:t>
            </w:r>
          </w:p>
        </w:tc>
        <w:tc>
          <w:tcPr>
            <w:tcW w:w="1818"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验收监测时工况</w:t>
            </w:r>
          </w:p>
        </w:tc>
        <w:tc>
          <w:tcPr>
            <w:tcW w:w="2391" w:type="dxa"/>
            <w:gridSpan w:val="5"/>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正常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584" w:type="dxa"/>
            <w:vMerge w:val="continue"/>
            <w:noWrap w:val="0"/>
            <w:tcMar>
              <w:left w:w="57" w:type="dxa"/>
              <w:right w:w="57" w:type="dxa"/>
            </w:tcMar>
            <w:vAlign w:val="center"/>
          </w:tcPr>
          <w:p>
            <w:pPr>
              <w:spacing w:line="240" w:lineRule="exact"/>
              <w:ind w:left="102" w:firstLine="0" w:firstLineChars="0"/>
              <w:jc w:val="center"/>
              <w:rPr>
                <w:b/>
                <w:bCs/>
                <w:sz w:val="15"/>
                <w:szCs w:val="15"/>
              </w:rPr>
            </w:pPr>
          </w:p>
        </w:tc>
        <w:tc>
          <w:tcPr>
            <w:tcW w:w="188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投资总概算（万元）</w:t>
            </w:r>
          </w:p>
        </w:tc>
        <w:tc>
          <w:tcPr>
            <w:tcW w:w="4820" w:type="dxa"/>
            <w:gridSpan w:val="6"/>
            <w:noWrap w:val="0"/>
            <w:tcMar>
              <w:left w:w="57" w:type="dxa"/>
              <w:right w:w="57" w:type="dxa"/>
            </w:tcMar>
            <w:vAlign w:val="center"/>
          </w:tcPr>
          <w:p>
            <w:pPr>
              <w:spacing w:line="240" w:lineRule="exact"/>
              <w:ind w:left="102" w:firstLine="0" w:firstLineChars="0"/>
              <w:jc w:val="center"/>
              <w:rPr>
                <w:rFonts w:hint="default" w:eastAsia="宋体"/>
                <w:b/>
                <w:bCs/>
                <w:sz w:val="15"/>
                <w:szCs w:val="15"/>
                <w:lang w:val="en-US" w:eastAsia="zh-CN"/>
              </w:rPr>
            </w:pPr>
            <w:r>
              <w:rPr>
                <w:rFonts w:hint="eastAsia"/>
                <w:b/>
                <w:bCs/>
                <w:sz w:val="15"/>
                <w:szCs w:val="15"/>
                <w:lang w:val="en-US" w:eastAsia="zh-CN"/>
              </w:rPr>
              <w:t>4312.86</w:t>
            </w:r>
          </w:p>
        </w:tc>
        <w:tc>
          <w:tcPr>
            <w:tcW w:w="186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环保投资总概算（万元）</w:t>
            </w:r>
          </w:p>
        </w:tc>
        <w:tc>
          <w:tcPr>
            <w:tcW w:w="2138" w:type="dxa"/>
            <w:gridSpan w:val="2"/>
            <w:noWrap w:val="0"/>
            <w:tcMar>
              <w:left w:w="57" w:type="dxa"/>
              <w:right w:w="57" w:type="dxa"/>
            </w:tcMar>
            <w:vAlign w:val="center"/>
          </w:tcPr>
          <w:p>
            <w:pPr>
              <w:spacing w:line="240" w:lineRule="exact"/>
              <w:ind w:firstLine="0" w:firstLineChars="0"/>
              <w:jc w:val="center"/>
              <w:rPr>
                <w:rFonts w:hint="default" w:eastAsia="宋体"/>
                <w:b/>
                <w:bCs/>
                <w:sz w:val="15"/>
                <w:szCs w:val="15"/>
                <w:lang w:val="en-US" w:eastAsia="zh-CN"/>
              </w:rPr>
            </w:pPr>
            <w:r>
              <w:rPr>
                <w:rFonts w:hint="eastAsia"/>
                <w:b/>
                <w:bCs/>
                <w:sz w:val="15"/>
                <w:szCs w:val="15"/>
                <w:lang w:val="en-US" w:eastAsia="zh-CN"/>
              </w:rPr>
              <w:t>75.5</w:t>
            </w:r>
          </w:p>
        </w:tc>
        <w:tc>
          <w:tcPr>
            <w:tcW w:w="1818"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所占比例（%）</w:t>
            </w:r>
          </w:p>
        </w:tc>
        <w:tc>
          <w:tcPr>
            <w:tcW w:w="2391" w:type="dxa"/>
            <w:gridSpan w:val="5"/>
            <w:noWrap w:val="0"/>
            <w:tcMar>
              <w:left w:w="57" w:type="dxa"/>
              <w:right w:w="57" w:type="dxa"/>
            </w:tcMar>
            <w:vAlign w:val="center"/>
          </w:tcPr>
          <w:p>
            <w:pPr>
              <w:spacing w:line="240" w:lineRule="exact"/>
              <w:ind w:firstLine="0" w:firstLineChars="0"/>
              <w:jc w:val="center"/>
              <w:rPr>
                <w:rFonts w:hint="default" w:eastAsia="宋体"/>
                <w:b/>
                <w:bCs/>
                <w:sz w:val="15"/>
                <w:szCs w:val="15"/>
                <w:lang w:val="en-US" w:eastAsia="zh-CN"/>
              </w:rPr>
            </w:pPr>
            <w:r>
              <w:rPr>
                <w:rFonts w:hint="eastAsia"/>
                <w:b/>
                <w:bCs/>
                <w:sz w:val="15"/>
                <w:szCs w:val="15"/>
                <w:lang w:val="en-US" w:eastAsia="zh-CN"/>
              </w:rPr>
              <w:t>0.95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84" w:type="dxa"/>
            <w:vMerge w:val="continue"/>
            <w:noWrap w:val="0"/>
            <w:tcMar>
              <w:left w:w="57" w:type="dxa"/>
              <w:right w:w="57" w:type="dxa"/>
            </w:tcMar>
            <w:vAlign w:val="center"/>
          </w:tcPr>
          <w:p>
            <w:pPr>
              <w:spacing w:line="240" w:lineRule="exact"/>
              <w:ind w:left="102" w:firstLine="0" w:firstLineChars="0"/>
              <w:jc w:val="center"/>
              <w:rPr>
                <w:b/>
                <w:bCs/>
                <w:sz w:val="15"/>
                <w:szCs w:val="15"/>
              </w:rPr>
            </w:pPr>
          </w:p>
        </w:tc>
        <w:tc>
          <w:tcPr>
            <w:tcW w:w="188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实际总投资</w:t>
            </w:r>
          </w:p>
        </w:tc>
        <w:tc>
          <w:tcPr>
            <w:tcW w:w="4820" w:type="dxa"/>
            <w:gridSpan w:val="6"/>
            <w:noWrap w:val="0"/>
            <w:tcMar>
              <w:left w:w="57" w:type="dxa"/>
              <w:right w:w="57" w:type="dxa"/>
            </w:tcMar>
            <w:vAlign w:val="center"/>
          </w:tcPr>
          <w:p>
            <w:pPr>
              <w:spacing w:line="240" w:lineRule="exact"/>
              <w:ind w:left="102" w:firstLine="0" w:firstLineChars="0"/>
              <w:jc w:val="center"/>
              <w:rPr>
                <w:rFonts w:hint="default" w:eastAsia="宋体"/>
                <w:b/>
                <w:bCs/>
                <w:sz w:val="15"/>
                <w:szCs w:val="15"/>
                <w:lang w:val="en-US" w:eastAsia="zh-CN"/>
              </w:rPr>
            </w:pPr>
            <w:r>
              <w:rPr>
                <w:rFonts w:hint="eastAsia"/>
                <w:b/>
                <w:bCs/>
                <w:sz w:val="15"/>
                <w:szCs w:val="15"/>
                <w:lang w:val="en-US" w:eastAsia="zh-CN"/>
              </w:rPr>
              <w:t>4312.86</w:t>
            </w:r>
          </w:p>
        </w:tc>
        <w:tc>
          <w:tcPr>
            <w:tcW w:w="186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实际环保投资（万元）</w:t>
            </w:r>
          </w:p>
        </w:tc>
        <w:tc>
          <w:tcPr>
            <w:tcW w:w="2138" w:type="dxa"/>
            <w:gridSpan w:val="2"/>
            <w:noWrap w:val="0"/>
            <w:tcMar>
              <w:left w:w="57" w:type="dxa"/>
              <w:right w:w="57" w:type="dxa"/>
            </w:tcMar>
            <w:vAlign w:val="center"/>
          </w:tcPr>
          <w:p>
            <w:pPr>
              <w:spacing w:line="240" w:lineRule="exact"/>
              <w:ind w:firstLine="0" w:firstLineChars="0"/>
              <w:jc w:val="center"/>
              <w:rPr>
                <w:rFonts w:hint="default" w:eastAsia="宋体"/>
                <w:b/>
                <w:bCs/>
                <w:sz w:val="15"/>
                <w:szCs w:val="15"/>
                <w:lang w:val="en-US" w:eastAsia="zh-CN"/>
              </w:rPr>
            </w:pPr>
            <w:r>
              <w:rPr>
                <w:rFonts w:hint="eastAsia"/>
                <w:b/>
                <w:bCs/>
                <w:sz w:val="15"/>
                <w:szCs w:val="15"/>
                <w:lang w:val="en-US" w:eastAsia="zh-CN"/>
              </w:rPr>
              <w:t>199.7</w:t>
            </w:r>
          </w:p>
        </w:tc>
        <w:tc>
          <w:tcPr>
            <w:tcW w:w="1818"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所占比例（%）</w:t>
            </w:r>
          </w:p>
        </w:tc>
        <w:tc>
          <w:tcPr>
            <w:tcW w:w="2391" w:type="dxa"/>
            <w:gridSpan w:val="5"/>
            <w:noWrap w:val="0"/>
            <w:tcMar>
              <w:left w:w="57" w:type="dxa"/>
              <w:right w:w="57" w:type="dxa"/>
            </w:tcMar>
            <w:vAlign w:val="center"/>
          </w:tcPr>
          <w:p>
            <w:pPr>
              <w:spacing w:line="240" w:lineRule="exact"/>
              <w:ind w:firstLine="0" w:firstLineChars="0"/>
              <w:jc w:val="center"/>
              <w:rPr>
                <w:rFonts w:hint="default" w:eastAsia="宋体"/>
                <w:b/>
                <w:bCs/>
                <w:sz w:val="15"/>
                <w:szCs w:val="15"/>
                <w:lang w:val="en-US" w:eastAsia="zh-CN"/>
              </w:rPr>
            </w:pPr>
            <w:r>
              <w:rPr>
                <w:rFonts w:hint="eastAsia"/>
                <w:b/>
                <w:bCs/>
                <w:sz w:val="15"/>
                <w:szCs w:val="15"/>
                <w:lang w:val="en-US" w:eastAsia="zh-CN"/>
              </w:rPr>
              <w:t>2.51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6" w:hRule="atLeast"/>
          <w:jc w:val="center"/>
        </w:trPr>
        <w:tc>
          <w:tcPr>
            <w:tcW w:w="584" w:type="dxa"/>
            <w:vMerge w:val="continue"/>
            <w:noWrap w:val="0"/>
            <w:tcMar>
              <w:left w:w="57" w:type="dxa"/>
              <w:right w:w="57" w:type="dxa"/>
            </w:tcMar>
            <w:vAlign w:val="center"/>
          </w:tcPr>
          <w:p>
            <w:pPr>
              <w:spacing w:line="240" w:lineRule="exact"/>
              <w:ind w:left="102" w:firstLine="0" w:firstLineChars="0"/>
              <w:jc w:val="center"/>
              <w:rPr>
                <w:b/>
                <w:bCs/>
                <w:sz w:val="15"/>
                <w:szCs w:val="15"/>
              </w:rPr>
            </w:pPr>
          </w:p>
        </w:tc>
        <w:tc>
          <w:tcPr>
            <w:tcW w:w="188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废水治理（万元）</w:t>
            </w:r>
          </w:p>
        </w:tc>
        <w:tc>
          <w:tcPr>
            <w:tcW w:w="695" w:type="dxa"/>
            <w:noWrap w:val="0"/>
            <w:tcMar>
              <w:left w:w="57" w:type="dxa"/>
              <w:right w:w="57" w:type="dxa"/>
            </w:tcMar>
            <w:vAlign w:val="center"/>
          </w:tcPr>
          <w:p>
            <w:pPr>
              <w:spacing w:line="240" w:lineRule="exact"/>
              <w:ind w:left="102" w:firstLine="0" w:firstLineChars="0"/>
              <w:jc w:val="center"/>
              <w:rPr>
                <w:rFonts w:hint="eastAsia" w:eastAsia="宋体"/>
                <w:b/>
                <w:bCs/>
                <w:sz w:val="15"/>
                <w:szCs w:val="15"/>
                <w:lang w:eastAsia="zh-CN"/>
              </w:rPr>
            </w:pPr>
            <w:r>
              <w:rPr>
                <w:rFonts w:hint="eastAsia"/>
                <w:b/>
                <w:bCs/>
                <w:sz w:val="15"/>
                <w:szCs w:val="15"/>
                <w:lang w:val="en-US" w:eastAsia="zh-CN"/>
              </w:rPr>
              <w:t>/</w:t>
            </w:r>
          </w:p>
        </w:tc>
        <w:tc>
          <w:tcPr>
            <w:tcW w:w="1175" w:type="dxa"/>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废气治理</w:t>
            </w:r>
          </w:p>
          <w:p>
            <w:pPr>
              <w:spacing w:line="240" w:lineRule="exact"/>
              <w:ind w:left="102" w:firstLine="0" w:firstLineChars="0"/>
              <w:jc w:val="center"/>
              <w:rPr>
                <w:b/>
                <w:bCs/>
                <w:sz w:val="15"/>
                <w:szCs w:val="15"/>
              </w:rPr>
            </w:pPr>
            <w:r>
              <w:rPr>
                <w:b/>
                <w:bCs/>
                <w:sz w:val="15"/>
                <w:szCs w:val="15"/>
              </w:rPr>
              <w:t>（万元）</w:t>
            </w:r>
          </w:p>
        </w:tc>
        <w:tc>
          <w:tcPr>
            <w:tcW w:w="1050" w:type="dxa"/>
            <w:noWrap w:val="0"/>
            <w:tcMar>
              <w:left w:w="57" w:type="dxa"/>
              <w:right w:w="57" w:type="dxa"/>
            </w:tcMar>
            <w:vAlign w:val="center"/>
          </w:tcPr>
          <w:p>
            <w:pPr>
              <w:spacing w:line="240" w:lineRule="exact"/>
              <w:ind w:left="102" w:firstLine="0" w:firstLineChars="0"/>
              <w:jc w:val="center"/>
              <w:rPr>
                <w:rFonts w:hint="default" w:eastAsia="宋体"/>
                <w:b/>
                <w:bCs/>
                <w:sz w:val="15"/>
                <w:szCs w:val="15"/>
                <w:lang w:val="en-US" w:eastAsia="zh-CN"/>
              </w:rPr>
            </w:pPr>
            <w:r>
              <w:rPr>
                <w:rFonts w:hint="eastAsia"/>
                <w:b/>
                <w:bCs/>
                <w:sz w:val="15"/>
                <w:szCs w:val="15"/>
                <w:lang w:val="en-US" w:eastAsia="zh-CN"/>
              </w:rPr>
              <w:t>132.7</w:t>
            </w:r>
          </w:p>
        </w:tc>
        <w:tc>
          <w:tcPr>
            <w:tcW w:w="1275"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噪声治理（万元）</w:t>
            </w:r>
          </w:p>
        </w:tc>
        <w:tc>
          <w:tcPr>
            <w:tcW w:w="625" w:type="dxa"/>
            <w:noWrap w:val="0"/>
            <w:tcMar>
              <w:left w:w="57" w:type="dxa"/>
              <w:right w:w="57" w:type="dxa"/>
            </w:tcMar>
            <w:vAlign w:val="center"/>
          </w:tcPr>
          <w:p>
            <w:pPr>
              <w:spacing w:line="240" w:lineRule="exact"/>
              <w:ind w:left="102" w:firstLine="0" w:firstLineChars="0"/>
              <w:jc w:val="center"/>
              <w:rPr>
                <w:rFonts w:hint="default" w:eastAsia="宋体"/>
                <w:b/>
                <w:bCs/>
                <w:sz w:val="15"/>
                <w:szCs w:val="15"/>
                <w:lang w:val="en-US" w:eastAsia="zh-CN"/>
              </w:rPr>
            </w:pPr>
            <w:r>
              <w:rPr>
                <w:rFonts w:hint="eastAsia"/>
                <w:b/>
                <w:bCs/>
                <w:sz w:val="15"/>
                <w:szCs w:val="15"/>
                <w:lang w:val="en-US" w:eastAsia="zh-CN"/>
              </w:rPr>
              <w:t>16</w:t>
            </w:r>
          </w:p>
        </w:tc>
        <w:tc>
          <w:tcPr>
            <w:tcW w:w="186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固体废物治理（万元）</w:t>
            </w:r>
          </w:p>
        </w:tc>
        <w:tc>
          <w:tcPr>
            <w:tcW w:w="2138" w:type="dxa"/>
            <w:gridSpan w:val="2"/>
            <w:noWrap w:val="0"/>
            <w:tcMar>
              <w:left w:w="57" w:type="dxa"/>
              <w:right w:w="57" w:type="dxa"/>
            </w:tcMar>
            <w:vAlign w:val="center"/>
          </w:tcPr>
          <w:p>
            <w:pPr>
              <w:spacing w:line="240" w:lineRule="exact"/>
              <w:ind w:left="102" w:firstLine="0" w:firstLineChars="0"/>
              <w:jc w:val="center"/>
              <w:rPr>
                <w:rFonts w:hint="eastAsia" w:eastAsia="宋体"/>
                <w:b/>
                <w:bCs/>
                <w:sz w:val="15"/>
                <w:szCs w:val="15"/>
                <w:lang w:eastAsia="zh-CN"/>
              </w:rPr>
            </w:pPr>
            <w:r>
              <w:rPr>
                <w:rFonts w:hint="eastAsia"/>
                <w:b/>
                <w:bCs/>
                <w:sz w:val="15"/>
                <w:szCs w:val="15"/>
                <w:lang w:val="en-US" w:eastAsia="zh-CN"/>
              </w:rPr>
              <w:t>6</w:t>
            </w:r>
          </w:p>
        </w:tc>
        <w:tc>
          <w:tcPr>
            <w:tcW w:w="1818"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绿化及生态（万元）</w:t>
            </w:r>
          </w:p>
        </w:tc>
        <w:tc>
          <w:tcPr>
            <w:tcW w:w="540" w:type="dxa"/>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w:t>
            </w:r>
          </w:p>
        </w:tc>
        <w:tc>
          <w:tcPr>
            <w:tcW w:w="933" w:type="dxa"/>
            <w:gridSpan w:val="3"/>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其他</w:t>
            </w:r>
          </w:p>
          <w:p>
            <w:pPr>
              <w:spacing w:line="240" w:lineRule="exact"/>
              <w:ind w:left="102" w:firstLine="0" w:firstLineChars="0"/>
              <w:jc w:val="center"/>
              <w:rPr>
                <w:b/>
                <w:bCs/>
                <w:sz w:val="15"/>
                <w:szCs w:val="15"/>
              </w:rPr>
            </w:pPr>
            <w:r>
              <w:rPr>
                <w:b/>
                <w:bCs/>
                <w:sz w:val="15"/>
                <w:szCs w:val="15"/>
              </w:rPr>
              <w:t>（万元）</w:t>
            </w:r>
          </w:p>
        </w:tc>
        <w:tc>
          <w:tcPr>
            <w:tcW w:w="918" w:type="dxa"/>
            <w:noWrap w:val="0"/>
            <w:tcMar>
              <w:left w:w="57" w:type="dxa"/>
              <w:right w:w="57" w:type="dxa"/>
            </w:tcMar>
            <w:vAlign w:val="center"/>
          </w:tcPr>
          <w:p>
            <w:pPr>
              <w:spacing w:line="240" w:lineRule="exact"/>
              <w:ind w:left="102" w:firstLine="0" w:firstLineChars="0"/>
              <w:jc w:val="center"/>
              <w:rPr>
                <w:rFonts w:hint="default" w:eastAsia="宋体"/>
                <w:b/>
                <w:bCs/>
                <w:sz w:val="15"/>
                <w:szCs w:val="15"/>
                <w:lang w:val="en-US" w:eastAsia="zh-CN"/>
              </w:rPr>
            </w:pPr>
            <w:r>
              <w:rPr>
                <w:rFonts w:hint="eastAsia"/>
                <w:b/>
                <w:bCs/>
                <w:sz w:val="15"/>
                <w:szCs w:val="15"/>
                <w:lang w:val="en-US" w:eastAsia="zh-CN"/>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4" w:type="dxa"/>
            <w:vMerge w:val="continue"/>
            <w:noWrap w:val="0"/>
            <w:tcMar>
              <w:left w:w="57" w:type="dxa"/>
              <w:right w:w="57" w:type="dxa"/>
            </w:tcMar>
            <w:vAlign w:val="center"/>
          </w:tcPr>
          <w:p>
            <w:pPr>
              <w:spacing w:line="240" w:lineRule="exact"/>
              <w:ind w:left="102" w:firstLine="0" w:firstLineChars="0"/>
              <w:jc w:val="center"/>
              <w:rPr>
                <w:b/>
                <w:bCs/>
                <w:sz w:val="15"/>
                <w:szCs w:val="15"/>
              </w:rPr>
            </w:pPr>
          </w:p>
        </w:tc>
        <w:tc>
          <w:tcPr>
            <w:tcW w:w="188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新增废水处理设施能力</w:t>
            </w:r>
          </w:p>
        </w:tc>
        <w:tc>
          <w:tcPr>
            <w:tcW w:w="4820" w:type="dxa"/>
            <w:gridSpan w:val="6"/>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w:t>
            </w:r>
          </w:p>
        </w:tc>
        <w:tc>
          <w:tcPr>
            <w:tcW w:w="186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新增废气处理设施能力</w:t>
            </w:r>
          </w:p>
        </w:tc>
        <w:tc>
          <w:tcPr>
            <w:tcW w:w="2138"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w:t>
            </w:r>
          </w:p>
        </w:tc>
        <w:tc>
          <w:tcPr>
            <w:tcW w:w="1818"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年平均工作时</w:t>
            </w:r>
          </w:p>
        </w:tc>
        <w:tc>
          <w:tcPr>
            <w:tcW w:w="2391" w:type="dxa"/>
            <w:gridSpan w:val="5"/>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8760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466" w:type="dxa"/>
            <w:gridSpan w:val="3"/>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运营单位</w:t>
            </w:r>
          </w:p>
        </w:tc>
        <w:tc>
          <w:tcPr>
            <w:tcW w:w="2920" w:type="dxa"/>
            <w:gridSpan w:val="3"/>
            <w:noWrap w:val="0"/>
            <w:tcMar>
              <w:left w:w="57" w:type="dxa"/>
              <w:right w:w="57" w:type="dxa"/>
            </w:tcMar>
            <w:vAlign w:val="center"/>
          </w:tcPr>
          <w:p>
            <w:pPr>
              <w:spacing w:line="240" w:lineRule="exact"/>
              <w:ind w:left="102" w:firstLine="0" w:firstLineChars="0"/>
              <w:jc w:val="center"/>
              <w:rPr>
                <w:rFonts w:hint="eastAsia" w:eastAsia="宋体"/>
                <w:b/>
                <w:bCs/>
                <w:sz w:val="15"/>
                <w:szCs w:val="15"/>
                <w:lang w:eastAsia="zh-CN"/>
              </w:rPr>
            </w:pPr>
            <w:r>
              <w:rPr>
                <w:rFonts w:hint="eastAsia"/>
                <w:b/>
                <w:bCs/>
                <w:sz w:val="15"/>
                <w:szCs w:val="15"/>
                <w:lang w:eastAsia="zh-CN"/>
              </w:rPr>
              <w:t>绵竹国润排水有限公司</w:t>
            </w:r>
          </w:p>
        </w:tc>
        <w:tc>
          <w:tcPr>
            <w:tcW w:w="3762" w:type="dxa"/>
            <w:gridSpan w:val="5"/>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运营单位社会统一信用代码（或组织机构代码）</w:t>
            </w:r>
          </w:p>
        </w:tc>
        <w:tc>
          <w:tcPr>
            <w:tcW w:w="2138" w:type="dxa"/>
            <w:gridSpan w:val="2"/>
            <w:noWrap w:val="0"/>
            <w:tcMar>
              <w:left w:w="57" w:type="dxa"/>
              <w:right w:w="57" w:type="dxa"/>
            </w:tcMar>
            <w:vAlign w:val="center"/>
          </w:tcPr>
          <w:p>
            <w:pPr>
              <w:spacing w:line="240" w:lineRule="exact"/>
              <w:ind w:firstLine="0" w:firstLineChars="0"/>
              <w:jc w:val="center"/>
              <w:rPr>
                <w:b/>
                <w:bCs/>
                <w:sz w:val="15"/>
                <w:szCs w:val="15"/>
              </w:rPr>
            </w:pPr>
            <w:r>
              <w:rPr>
                <w:b/>
                <w:bCs/>
                <w:sz w:val="15"/>
                <w:szCs w:val="15"/>
              </w:rPr>
              <w:t>915114223144636141</w:t>
            </w:r>
          </w:p>
        </w:tc>
        <w:tc>
          <w:tcPr>
            <w:tcW w:w="1818"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验收时间</w:t>
            </w:r>
          </w:p>
        </w:tc>
        <w:tc>
          <w:tcPr>
            <w:tcW w:w="2391" w:type="dxa"/>
            <w:gridSpan w:val="5"/>
            <w:noWrap w:val="0"/>
            <w:tcMar>
              <w:left w:w="57" w:type="dxa"/>
              <w:right w:w="57" w:type="dxa"/>
            </w:tcMar>
            <w:vAlign w:val="center"/>
          </w:tcPr>
          <w:p>
            <w:pPr>
              <w:spacing w:line="240" w:lineRule="exact"/>
              <w:ind w:left="102" w:firstLine="0" w:firstLineChars="0"/>
              <w:jc w:val="center"/>
              <w:rPr>
                <w:rFonts w:hint="default" w:eastAsia="宋体"/>
                <w:b/>
                <w:bCs/>
                <w:sz w:val="15"/>
                <w:szCs w:val="15"/>
                <w:lang w:val="en-US" w:eastAsia="zh-CN"/>
              </w:rPr>
            </w:pPr>
            <w:r>
              <w:rPr>
                <w:rFonts w:hint="eastAsia"/>
                <w:b/>
                <w:bCs/>
                <w:sz w:val="15"/>
                <w:szCs w:val="15"/>
                <w:lang w:val="en-US" w:eastAsia="zh-CN"/>
              </w:rPr>
              <w:t>2022.8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7" w:hRule="atLeast"/>
          <w:jc w:val="center"/>
        </w:trPr>
        <w:tc>
          <w:tcPr>
            <w:tcW w:w="584" w:type="dxa"/>
            <w:vMerge w:val="restart"/>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污染</w:t>
            </w:r>
          </w:p>
          <w:p>
            <w:pPr>
              <w:spacing w:line="240" w:lineRule="exact"/>
              <w:ind w:left="102" w:firstLine="0" w:firstLineChars="0"/>
              <w:jc w:val="center"/>
              <w:rPr>
                <w:b/>
                <w:bCs/>
                <w:sz w:val="15"/>
                <w:szCs w:val="15"/>
              </w:rPr>
            </w:pPr>
            <w:r>
              <w:rPr>
                <w:b/>
                <w:bCs/>
                <w:sz w:val="15"/>
                <w:szCs w:val="15"/>
              </w:rPr>
              <w:t>物排</w:t>
            </w:r>
          </w:p>
          <w:p>
            <w:pPr>
              <w:spacing w:line="240" w:lineRule="exact"/>
              <w:ind w:left="102" w:firstLine="0" w:firstLineChars="0"/>
              <w:jc w:val="center"/>
              <w:rPr>
                <w:b/>
                <w:bCs/>
                <w:sz w:val="15"/>
                <w:szCs w:val="15"/>
              </w:rPr>
            </w:pPr>
            <w:r>
              <w:rPr>
                <w:b/>
                <w:bCs/>
                <w:sz w:val="15"/>
                <w:szCs w:val="15"/>
              </w:rPr>
              <w:t>放达</w:t>
            </w:r>
          </w:p>
          <w:p>
            <w:pPr>
              <w:spacing w:line="240" w:lineRule="exact"/>
              <w:ind w:left="102" w:firstLine="0" w:firstLineChars="0"/>
              <w:jc w:val="center"/>
              <w:rPr>
                <w:b/>
                <w:bCs/>
                <w:sz w:val="15"/>
                <w:szCs w:val="15"/>
              </w:rPr>
            </w:pPr>
            <w:r>
              <w:rPr>
                <w:b/>
                <w:bCs/>
                <w:sz w:val="15"/>
                <w:szCs w:val="15"/>
              </w:rPr>
              <w:t>标与</w:t>
            </w:r>
          </w:p>
          <w:p>
            <w:pPr>
              <w:spacing w:line="240" w:lineRule="exact"/>
              <w:ind w:left="102" w:firstLine="0" w:firstLineChars="0"/>
              <w:jc w:val="center"/>
              <w:rPr>
                <w:b/>
                <w:bCs/>
                <w:sz w:val="15"/>
                <w:szCs w:val="15"/>
              </w:rPr>
            </w:pPr>
            <w:r>
              <w:rPr>
                <w:b/>
                <w:bCs/>
                <w:sz w:val="15"/>
                <w:szCs w:val="15"/>
              </w:rPr>
              <w:t>总量</w:t>
            </w:r>
          </w:p>
          <w:p>
            <w:pPr>
              <w:spacing w:line="240" w:lineRule="exact"/>
              <w:ind w:left="102" w:firstLine="0" w:firstLineChars="0"/>
              <w:jc w:val="center"/>
              <w:rPr>
                <w:b/>
                <w:bCs/>
                <w:sz w:val="15"/>
                <w:szCs w:val="15"/>
              </w:rPr>
            </w:pPr>
            <w:r>
              <w:rPr>
                <w:b/>
                <w:bCs/>
                <w:sz w:val="15"/>
                <w:szCs w:val="15"/>
              </w:rPr>
              <w:t>控制（工</w:t>
            </w:r>
          </w:p>
          <w:p>
            <w:pPr>
              <w:spacing w:line="240" w:lineRule="exact"/>
              <w:ind w:left="102" w:firstLine="0" w:firstLineChars="0"/>
              <w:jc w:val="center"/>
              <w:rPr>
                <w:b/>
                <w:bCs/>
                <w:sz w:val="15"/>
                <w:szCs w:val="15"/>
              </w:rPr>
            </w:pPr>
            <w:r>
              <w:rPr>
                <w:b/>
                <w:bCs/>
                <w:sz w:val="15"/>
                <w:szCs w:val="15"/>
              </w:rPr>
              <w:t>业建</w:t>
            </w:r>
          </w:p>
          <w:p>
            <w:pPr>
              <w:spacing w:line="240" w:lineRule="exact"/>
              <w:ind w:left="102" w:firstLine="0" w:firstLineChars="0"/>
              <w:jc w:val="center"/>
              <w:rPr>
                <w:b/>
                <w:bCs/>
                <w:sz w:val="15"/>
                <w:szCs w:val="15"/>
              </w:rPr>
            </w:pPr>
            <w:r>
              <w:rPr>
                <w:b/>
                <w:bCs/>
                <w:sz w:val="15"/>
                <w:szCs w:val="15"/>
              </w:rPr>
              <w:t>设项</w:t>
            </w:r>
          </w:p>
          <w:p>
            <w:pPr>
              <w:spacing w:line="240" w:lineRule="exact"/>
              <w:ind w:left="102" w:firstLine="0" w:firstLineChars="0"/>
              <w:jc w:val="center"/>
              <w:rPr>
                <w:b/>
                <w:bCs/>
                <w:sz w:val="15"/>
                <w:szCs w:val="15"/>
              </w:rPr>
            </w:pPr>
            <w:r>
              <w:rPr>
                <w:b/>
                <w:bCs/>
                <w:sz w:val="15"/>
                <w:szCs w:val="15"/>
              </w:rPr>
              <w:t>目详填）</w:t>
            </w:r>
          </w:p>
        </w:tc>
        <w:tc>
          <w:tcPr>
            <w:tcW w:w="188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污染物</w:t>
            </w:r>
          </w:p>
        </w:tc>
        <w:tc>
          <w:tcPr>
            <w:tcW w:w="695"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原有排放量(1)</w:t>
            </w:r>
          </w:p>
        </w:tc>
        <w:tc>
          <w:tcPr>
            <w:tcW w:w="1175" w:type="dxa"/>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本期工程实际排放浓度(2)</w:t>
            </w:r>
          </w:p>
        </w:tc>
        <w:tc>
          <w:tcPr>
            <w:tcW w:w="1050"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本期工程允许排放浓度(3)</w:t>
            </w:r>
          </w:p>
        </w:tc>
        <w:tc>
          <w:tcPr>
            <w:tcW w:w="875" w:type="dxa"/>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本期工程产生量(4)</w:t>
            </w:r>
          </w:p>
        </w:tc>
        <w:tc>
          <w:tcPr>
            <w:tcW w:w="1025"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本期工程自身削减量(5)</w:t>
            </w:r>
          </w:p>
        </w:tc>
        <w:tc>
          <w:tcPr>
            <w:tcW w:w="1025" w:type="dxa"/>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本期工程实际排放量(6)</w:t>
            </w:r>
          </w:p>
        </w:tc>
        <w:tc>
          <w:tcPr>
            <w:tcW w:w="1475"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本期工程核定排放总量(7)</w:t>
            </w:r>
          </w:p>
        </w:tc>
        <w:tc>
          <w:tcPr>
            <w:tcW w:w="1500" w:type="dxa"/>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本期工程“以新带老”削减量(8)</w:t>
            </w:r>
          </w:p>
        </w:tc>
        <w:tc>
          <w:tcPr>
            <w:tcW w:w="1144" w:type="dxa"/>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全厂实际排放总量(9)</w:t>
            </w:r>
          </w:p>
        </w:tc>
        <w:tc>
          <w:tcPr>
            <w:tcW w:w="1214"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全厂核定排放总量(10)</w:t>
            </w:r>
          </w:p>
        </w:tc>
        <w:tc>
          <w:tcPr>
            <w:tcW w:w="933" w:type="dxa"/>
            <w:gridSpan w:val="3"/>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区域平衡替代削减量(11)</w:t>
            </w:r>
          </w:p>
        </w:tc>
        <w:tc>
          <w:tcPr>
            <w:tcW w:w="918" w:type="dxa"/>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4" w:type="dxa"/>
            <w:vMerge w:val="continue"/>
            <w:noWrap w:val="0"/>
            <w:tcMar>
              <w:left w:w="57" w:type="dxa"/>
              <w:right w:w="57" w:type="dxa"/>
            </w:tcMar>
            <w:vAlign w:val="center"/>
          </w:tcPr>
          <w:p>
            <w:pPr>
              <w:spacing w:line="240" w:lineRule="exact"/>
              <w:ind w:left="102" w:firstLine="0" w:firstLineChars="0"/>
              <w:jc w:val="center"/>
              <w:rPr>
                <w:b/>
                <w:bCs/>
                <w:sz w:val="15"/>
                <w:szCs w:val="15"/>
              </w:rPr>
            </w:pPr>
          </w:p>
        </w:tc>
        <w:tc>
          <w:tcPr>
            <w:tcW w:w="188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废水</w:t>
            </w:r>
          </w:p>
        </w:tc>
        <w:tc>
          <w:tcPr>
            <w:tcW w:w="695"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175" w:type="dxa"/>
            <w:noWrap w:val="0"/>
            <w:tcMar>
              <w:left w:w="57" w:type="dxa"/>
              <w:right w:w="57" w:type="dxa"/>
            </w:tcMar>
            <w:vAlign w:val="top"/>
          </w:tcPr>
          <w:p>
            <w:pPr>
              <w:spacing w:line="240" w:lineRule="exact"/>
              <w:ind w:firstLine="0" w:firstLineChars="0"/>
              <w:jc w:val="center"/>
              <w:rPr>
                <w:b/>
                <w:bCs/>
                <w:sz w:val="15"/>
                <w:szCs w:val="15"/>
              </w:rPr>
            </w:pPr>
            <w:r>
              <w:rPr>
                <w:b/>
                <w:bCs/>
                <w:sz w:val="15"/>
                <w:szCs w:val="15"/>
              </w:rPr>
              <w:t>/</w:t>
            </w:r>
          </w:p>
        </w:tc>
        <w:tc>
          <w:tcPr>
            <w:tcW w:w="1050" w:type="dxa"/>
            <w:noWrap w:val="0"/>
            <w:tcMar>
              <w:left w:w="57" w:type="dxa"/>
              <w:right w:w="57" w:type="dxa"/>
            </w:tcMar>
            <w:vAlign w:val="top"/>
          </w:tcPr>
          <w:p>
            <w:pPr>
              <w:spacing w:line="240" w:lineRule="exact"/>
              <w:ind w:firstLine="0" w:firstLineChars="0"/>
              <w:jc w:val="center"/>
              <w:rPr>
                <w:b/>
                <w:bCs/>
                <w:sz w:val="15"/>
                <w:szCs w:val="15"/>
              </w:rPr>
            </w:pPr>
            <w:r>
              <w:rPr>
                <w:b/>
                <w:bCs/>
                <w:sz w:val="15"/>
                <w:szCs w:val="15"/>
              </w:rPr>
              <w:t>/</w:t>
            </w:r>
          </w:p>
        </w:tc>
        <w:tc>
          <w:tcPr>
            <w:tcW w:w="875" w:type="dxa"/>
            <w:noWrap w:val="0"/>
            <w:tcMar>
              <w:left w:w="57" w:type="dxa"/>
              <w:right w:w="57" w:type="dxa"/>
            </w:tcMar>
            <w:vAlign w:val="top"/>
          </w:tcPr>
          <w:p>
            <w:pPr>
              <w:spacing w:line="240" w:lineRule="exact"/>
              <w:ind w:firstLine="0" w:firstLineChars="0"/>
              <w:jc w:val="center"/>
              <w:rPr>
                <w:b/>
                <w:bCs/>
                <w:sz w:val="15"/>
                <w:szCs w:val="15"/>
              </w:rPr>
            </w:pPr>
            <w:r>
              <w:rPr>
                <w:rFonts w:hint="eastAsia"/>
                <w:b/>
                <w:bCs/>
                <w:sz w:val="15"/>
                <w:szCs w:val="15"/>
              </w:rPr>
              <w:t>36</w:t>
            </w:r>
            <w:r>
              <w:rPr>
                <w:rFonts w:hint="eastAsia"/>
                <w:b/>
                <w:bCs/>
                <w:sz w:val="15"/>
                <w:szCs w:val="15"/>
                <w:lang w:val="en-US" w:eastAsia="zh-CN"/>
              </w:rPr>
              <w:t>.</w:t>
            </w:r>
            <w:r>
              <w:rPr>
                <w:rFonts w:hint="eastAsia"/>
                <w:b/>
                <w:bCs/>
                <w:sz w:val="15"/>
                <w:szCs w:val="15"/>
              </w:rPr>
              <w:t>5</w:t>
            </w:r>
          </w:p>
        </w:tc>
        <w:tc>
          <w:tcPr>
            <w:tcW w:w="1025" w:type="dxa"/>
            <w:gridSpan w:val="2"/>
            <w:noWrap w:val="0"/>
            <w:tcMar>
              <w:left w:w="57" w:type="dxa"/>
              <w:right w:w="57" w:type="dxa"/>
            </w:tcMar>
            <w:vAlign w:val="top"/>
          </w:tcPr>
          <w:p>
            <w:pPr>
              <w:spacing w:line="240" w:lineRule="exact"/>
              <w:ind w:firstLine="0" w:firstLineChars="0"/>
              <w:jc w:val="center"/>
              <w:rPr>
                <w:rFonts w:hint="eastAsia" w:eastAsia="宋体"/>
                <w:b/>
                <w:bCs/>
                <w:sz w:val="15"/>
                <w:szCs w:val="15"/>
                <w:lang w:eastAsia="zh-CN"/>
              </w:rPr>
            </w:pPr>
            <w:r>
              <w:rPr>
                <w:rFonts w:hint="eastAsia"/>
                <w:b/>
                <w:bCs/>
                <w:sz w:val="15"/>
                <w:szCs w:val="15"/>
                <w:lang w:val="en-US" w:eastAsia="zh-CN"/>
              </w:rPr>
              <w:t>/</w:t>
            </w:r>
          </w:p>
        </w:tc>
        <w:tc>
          <w:tcPr>
            <w:tcW w:w="1025" w:type="dxa"/>
            <w:noWrap w:val="0"/>
            <w:tcMar>
              <w:left w:w="57" w:type="dxa"/>
              <w:right w:w="57" w:type="dxa"/>
            </w:tcMar>
            <w:vAlign w:val="top"/>
          </w:tcPr>
          <w:p>
            <w:pPr>
              <w:spacing w:line="240" w:lineRule="exact"/>
              <w:ind w:firstLine="0" w:firstLineChars="0"/>
              <w:jc w:val="center"/>
              <w:rPr>
                <w:rFonts w:hint="default" w:eastAsia="宋体"/>
                <w:b/>
                <w:bCs/>
                <w:sz w:val="15"/>
                <w:szCs w:val="15"/>
                <w:lang w:val="en-US" w:eastAsia="zh-CN"/>
              </w:rPr>
            </w:pPr>
            <w:r>
              <w:rPr>
                <w:rFonts w:hint="eastAsia"/>
                <w:b/>
                <w:bCs/>
                <w:sz w:val="15"/>
                <w:szCs w:val="15"/>
                <w:lang w:val="en-US" w:eastAsia="zh-CN"/>
              </w:rPr>
              <w:t>36.5</w:t>
            </w:r>
          </w:p>
        </w:tc>
        <w:tc>
          <w:tcPr>
            <w:tcW w:w="1475" w:type="dxa"/>
            <w:gridSpan w:val="2"/>
            <w:noWrap w:val="0"/>
            <w:tcMar>
              <w:left w:w="57" w:type="dxa"/>
              <w:right w:w="57" w:type="dxa"/>
            </w:tcMar>
            <w:vAlign w:val="top"/>
          </w:tcPr>
          <w:p>
            <w:pPr>
              <w:spacing w:line="240" w:lineRule="exact"/>
              <w:ind w:firstLine="0" w:firstLineChars="0"/>
              <w:jc w:val="center"/>
              <w:rPr>
                <w:rFonts w:hint="default" w:eastAsia="宋体"/>
                <w:b/>
                <w:bCs/>
                <w:sz w:val="15"/>
                <w:szCs w:val="15"/>
                <w:lang w:val="en-US" w:eastAsia="zh-CN"/>
              </w:rPr>
            </w:pPr>
            <w:r>
              <w:rPr>
                <w:rFonts w:hint="eastAsia"/>
                <w:b/>
                <w:bCs/>
                <w:sz w:val="15"/>
                <w:szCs w:val="15"/>
                <w:lang w:val="en-US" w:eastAsia="zh-CN"/>
              </w:rPr>
              <w:t>36.5</w:t>
            </w:r>
          </w:p>
        </w:tc>
        <w:tc>
          <w:tcPr>
            <w:tcW w:w="1500" w:type="dxa"/>
            <w:noWrap w:val="0"/>
            <w:tcMar>
              <w:left w:w="57" w:type="dxa"/>
              <w:right w:w="57" w:type="dxa"/>
            </w:tcMar>
            <w:vAlign w:val="top"/>
          </w:tcPr>
          <w:p>
            <w:pPr>
              <w:spacing w:line="240" w:lineRule="exact"/>
              <w:ind w:firstLine="0" w:firstLineChars="0"/>
              <w:jc w:val="center"/>
              <w:rPr>
                <w:b/>
                <w:bCs/>
                <w:sz w:val="15"/>
                <w:szCs w:val="15"/>
              </w:rPr>
            </w:pPr>
            <w:r>
              <w:rPr>
                <w:b/>
                <w:bCs/>
                <w:sz w:val="15"/>
                <w:szCs w:val="15"/>
              </w:rPr>
              <w:t>/</w:t>
            </w:r>
          </w:p>
        </w:tc>
        <w:tc>
          <w:tcPr>
            <w:tcW w:w="1144" w:type="dxa"/>
            <w:noWrap w:val="0"/>
            <w:tcMar>
              <w:left w:w="57" w:type="dxa"/>
              <w:right w:w="57" w:type="dxa"/>
            </w:tcMar>
            <w:vAlign w:val="top"/>
          </w:tcPr>
          <w:p>
            <w:pPr>
              <w:spacing w:line="240" w:lineRule="exact"/>
              <w:ind w:firstLine="0" w:firstLineChars="0"/>
              <w:jc w:val="center"/>
              <w:rPr>
                <w:rFonts w:hint="default" w:eastAsia="宋体"/>
                <w:b/>
                <w:bCs/>
                <w:sz w:val="15"/>
                <w:szCs w:val="15"/>
                <w:lang w:val="en-US" w:eastAsia="zh-CN"/>
              </w:rPr>
            </w:pPr>
            <w:r>
              <w:rPr>
                <w:rFonts w:hint="eastAsia"/>
                <w:b/>
                <w:bCs/>
                <w:sz w:val="15"/>
                <w:szCs w:val="15"/>
                <w:lang w:val="en-US" w:eastAsia="zh-CN"/>
              </w:rPr>
              <w:t>36.5</w:t>
            </w:r>
          </w:p>
        </w:tc>
        <w:tc>
          <w:tcPr>
            <w:tcW w:w="1214" w:type="dxa"/>
            <w:gridSpan w:val="2"/>
            <w:noWrap w:val="0"/>
            <w:tcMar>
              <w:left w:w="57" w:type="dxa"/>
              <w:right w:w="57" w:type="dxa"/>
            </w:tcMar>
            <w:vAlign w:val="top"/>
          </w:tcPr>
          <w:p>
            <w:pPr>
              <w:spacing w:line="240" w:lineRule="exact"/>
              <w:ind w:firstLine="0" w:firstLineChars="0"/>
              <w:jc w:val="center"/>
              <w:rPr>
                <w:rFonts w:hint="default" w:ascii="Times New Roman" w:hAnsi="Times New Roman" w:eastAsia="宋体"/>
                <w:b/>
                <w:bCs/>
                <w:kern w:val="2"/>
                <w:sz w:val="15"/>
                <w:szCs w:val="15"/>
                <w:lang w:val="en-US" w:eastAsia="zh-CN" w:bidi="ar-SA"/>
              </w:rPr>
            </w:pPr>
            <w:r>
              <w:rPr>
                <w:rFonts w:hint="eastAsia"/>
                <w:b/>
                <w:bCs/>
                <w:sz w:val="15"/>
                <w:szCs w:val="15"/>
                <w:lang w:val="en-US" w:eastAsia="zh-CN"/>
              </w:rPr>
              <w:t>36.5</w:t>
            </w:r>
          </w:p>
        </w:tc>
        <w:tc>
          <w:tcPr>
            <w:tcW w:w="933" w:type="dxa"/>
            <w:gridSpan w:val="3"/>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918" w:type="dxa"/>
            <w:noWrap w:val="0"/>
            <w:tcMar>
              <w:left w:w="57" w:type="dxa"/>
              <w:right w:w="57" w:type="dxa"/>
            </w:tcMar>
            <w:vAlign w:val="center"/>
          </w:tcPr>
          <w:p>
            <w:pPr>
              <w:spacing w:line="240" w:lineRule="exact"/>
              <w:ind w:firstLine="0" w:firstLineChars="0"/>
              <w:jc w:val="center"/>
              <w:rPr>
                <w:rFonts w:hint="default" w:eastAsia="宋体"/>
                <w:b/>
                <w:bCs/>
                <w:sz w:val="15"/>
                <w:szCs w:val="15"/>
                <w:lang w:val="en-US" w:eastAsia="zh-CN"/>
              </w:rPr>
            </w:pPr>
            <w:r>
              <w:rPr>
                <w:rFonts w:hint="eastAsia"/>
                <w:b/>
                <w:bCs/>
                <w:sz w:val="15"/>
                <w:szCs w:val="15"/>
                <w:lang w:val="en-US" w:eastAsia="zh-CN"/>
              </w:rPr>
              <w:t>+36.5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84" w:type="dxa"/>
            <w:vMerge w:val="continue"/>
            <w:noWrap w:val="0"/>
            <w:tcMar>
              <w:left w:w="57" w:type="dxa"/>
              <w:right w:w="57" w:type="dxa"/>
            </w:tcMar>
            <w:vAlign w:val="center"/>
          </w:tcPr>
          <w:p>
            <w:pPr>
              <w:spacing w:line="240" w:lineRule="exact"/>
              <w:ind w:left="102" w:firstLine="0" w:firstLineChars="0"/>
              <w:jc w:val="center"/>
              <w:rPr>
                <w:b/>
                <w:bCs/>
                <w:sz w:val="15"/>
                <w:szCs w:val="15"/>
              </w:rPr>
            </w:pPr>
          </w:p>
        </w:tc>
        <w:tc>
          <w:tcPr>
            <w:tcW w:w="188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化学需氧量</w:t>
            </w:r>
          </w:p>
        </w:tc>
        <w:tc>
          <w:tcPr>
            <w:tcW w:w="695"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175" w:type="dxa"/>
            <w:noWrap w:val="0"/>
            <w:tcMar>
              <w:left w:w="57" w:type="dxa"/>
              <w:right w:w="57" w:type="dxa"/>
            </w:tcMar>
            <w:vAlign w:val="top"/>
          </w:tcPr>
          <w:p>
            <w:pPr>
              <w:spacing w:line="240" w:lineRule="exact"/>
              <w:ind w:firstLine="0" w:firstLineChars="0"/>
              <w:jc w:val="center"/>
              <w:rPr>
                <w:rFonts w:hint="default" w:eastAsia="宋体"/>
                <w:b/>
                <w:bCs/>
                <w:sz w:val="15"/>
                <w:szCs w:val="15"/>
                <w:lang w:val="en-US" w:eastAsia="zh-CN"/>
              </w:rPr>
            </w:pPr>
            <w:r>
              <w:rPr>
                <w:rFonts w:hint="eastAsia"/>
                <w:b/>
                <w:bCs/>
                <w:sz w:val="15"/>
                <w:szCs w:val="15"/>
                <w:lang w:val="en-US" w:eastAsia="zh-CN"/>
              </w:rPr>
              <w:t>28</w:t>
            </w:r>
          </w:p>
        </w:tc>
        <w:tc>
          <w:tcPr>
            <w:tcW w:w="1050" w:type="dxa"/>
            <w:noWrap w:val="0"/>
            <w:tcMar>
              <w:left w:w="57" w:type="dxa"/>
              <w:right w:w="57" w:type="dxa"/>
            </w:tcMar>
            <w:vAlign w:val="top"/>
          </w:tcPr>
          <w:p>
            <w:pPr>
              <w:spacing w:line="240" w:lineRule="exact"/>
              <w:ind w:firstLine="0" w:firstLineChars="0"/>
              <w:jc w:val="center"/>
              <w:rPr>
                <w:rFonts w:hint="default" w:eastAsia="宋体"/>
                <w:b/>
                <w:bCs/>
                <w:sz w:val="15"/>
                <w:szCs w:val="15"/>
                <w:lang w:val="en-US" w:eastAsia="zh-CN"/>
              </w:rPr>
            </w:pPr>
            <w:r>
              <w:rPr>
                <w:rFonts w:hint="eastAsia"/>
                <w:b/>
                <w:bCs/>
                <w:sz w:val="15"/>
                <w:szCs w:val="15"/>
                <w:lang w:val="en-US" w:eastAsia="zh-CN"/>
              </w:rPr>
              <w:t>40</w:t>
            </w:r>
          </w:p>
        </w:tc>
        <w:tc>
          <w:tcPr>
            <w:tcW w:w="875" w:type="dxa"/>
            <w:noWrap w:val="0"/>
            <w:tcMar>
              <w:left w:w="57" w:type="dxa"/>
              <w:right w:w="57" w:type="dxa"/>
            </w:tcMar>
            <w:vAlign w:val="top"/>
          </w:tcPr>
          <w:p>
            <w:pPr>
              <w:spacing w:line="240" w:lineRule="exact"/>
              <w:ind w:firstLine="0" w:firstLineChars="0"/>
              <w:jc w:val="center"/>
              <w:rPr>
                <w:rFonts w:hint="default" w:eastAsia="宋体"/>
                <w:b/>
                <w:bCs/>
                <w:sz w:val="15"/>
                <w:szCs w:val="15"/>
                <w:lang w:val="en-US" w:eastAsia="zh-CN"/>
              </w:rPr>
            </w:pPr>
            <w:r>
              <w:rPr>
                <w:rFonts w:hint="eastAsia"/>
                <w:b/>
                <w:bCs/>
                <w:sz w:val="15"/>
                <w:szCs w:val="15"/>
                <w:lang w:val="en-US" w:eastAsia="zh-CN"/>
              </w:rPr>
              <w:t>58.77</w:t>
            </w:r>
          </w:p>
        </w:tc>
        <w:tc>
          <w:tcPr>
            <w:tcW w:w="1025" w:type="dxa"/>
            <w:gridSpan w:val="2"/>
            <w:noWrap w:val="0"/>
            <w:tcMar>
              <w:left w:w="57" w:type="dxa"/>
              <w:right w:w="57" w:type="dxa"/>
            </w:tcMar>
            <w:vAlign w:val="top"/>
          </w:tcPr>
          <w:p>
            <w:pPr>
              <w:spacing w:line="240" w:lineRule="exact"/>
              <w:ind w:firstLine="0" w:firstLineChars="0"/>
              <w:jc w:val="center"/>
              <w:rPr>
                <w:rFonts w:hint="default" w:eastAsia="宋体"/>
                <w:b/>
                <w:bCs/>
                <w:sz w:val="15"/>
                <w:szCs w:val="15"/>
                <w:lang w:val="en-US" w:eastAsia="zh-CN"/>
              </w:rPr>
            </w:pPr>
            <w:r>
              <w:rPr>
                <w:rFonts w:hint="eastAsia"/>
                <w:b/>
                <w:bCs/>
                <w:sz w:val="15"/>
                <w:szCs w:val="15"/>
                <w:lang w:val="en-US" w:eastAsia="zh-CN"/>
              </w:rPr>
              <w:t>48.55</w:t>
            </w:r>
          </w:p>
        </w:tc>
        <w:tc>
          <w:tcPr>
            <w:tcW w:w="1025" w:type="dxa"/>
            <w:noWrap w:val="0"/>
            <w:tcMar>
              <w:left w:w="57" w:type="dxa"/>
              <w:right w:w="57" w:type="dxa"/>
            </w:tcMar>
            <w:vAlign w:val="top"/>
          </w:tcPr>
          <w:p>
            <w:pPr>
              <w:spacing w:line="240" w:lineRule="exact"/>
              <w:ind w:firstLine="0" w:firstLineChars="0"/>
              <w:jc w:val="center"/>
              <w:rPr>
                <w:rFonts w:hint="default" w:eastAsia="宋体"/>
                <w:b/>
                <w:bCs/>
                <w:sz w:val="15"/>
                <w:szCs w:val="15"/>
                <w:lang w:val="en-US" w:eastAsia="zh-CN"/>
              </w:rPr>
            </w:pPr>
            <w:r>
              <w:rPr>
                <w:rFonts w:hint="eastAsia"/>
                <w:b/>
                <w:bCs/>
                <w:sz w:val="15"/>
                <w:szCs w:val="15"/>
                <w:lang w:val="en-US" w:eastAsia="zh-CN"/>
              </w:rPr>
              <w:t>10.22</w:t>
            </w:r>
          </w:p>
        </w:tc>
        <w:tc>
          <w:tcPr>
            <w:tcW w:w="1475" w:type="dxa"/>
            <w:gridSpan w:val="2"/>
            <w:noWrap w:val="0"/>
            <w:tcMar>
              <w:left w:w="57" w:type="dxa"/>
              <w:right w:w="57" w:type="dxa"/>
            </w:tcMar>
            <w:vAlign w:val="center"/>
          </w:tcPr>
          <w:p>
            <w:pPr>
              <w:spacing w:line="240" w:lineRule="exact"/>
              <w:ind w:firstLine="0" w:firstLineChars="0"/>
              <w:jc w:val="center"/>
              <w:rPr>
                <w:rFonts w:hint="default" w:eastAsia="宋体"/>
                <w:b/>
                <w:bCs/>
                <w:sz w:val="15"/>
                <w:szCs w:val="15"/>
                <w:lang w:val="en-US" w:eastAsia="zh-CN"/>
              </w:rPr>
            </w:pPr>
            <w:r>
              <w:rPr>
                <w:rFonts w:hint="eastAsia"/>
                <w:b/>
                <w:bCs/>
                <w:sz w:val="15"/>
                <w:szCs w:val="15"/>
                <w:lang w:val="en-US" w:eastAsia="zh-CN"/>
              </w:rPr>
              <w:t>14.6</w:t>
            </w:r>
          </w:p>
        </w:tc>
        <w:tc>
          <w:tcPr>
            <w:tcW w:w="1500" w:type="dxa"/>
            <w:noWrap w:val="0"/>
            <w:tcMar>
              <w:left w:w="57" w:type="dxa"/>
              <w:right w:w="57" w:type="dxa"/>
            </w:tcMar>
            <w:vAlign w:val="center"/>
          </w:tcPr>
          <w:p>
            <w:pPr>
              <w:spacing w:line="240" w:lineRule="exact"/>
              <w:ind w:firstLine="0" w:firstLineChars="0"/>
              <w:jc w:val="center"/>
              <w:rPr>
                <w:rFonts w:hint="default" w:eastAsia="宋体"/>
                <w:b/>
                <w:bCs/>
                <w:sz w:val="15"/>
                <w:szCs w:val="15"/>
                <w:lang w:val="en-US" w:eastAsia="zh-CN"/>
              </w:rPr>
            </w:pPr>
            <w:r>
              <w:rPr>
                <w:rFonts w:hint="eastAsia"/>
                <w:b/>
                <w:bCs/>
                <w:sz w:val="15"/>
                <w:szCs w:val="15"/>
                <w:lang w:val="en-US" w:eastAsia="zh-CN"/>
              </w:rPr>
              <w:t>/</w:t>
            </w:r>
          </w:p>
        </w:tc>
        <w:tc>
          <w:tcPr>
            <w:tcW w:w="1144" w:type="dxa"/>
            <w:noWrap w:val="0"/>
            <w:tcMar>
              <w:left w:w="57" w:type="dxa"/>
              <w:right w:w="57" w:type="dxa"/>
            </w:tcMar>
            <w:vAlign w:val="top"/>
          </w:tcPr>
          <w:p>
            <w:pPr>
              <w:spacing w:line="240" w:lineRule="exact"/>
              <w:ind w:firstLine="0" w:firstLineChars="0"/>
              <w:jc w:val="center"/>
              <w:rPr>
                <w:rFonts w:hint="default" w:eastAsia="宋体"/>
                <w:b/>
                <w:bCs/>
                <w:sz w:val="15"/>
                <w:szCs w:val="15"/>
                <w:lang w:val="en-US" w:eastAsia="zh-CN"/>
              </w:rPr>
            </w:pPr>
            <w:r>
              <w:rPr>
                <w:rFonts w:hint="eastAsia"/>
                <w:b/>
                <w:bCs/>
                <w:sz w:val="15"/>
                <w:szCs w:val="15"/>
                <w:lang w:val="en-US" w:eastAsia="zh-CN"/>
              </w:rPr>
              <w:t>10.22</w:t>
            </w:r>
          </w:p>
        </w:tc>
        <w:tc>
          <w:tcPr>
            <w:tcW w:w="1214" w:type="dxa"/>
            <w:gridSpan w:val="2"/>
            <w:noWrap w:val="0"/>
            <w:tcMar>
              <w:left w:w="57" w:type="dxa"/>
              <w:right w:w="57" w:type="dxa"/>
            </w:tcMar>
            <w:vAlign w:val="center"/>
          </w:tcPr>
          <w:p>
            <w:pPr>
              <w:spacing w:line="240" w:lineRule="exact"/>
              <w:ind w:firstLine="0" w:firstLineChars="0"/>
              <w:jc w:val="center"/>
              <w:rPr>
                <w:rFonts w:hint="eastAsia" w:ascii="Times New Roman" w:hAnsi="Times New Roman" w:eastAsia="宋体"/>
                <w:b/>
                <w:bCs/>
                <w:kern w:val="2"/>
                <w:sz w:val="15"/>
                <w:szCs w:val="15"/>
                <w:lang w:val="en-US" w:eastAsia="zh-CN" w:bidi="ar-SA"/>
              </w:rPr>
            </w:pPr>
            <w:r>
              <w:rPr>
                <w:rFonts w:hint="eastAsia"/>
                <w:b/>
                <w:bCs/>
                <w:sz w:val="15"/>
                <w:szCs w:val="15"/>
                <w:lang w:val="en-US" w:eastAsia="zh-CN"/>
              </w:rPr>
              <w:t>14.6</w:t>
            </w:r>
          </w:p>
        </w:tc>
        <w:tc>
          <w:tcPr>
            <w:tcW w:w="933" w:type="dxa"/>
            <w:gridSpan w:val="3"/>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918" w:type="dxa"/>
            <w:noWrap w:val="0"/>
            <w:tcMar>
              <w:left w:w="57" w:type="dxa"/>
              <w:right w:w="57" w:type="dxa"/>
            </w:tcMar>
            <w:vAlign w:val="center"/>
          </w:tcPr>
          <w:p>
            <w:pPr>
              <w:spacing w:line="240" w:lineRule="exact"/>
              <w:ind w:firstLine="0" w:firstLineChars="0"/>
              <w:jc w:val="center"/>
              <w:rPr>
                <w:rFonts w:hint="default" w:eastAsia="宋体"/>
                <w:b/>
                <w:bCs/>
                <w:sz w:val="15"/>
                <w:szCs w:val="15"/>
                <w:lang w:val="en-US" w:eastAsia="zh-CN"/>
              </w:rPr>
            </w:pPr>
            <w:r>
              <w:rPr>
                <w:rFonts w:hint="eastAsia"/>
                <w:b/>
                <w:bCs/>
                <w:sz w:val="15"/>
                <w:szCs w:val="15"/>
                <w:lang w:val="en-US" w:eastAsia="zh-CN"/>
              </w:rPr>
              <w:t>+10.22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4" w:type="dxa"/>
            <w:vMerge w:val="continue"/>
            <w:noWrap w:val="0"/>
            <w:tcMar>
              <w:left w:w="57" w:type="dxa"/>
              <w:right w:w="57" w:type="dxa"/>
            </w:tcMar>
            <w:vAlign w:val="center"/>
          </w:tcPr>
          <w:p>
            <w:pPr>
              <w:spacing w:line="240" w:lineRule="exact"/>
              <w:ind w:left="102" w:firstLine="0" w:firstLineChars="0"/>
              <w:jc w:val="center"/>
              <w:rPr>
                <w:b/>
                <w:bCs/>
                <w:sz w:val="15"/>
                <w:szCs w:val="15"/>
              </w:rPr>
            </w:pPr>
          </w:p>
        </w:tc>
        <w:tc>
          <w:tcPr>
            <w:tcW w:w="188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氨氮</w:t>
            </w:r>
          </w:p>
        </w:tc>
        <w:tc>
          <w:tcPr>
            <w:tcW w:w="695"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175" w:type="dxa"/>
            <w:noWrap w:val="0"/>
            <w:tcMar>
              <w:left w:w="57" w:type="dxa"/>
              <w:right w:w="57" w:type="dxa"/>
            </w:tcMar>
            <w:vAlign w:val="top"/>
          </w:tcPr>
          <w:p>
            <w:pPr>
              <w:spacing w:line="240" w:lineRule="exact"/>
              <w:ind w:firstLine="0" w:firstLineChars="0"/>
              <w:jc w:val="center"/>
              <w:rPr>
                <w:rFonts w:hint="default" w:eastAsia="宋体"/>
                <w:b/>
                <w:bCs/>
                <w:sz w:val="15"/>
                <w:szCs w:val="15"/>
                <w:lang w:val="en-US" w:eastAsia="zh-CN"/>
              </w:rPr>
            </w:pPr>
            <w:r>
              <w:rPr>
                <w:rFonts w:hint="eastAsia"/>
                <w:b/>
                <w:bCs/>
                <w:sz w:val="15"/>
                <w:szCs w:val="15"/>
                <w:lang w:val="en-US" w:eastAsia="zh-CN"/>
              </w:rPr>
              <w:t>1.05</w:t>
            </w:r>
          </w:p>
        </w:tc>
        <w:tc>
          <w:tcPr>
            <w:tcW w:w="1050" w:type="dxa"/>
            <w:noWrap w:val="0"/>
            <w:tcMar>
              <w:left w:w="57" w:type="dxa"/>
              <w:right w:w="57" w:type="dxa"/>
            </w:tcMar>
            <w:vAlign w:val="top"/>
          </w:tcPr>
          <w:p>
            <w:pPr>
              <w:spacing w:line="240" w:lineRule="exact"/>
              <w:ind w:firstLine="0" w:firstLineChars="0"/>
              <w:jc w:val="center"/>
              <w:rPr>
                <w:rFonts w:hint="eastAsia" w:eastAsia="宋体"/>
                <w:b/>
                <w:bCs/>
                <w:sz w:val="15"/>
                <w:szCs w:val="15"/>
                <w:lang w:eastAsia="zh-CN"/>
              </w:rPr>
            </w:pPr>
            <w:r>
              <w:rPr>
                <w:rFonts w:hint="eastAsia"/>
                <w:b/>
                <w:bCs/>
                <w:sz w:val="15"/>
                <w:szCs w:val="15"/>
                <w:lang w:val="en-US" w:eastAsia="zh-CN"/>
              </w:rPr>
              <w:t>3</w:t>
            </w:r>
          </w:p>
        </w:tc>
        <w:tc>
          <w:tcPr>
            <w:tcW w:w="875" w:type="dxa"/>
            <w:noWrap w:val="0"/>
            <w:tcMar>
              <w:left w:w="57" w:type="dxa"/>
              <w:right w:w="57" w:type="dxa"/>
            </w:tcMar>
            <w:vAlign w:val="top"/>
          </w:tcPr>
          <w:p>
            <w:pPr>
              <w:spacing w:line="240" w:lineRule="exact"/>
              <w:ind w:firstLine="0" w:firstLineChars="0"/>
              <w:jc w:val="center"/>
              <w:rPr>
                <w:rFonts w:hint="default" w:eastAsia="宋体"/>
                <w:b/>
                <w:bCs/>
                <w:sz w:val="15"/>
                <w:szCs w:val="15"/>
                <w:lang w:val="en-US" w:eastAsia="zh-CN"/>
              </w:rPr>
            </w:pPr>
            <w:r>
              <w:rPr>
                <w:rFonts w:hint="eastAsia"/>
                <w:b/>
                <w:bCs/>
                <w:sz w:val="15"/>
                <w:szCs w:val="15"/>
                <w:lang w:val="en-US" w:eastAsia="zh-CN"/>
              </w:rPr>
              <w:t>6.81</w:t>
            </w:r>
          </w:p>
        </w:tc>
        <w:tc>
          <w:tcPr>
            <w:tcW w:w="1025" w:type="dxa"/>
            <w:gridSpan w:val="2"/>
            <w:noWrap w:val="0"/>
            <w:tcMar>
              <w:left w:w="57" w:type="dxa"/>
              <w:right w:w="57" w:type="dxa"/>
            </w:tcMar>
            <w:vAlign w:val="top"/>
          </w:tcPr>
          <w:p>
            <w:pPr>
              <w:spacing w:line="240" w:lineRule="exact"/>
              <w:ind w:firstLine="0" w:firstLineChars="0"/>
              <w:jc w:val="center"/>
              <w:rPr>
                <w:rFonts w:hint="default" w:eastAsia="宋体"/>
                <w:b/>
                <w:bCs/>
                <w:sz w:val="15"/>
                <w:szCs w:val="15"/>
                <w:lang w:val="en-US" w:eastAsia="zh-CN"/>
              </w:rPr>
            </w:pPr>
            <w:r>
              <w:rPr>
                <w:rFonts w:hint="eastAsia"/>
                <w:b/>
                <w:bCs/>
                <w:sz w:val="15"/>
                <w:szCs w:val="15"/>
                <w:lang w:val="en-US" w:eastAsia="zh-CN"/>
              </w:rPr>
              <w:t>6.427</w:t>
            </w:r>
          </w:p>
        </w:tc>
        <w:tc>
          <w:tcPr>
            <w:tcW w:w="1025" w:type="dxa"/>
            <w:noWrap w:val="0"/>
            <w:tcMar>
              <w:left w:w="57" w:type="dxa"/>
              <w:right w:w="57" w:type="dxa"/>
            </w:tcMar>
            <w:vAlign w:val="top"/>
          </w:tcPr>
          <w:p>
            <w:pPr>
              <w:spacing w:line="240" w:lineRule="exact"/>
              <w:ind w:firstLine="0" w:firstLineChars="0"/>
              <w:jc w:val="center"/>
              <w:rPr>
                <w:rFonts w:hint="default" w:eastAsia="宋体"/>
                <w:b/>
                <w:bCs/>
                <w:sz w:val="15"/>
                <w:szCs w:val="15"/>
                <w:lang w:val="en-US" w:eastAsia="zh-CN"/>
              </w:rPr>
            </w:pPr>
            <w:r>
              <w:rPr>
                <w:rFonts w:hint="eastAsia"/>
                <w:b/>
                <w:bCs/>
                <w:sz w:val="15"/>
                <w:szCs w:val="15"/>
                <w:lang w:val="en-US" w:eastAsia="zh-CN"/>
              </w:rPr>
              <w:t>0.383</w:t>
            </w:r>
          </w:p>
        </w:tc>
        <w:tc>
          <w:tcPr>
            <w:tcW w:w="1475" w:type="dxa"/>
            <w:gridSpan w:val="2"/>
            <w:noWrap w:val="0"/>
            <w:tcMar>
              <w:left w:w="57" w:type="dxa"/>
              <w:right w:w="57" w:type="dxa"/>
            </w:tcMar>
            <w:vAlign w:val="center"/>
          </w:tcPr>
          <w:p>
            <w:pPr>
              <w:spacing w:line="240" w:lineRule="exact"/>
              <w:ind w:firstLine="0" w:firstLineChars="0"/>
              <w:jc w:val="center"/>
              <w:rPr>
                <w:rFonts w:hint="default" w:eastAsia="宋体"/>
                <w:b/>
                <w:bCs/>
                <w:sz w:val="15"/>
                <w:szCs w:val="15"/>
                <w:lang w:val="en-US" w:eastAsia="zh-CN"/>
              </w:rPr>
            </w:pPr>
            <w:r>
              <w:rPr>
                <w:rFonts w:hint="eastAsia"/>
                <w:b/>
                <w:bCs/>
                <w:sz w:val="15"/>
                <w:szCs w:val="15"/>
                <w:lang w:val="en-US" w:eastAsia="zh-CN"/>
              </w:rPr>
              <w:t>1.095</w:t>
            </w:r>
          </w:p>
        </w:tc>
        <w:tc>
          <w:tcPr>
            <w:tcW w:w="1500" w:type="dxa"/>
            <w:noWrap w:val="0"/>
            <w:tcMar>
              <w:left w:w="57" w:type="dxa"/>
              <w:right w:w="57" w:type="dxa"/>
            </w:tcMar>
            <w:vAlign w:val="center"/>
          </w:tcPr>
          <w:p>
            <w:pPr>
              <w:spacing w:line="240" w:lineRule="exact"/>
              <w:ind w:firstLine="0" w:firstLineChars="0"/>
              <w:jc w:val="center"/>
              <w:rPr>
                <w:rFonts w:hint="default" w:eastAsia="宋体"/>
                <w:b/>
                <w:bCs/>
                <w:sz w:val="15"/>
                <w:szCs w:val="15"/>
                <w:lang w:val="en-US" w:eastAsia="zh-CN"/>
              </w:rPr>
            </w:pPr>
            <w:r>
              <w:rPr>
                <w:rFonts w:hint="eastAsia"/>
                <w:b/>
                <w:bCs/>
                <w:sz w:val="15"/>
                <w:szCs w:val="15"/>
                <w:lang w:val="en-US" w:eastAsia="zh-CN"/>
              </w:rPr>
              <w:t>/</w:t>
            </w:r>
          </w:p>
        </w:tc>
        <w:tc>
          <w:tcPr>
            <w:tcW w:w="1144" w:type="dxa"/>
            <w:noWrap w:val="0"/>
            <w:tcMar>
              <w:left w:w="57" w:type="dxa"/>
              <w:right w:w="57" w:type="dxa"/>
            </w:tcMar>
            <w:vAlign w:val="top"/>
          </w:tcPr>
          <w:p>
            <w:pPr>
              <w:spacing w:line="240" w:lineRule="exact"/>
              <w:ind w:firstLine="0" w:firstLineChars="0"/>
              <w:jc w:val="center"/>
              <w:rPr>
                <w:rFonts w:hint="default" w:eastAsia="宋体"/>
                <w:b/>
                <w:bCs/>
                <w:sz w:val="15"/>
                <w:szCs w:val="15"/>
                <w:lang w:val="en-US" w:eastAsia="zh-CN"/>
              </w:rPr>
            </w:pPr>
            <w:r>
              <w:rPr>
                <w:rFonts w:hint="eastAsia"/>
                <w:b/>
                <w:bCs/>
                <w:sz w:val="15"/>
                <w:szCs w:val="15"/>
                <w:lang w:val="en-US" w:eastAsia="zh-CN"/>
              </w:rPr>
              <w:t>0.383</w:t>
            </w:r>
          </w:p>
        </w:tc>
        <w:tc>
          <w:tcPr>
            <w:tcW w:w="1214" w:type="dxa"/>
            <w:gridSpan w:val="2"/>
            <w:noWrap w:val="0"/>
            <w:tcMar>
              <w:left w:w="57" w:type="dxa"/>
              <w:right w:w="57" w:type="dxa"/>
            </w:tcMar>
            <w:vAlign w:val="center"/>
          </w:tcPr>
          <w:p>
            <w:pPr>
              <w:spacing w:line="240" w:lineRule="exact"/>
              <w:ind w:firstLine="0" w:firstLineChars="0"/>
              <w:jc w:val="center"/>
              <w:rPr>
                <w:rFonts w:hint="default" w:ascii="Times New Roman" w:hAnsi="Times New Roman" w:eastAsia="宋体"/>
                <w:b/>
                <w:bCs/>
                <w:kern w:val="2"/>
                <w:sz w:val="15"/>
                <w:szCs w:val="15"/>
                <w:lang w:val="en-US" w:eastAsia="zh-CN" w:bidi="ar-SA"/>
              </w:rPr>
            </w:pPr>
            <w:r>
              <w:rPr>
                <w:rFonts w:hint="eastAsia"/>
                <w:b/>
                <w:bCs/>
                <w:sz w:val="15"/>
                <w:szCs w:val="15"/>
                <w:lang w:val="en-US" w:eastAsia="zh-CN"/>
              </w:rPr>
              <w:t>1.095</w:t>
            </w:r>
          </w:p>
        </w:tc>
        <w:tc>
          <w:tcPr>
            <w:tcW w:w="933" w:type="dxa"/>
            <w:gridSpan w:val="3"/>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918" w:type="dxa"/>
            <w:noWrap w:val="0"/>
            <w:tcMar>
              <w:left w:w="57" w:type="dxa"/>
              <w:right w:w="57" w:type="dxa"/>
            </w:tcMar>
            <w:vAlign w:val="center"/>
          </w:tcPr>
          <w:p>
            <w:pPr>
              <w:spacing w:line="240" w:lineRule="exact"/>
              <w:ind w:firstLine="0" w:firstLineChars="0"/>
              <w:jc w:val="center"/>
              <w:rPr>
                <w:rFonts w:hint="default" w:eastAsia="宋体"/>
                <w:b/>
                <w:bCs/>
                <w:sz w:val="15"/>
                <w:szCs w:val="15"/>
                <w:lang w:val="en-US" w:eastAsia="zh-CN"/>
              </w:rPr>
            </w:pPr>
            <w:r>
              <w:rPr>
                <w:rFonts w:hint="eastAsia"/>
                <w:b/>
                <w:bCs/>
                <w:sz w:val="15"/>
                <w:szCs w:val="15"/>
                <w:lang w:val="en-US" w:eastAsia="zh-CN"/>
              </w:rPr>
              <w:t>+0.383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4" w:type="dxa"/>
            <w:vMerge w:val="continue"/>
            <w:noWrap w:val="0"/>
            <w:tcMar>
              <w:left w:w="57" w:type="dxa"/>
              <w:right w:w="57" w:type="dxa"/>
            </w:tcMar>
            <w:vAlign w:val="center"/>
          </w:tcPr>
          <w:p>
            <w:pPr>
              <w:spacing w:line="240" w:lineRule="exact"/>
              <w:ind w:left="102" w:firstLine="0" w:firstLineChars="0"/>
              <w:jc w:val="center"/>
              <w:rPr>
                <w:b/>
                <w:bCs/>
                <w:sz w:val="15"/>
                <w:szCs w:val="15"/>
              </w:rPr>
            </w:pPr>
          </w:p>
        </w:tc>
        <w:tc>
          <w:tcPr>
            <w:tcW w:w="188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总磷</w:t>
            </w:r>
          </w:p>
        </w:tc>
        <w:tc>
          <w:tcPr>
            <w:tcW w:w="695"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175"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050"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875"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025" w:type="dxa"/>
            <w:gridSpan w:val="2"/>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025"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475" w:type="dxa"/>
            <w:gridSpan w:val="2"/>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500" w:type="dxa"/>
            <w:noWrap w:val="0"/>
            <w:tcMar>
              <w:left w:w="57" w:type="dxa"/>
              <w:right w:w="57" w:type="dxa"/>
            </w:tcMar>
            <w:vAlign w:val="center"/>
          </w:tcPr>
          <w:p>
            <w:pPr>
              <w:spacing w:line="240" w:lineRule="exact"/>
              <w:ind w:firstLine="0" w:firstLineChars="0"/>
              <w:jc w:val="center"/>
              <w:rPr>
                <w:rFonts w:hint="default" w:ascii="Times New Roman" w:hAnsi="Times New Roman"/>
                <w:b/>
                <w:bCs/>
                <w:kern w:val="2"/>
                <w:sz w:val="15"/>
                <w:szCs w:val="15"/>
                <w:lang w:val="en-US" w:eastAsia="zh-CN" w:bidi="ar-SA"/>
              </w:rPr>
            </w:pPr>
            <w:r>
              <w:rPr>
                <w:b/>
                <w:bCs/>
                <w:sz w:val="15"/>
                <w:szCs w:val="15"/>
              </w:rPr>
              <w:t>/</w:t>
            </w:r>
          </w:p>
        </w:tc>
        <w:tc>
          <w:tcPr>
            <w:tcW w:w="1144"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214" w:type="dxa"/>
            <w:gridSpan w:val="2"/>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933" w:type="dxa"/>
            <w:gridSpan w:val="3"/>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918"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84" w:type="dxa"/>
            <w:vMerge w:val="continue"/>
            <w:noWrap w:val="0"/>
            <w:tcMar>
              <w:left w:w="57" w:type="dxa"/>
              <w:right w:w="57" w:type="dxa"/>
            </w:tcMar>
            <w:vAlign w:val="center"/>
          </w:tcPr>
          <w:p>
            <w:pPr>
              <w:spacing w:line="240" w:lineRule="exact"/>
              <w:ind w:left="102" w:firstLine="0" w:firstLineChars="0"/>
              <w:jc w:val="center"/>
              <w:rPr>
                <w:b/>
                <w:bCs/>
                <w:sz w:val="15"/>
                <w:szCs w:val="15"/>
              </w:rPr>
            </w:pPr>
          </w:p>
        </w:tc>
        <w:tc>
          <w:tcPr>
            <w:tcW w:w="188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废气</w:t>
            </w:r>
          </w:p>
        </w:tc>
        <w:tc>
          <w:tcPr>
            <w:tcW w:w="695"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175"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050"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875" w:type="dxa"/>
            <w:noWrap w:val="0"/>
            <w:tcMar>
              <w:left w:w="57" w:type="dxa"/>
              <w:right w:w="57" w:type="dxa"/>
            </w:tcMar>
            <w:vAlign w:val="center"/>
          </w:tcPr>
          <w:p>
            <w:pPr>
              <w:spacing w:line="240" w:lineRule="exact"/>
              <w:ind w:firstLine="0" w:firstLineChars="0"/>
              <w:jc w:val="center"/>
              <w:rPr>
                <w:rFonts w:ascii="Times New Roman" w:hAnsi="Times New Roman"/>
                <w:kern w:val="0"/>
                <w:sz w:val="21"/>
                <w:szCs w:val="21"/>
                <w:lang w:val="en-US" w:eastAsia="zh-CN" w:bidi="ar-SA"/>
              </w:rPr>
            </w:pPr>
            <w:r>
              <w:rPr>
                <w:b/>
                <w:bCs/>
                <w:sz w:val="15"/>
                <w:szCs w:val="15"/>
              </w:rPr>
              <w:t>/</w:t>
            </w:r>
          </w:p>
        </w:tc>
        <w:tc>
          <w:tcPr>
            <w:tcW w:w="1025" w:type="dxa"/>
            <w:gridSpan w:val="2"/>
            <w:noWrap w:val="0"/>
            <w:tcMar>
              <w:left w:w="57" w:type="dxa"/>
              <w:right w:w="57" w:type="dxa"/>
            </w:tcMar>
            <w:vAlign w:val="center"/>
          </w:tcPr>
          <w:p>
            <w:pPr>
              <w:spacing w:line="240" w:lineRule="exact"/>
              <w:ind w:firstLine="0" w:firstLineChars="0"/>
              <w:jc w:val="center"/>
              <w:rPr>
                <w:rFonts w:ascii="Times New Roman" w:hAnsi="Times New Roman"/>
                <w:kern w:val="0"/>
                <w:sz w:val="21"/>
                <w:szCs w:val="21"/>
                <w:lang w:val="en-US" w:eastAsia="zh-CN" w:bidi="ar-SA"/>
              </w:rPr>
            </w:pPr>
            <w:r>
              <w:rPr>
                <w:b/>
                <w:bCs/>
                <w:sz w:val="15"/>
                <w:szCs w:val="15"/>
              </w:rPr>
              <w:t>/</w:t>
            </w:r>
          </w:p>
        </w:tc>
        <w:tc>
          <w:tcPr>
            <w:tcW w:w="1025"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475" w:type="dxa"/>
            <w:gridSpan w:val="2"/>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500"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144"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214" w:type="dxa"/>
            <w:gridSpan w:val="2"/>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933" w:type="dxa"/>
            <w:gridSpan w:val="3"/>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918"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4" w:type="dxa"/>
            <w:vMerge w:val="continue"/>
            <w:noWrap w:val="0"/>
            <w:tcMar>
              <w:left w:w="57" w:type="dxa"/>
              <w:right w:w="57" w:type="dxa"/>
            </w:tcMar>
            <w:vAlign w:val="center"/>
          </w:tcPr>
          <w:p>
            <w:pPr>
              <w:spacing w:line="240" w:lineRule="exact"/>
              <w:ind w:left="102" w:firstLine="0" w:firstLineChars="0"/>
              <w:jc w:val="center"/>
              <w:rPr>
                <w:b/>
                <w:bCs/>
                <w:sz w:val="15"/>
                <w:szCs w:val="15"/>
              </w:rPr>
            </w:pPr>
          </w:p>
        </w:tc>
        <w:tc>
          <w:tcPr>
            <w:tcW w:w="188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二氧化硫</w:t>
            </w:r>
          </w:p>
        </w:tc>
        <w:tc>
          <w:tcPr>
            <w:tcW w:w="695"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175"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050"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875" w:type="dxa"/>
            <w:noWrap w:val="0"/>
            <w:tcMar>
              <w:left w:w="57" w:type="dxa"/>
              <w:right w:w="57" w:type="dxa"/>
            </w:tcMar>
            <w:vAlign w:val="center"/>
          </w:tcPr>
          <w:p>
            <w:pPr>
              <w:spacing w:line="240" w:lineRule="exact"/>
              <w:ind w:firstLine="0" w:firstLineChars="0"/>
              <w:jc w:val="center"/>
              <w:rPr>
                <w:rFonts w:ascii="Times New Roman" w:hAnsi="Times New Roman"/>
                <w:kern w:val="0"/>
                <w:sz w:val="21"/>
                <w:szCs w:val="21"/>
                <w:lang w:val="en-US" w:eastAsia="zh-CN" w:bidi="ar-SA"/>
              </w:rPr>
            </w:pPr>
            <w:r>
              <w:rPr>
                <w:b/>
                <w:bCs/>
                <w:sz w:val="15"/>
                <w:szCs w:val="15"/>
              </w:rPr>
              <w:t>/</w:t>
            </w:r>
          </w:p>
        </w:tc>
        <w:tc>
          <w:tcPr>
            <w:tcW w:w="1025" w:type="dxa"/>
            <w:gridSpan w:val="2"/>
            <w:noWrap w:val="0"/>
            <w:tcMar>
              <w:left w:w="57" w:type="dxa"/>
              <w:right w:w="57" w:type="dxa"/>
            </w:tcMar>
            <w:vAlign w:val="center"/>
          </w:tcPr>
          <w:p>
            <w:pPr>
              <w:spacing w:line="240" w:lineRule="exact"/>
              <w:ind w:firstLine="0" w:firstLineChars="0"/>
              <w:jc w:val="center"/>
              <w:rPr>
                <w:rFonts w:ascii="Times New Roman" w:hAnsi="Times New Roman"/>
                <w:kern w:val="0"/>
                <w:sz w:val="21"/>
                <w:szCs w:val="21"/>
                <w:lang w:val="en-US" w:eastAsia="zh-CN" w:bidi="ar-SA"/>
              </w:rPr>
            </w:pPr>
            <w:r>
              <w:rPr>
                <w:b/>
                <w:bCs/>
                <w:sz w:val="15"/>
                <w:szCs w:val="15"/>
              </w:rPr>
              <w:t>/</w:t>
            </w:r>
          </w:p>
        </w:tc>
        <w:tc>
          <w:tcPr>
            <w:tcW w:w="1025"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475" w:type="dxa"/>
            <w:gridSpan w:val="2"/>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500"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144"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214" w:type="dxa"/>
            <w:gridSpan w:val="2"/>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933" w:type="dxa"/>
            <w:gridSpan w:val="3"/>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918"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4" w:type="dxa"/>
            <w:vMerge w:val="continue"/>
            <w:noWrap w:val="0"/>
            <w:tcMar>
              <w:left w:w="57" w:type="dxa"/>
              <w:right w:w="57" w:type="dxa"/>
            </w:tcMar>
            <w:vAlign w:val="center"/>
          </w:tcPr>
          <w:p>
            <w:pPr>
              <w:spacing w:line="240" w:lineRule="exact"/>
              <w:ind w:left="102" w:firstLine="0" w:firstLineChars="0"/>
              <w:jc w:val="center"/>
              <w:rPr>
                <w:b/>
                <w:bCs/>
                <w:sz w:val="15"/>
                <w:szCs w:val="15"/>
              </w:rPr>
            </w:pPr>
          </w:p>
        </w:tc>
        <w:tc>
          <w:tcPr>
            <w:tcW w:w="188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烟尘</w:t>
            </w:r>
          </w:p>
        </w:tc>
        <w:tc>
          <w:tcPr>
            <w:tcW w:w="695"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175"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050"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875" w:type="dxa"/>
            <w:noWrap w:val="0"/>
            <w:tcMar>
              <w:left w:w="57" w:type="dxa"/>
              <w:right w:w="57" w:type="dxa"/>
            </w:tcMar>
            <w:vAlign w:val="top"/>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025" w:type="dxa"/>
            <w:gridSpan w:val="2"/>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025"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475" w:type="dxa"/>
            <w:gridSpan w:val="2"/>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500"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144"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214" w:type="dxa"/>
            <w:gridSpan w:val="2"/>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933" w:type="dxa"/>
            <w:gridSpan w:val="3"/>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918"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4" w:type="dxa"/>
            <w:vMerge w:val="continue"/>
            <w:noWrap w:val="0"/>
            <w:tcMar>
              <w:left w:w="57" w:type="dxa"/>
              <w:right w:w="57" w:type="dxa"/>
            </w:tcMar>
            <w:vAlign w:val="center"/>
          </w:tcPr>
          <w:p>
            <w:pPr>
              <w:spacing w:line="240" w:lineRule="exact"/>
              <w:ind w:left="102" w:firstLine="0" w:firstLineChars="0"/>
              <w:jc w:val="center"/>
              <w:rPr>
                <w:b/>
                <w:bCs/>
                <w:sz w:val="15"/>
                <w:szCs w:val="15"/>
              </w:rPr>
            </w:pPr>
          </w:p>
        </w:tc>
        <w:tc>
          <w:tcPr>
            <w:tcW w:w="188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工业粉尘</w:t>
            </w:r>
          </w:p>
        </w:tc>
        <w:tc>
          <w:tcPr>
            <w:tcW w:w="695"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175"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050"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875" w:type="dxa"/>
            <w:noWrap w:val="0"/>
            <w:tcMar>
              <w:left w:w="57" w:type="dxa"/>
              <w:right w:w="57" w:type="dxa"/>
            </w:tcMar>
            <w:vAlign w:val="top"/>
          </w:tcPr>
          <w:p>
            <w:pPr>
              <w:spacing w:line="240" w:lineRule="exact"/>
              <w:ind w:firstLine="0" w:firstLineChars="0"/>
              <w:jc w:val="center"/>
              <w:rPr>
                <w:b/>
                <w:bCs/>
                <w:sz w:val="15"/>
                <w:szCs w:val="15"/>
              </w:rPr>
            </w:pPr>
            <w:r>
              <w:rPr>
                <w:b/>
                <w:bCs/>
                <w:sz w:val="15"/>
                <w:szCs w:val="15"/>
              </w:rPr>
              <w:t>/</w:t>
            </w:r>
          </w:p>
        </w:tc>
        <w:tc>
          <w:tcPr>
            <w:tcW w:w="1025" w:type="dxa"/>
            <w:gridSpan w:val="2"/>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025"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475" w:type="dxa"/>
            <w:gridSpan w:val="2"/>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500"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144"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214" w:type="dxa"/>
            <w:gridSpan w:val="2"/>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933" w:type="dxa"/>
            <w:gridSpan w:val="3"/>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918"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4" w:type="dxa"/>
            <w:vMerge w:val="continue"/>
            <w:noWrap w:val="0"/>
            <w:tcMar>
              <w:left w:w="57" w:type="dxa"/>
              <w:right w:w="57" w:type="dxa"/>
            </w:tcMar>
            <w:vAlign w:val="center"/>
          </w:tcPr>
          <w:p>
            <w:pPr>
              <w:spacing w:line="240" w:lineRule="exact"/>
              <w:ind w:left="102" w:firstLine="0" w:firstLineChars="0"/>
              <w:jc w:val="center"/>
              <w:rPr>
                <w:b/>
                <w:bCs/>
                <w:sz w:val="15"/>
                <w:szCs w:val="15"/>
              </w:rPr>
            </w:pPr>
          </w:p>
        </w:tc>
        <w:tc>
          <w:tcPr>
            <w:tcW w:w="188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氮氧化物</w:t>
            </w:r>
          </w:p>
        </w:tc>
        <w:tc>
          <w:tcPr>
            <w:tcW w:w="695"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175"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050"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875"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025" w:type="dxa"/>
            <w:gridSpan w:val="2"/>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025"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475" w:type="dxa"/>
            <w:gridSpan w:val="2"/>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500"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144"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214" w:type="dxa"/>
            <w:gridSpan w:val="2"/>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933" w:type="dxa"/>
            <w:gridSpan w:val="3"/>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918"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4" w:type="dxa"/>
            <w:vMerge w:val="continue"/>
            <w:noWrap w:val="0"/>
            <w:tcMar>
              <w:left w:w="57" w:type="dxa"/>
              <w:right w:w="57" w:type="dxa"/>
            </w:tcMar>
            <w:vAlign w:val="center"/>
          </w:tcPr>
          <w:p>
            <w:pPr>
              <w:spacing w:line="240" w:lineRule="exact"/>
              <w:ind w:left="102" w:firstLine="0" w:firstLineChars="0"/>
              <w:jc w:val="center"/>
              <w:rPr>
                <w:b/>
                <w:bCs/>
                <w:sz w:val="15"/>
                <w:szCs w:val="15"/>
              </w:rPr>
            </w:pPr>
          </w:p>
        </w:tc>
        <w:tc>
          <w:tcPr>
            <w:tcW w:w="1882" w:type="dxa"/>
            <w:gridSpan w:val="2"/>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工业固体废物</w:t>
            </w:r>
          </w:p>
        </w:tc>
        <w:tc>
          <w:tcPr>
            <w:tcW w:w="695"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175"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050"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875" w:type="dxa"/>
            <w:noWrap w:val="0"/>
            <w:tcMar>
              <w:left w:w="57" w:type="dxa"/>
              <w:right w:w="57" w:type="dxa"/>
            </w:tcMar>
            <w:vAlign w:val="top"/>
          </w:tcPr>
          <w:p>
            <w:pPr>
              <w:spacing w:line="240" w:lineRule="exact"/>
              <w:ind w:firstLine="0" w:firstLineChars="0"/>
              <w:jc w:val="center"/>
              <w:rPr>
                <w:b/>
                <w:bCs/>
                <w:sz w:val="15"/>
                <w:szCs w:val="15"/>
              </w:rPr>
            </w:pPr>
            <w:r>
              <w:rPr>
                <w:b/>
                <w:bCs/>
                <w:sz w:val="15"/>
                <w:szCs w:val="15"/>
              </w:rPr>
              <w:t>/</w:t>
            </w:r>
          </w:p>
        </w:tc>
        <w:tc>
          <w:tcPr>
            <w:tcW w:w="1025" w:type="dxa"/>
            <w:gridSpan w:val="2"/>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025"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475" w:type="dxa"/>
            <w:gridSpan w:val="2"/>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500"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144"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214" w:type="dxa"/>
            <w:gridSpan w:val="2"/>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933" w:type="dxa"/>
            <w:gridSpan w:val="3"/>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918"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584" w:type="dxa"/>
            <w:vMerge w:val="continue"/>
            <w:noWrap w:val="0"/>
            <w:tcMar>
              <w:left w:w="57" w:type="dxa"/>
              <w:right w:w="57" w:type="dxa"/>
            </w:tcMar>
            <w:vAlign w:val="center"/>
          </w:tcPr>
          <w:p>
            <w:pPr>
              <w:spacing w:line="240" w:lineRule="exact"/>
              <w:ind w:left="102" w:firstLine="0" w:firstLineChars="0"/>
              <w:jc w:val="center"/>
              <w:rPr>
                <w:b/>
                <w:bCs/>
                <w:sz w:val="15"/>
                <w:szCs w:val="15"/>
              </w:rPr>
            </w:pPr>
          </w:p>
        </w:tc>
        <w:tc>
          <w:tcPr>
            <w:tcW w:w="1073" w:type="dxa"/>
            <w:vMerge w:val="restart"/>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与项目有关的其他特征污染物</w:t>
            </w:r>
          </w:p>
        </w:tc>
        <w:tc>
          <w:tcPr>
            <w:tcW w:w="809" w:type="dxa"/>
            <w:noWrap w:val="0"/>
            <w:tcMar>
              <w:left w:w="57" w:type="dxa"/>
              <w:right w:w="57" w:type="dxa"/>
            </w:tcMar>
            <w:vAlign w:val="center"/>
          </w:tcPr>
          <w:p>
            <w:pPr>
              <w:spacing w:line="240" w:lineRule="exact"/>
              <w:ind w:left="102" w:leftChars="0" w:firstLine="0" w:firstLineChars="0"/>
              <w:jc w:val="center"/>
              <w:rPr>
                <w:rFonts w:hint="eastAsia" w:ascii="Times New Roman" w:hAnsi="Times New Roman"/>
                <w:b/>
                <w:bCs/>
                <w:kern w:val="2"/>
                <w:sz w:val="15"/>
                <w:szCs w:val="15"/>
                <w:lang w:val="en-US" w:eastAsia="zh-CN" w:bidi="ar-SA"/>
              </w:rPr>
            </w:pPr>
            <w:r>
              <w:rPr>
                <w:b/>
                <w:bCs/>
                <w:sz w:val="15"/>
                <w:szCs w:val="15"/>
              </w:rPr>
              <w:t>/</w:t>
            </w:r>
          </w:p>
        </w:tc>
        <w:tc>
          <w:tcPr>
            <w:tcW w:w="695"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175"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050"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875" w:type="dxa"/>
            <w:noWrap w:val="0"/>
            <w:tcMar>
              <w:left w:w="57" w:type="dxa"/>
              <w:right w:w="57" w:type="dxa"/>
            </w:tcMar>
            <w:vAlign w:val="top"/>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025" w:type="dxa"/>
            <w:gridSpan w:val="2"/>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025"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475" w:type="dxa"/>
            <w:gridSpan w:val="2"/>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500" w:type="dxa"/>
            <w:noWrap w:val="0"/>
            <w:tcMar>
              <w:left w:w="57" w:type="dxa"/>
              <w:right w:w="57" w:type="dxa"/>
            </w:tcMar>
            <w:vAlign w:val="center"/>
          </w:tcPr>
          <w:p>
            <w:pPr>
              <w:spacing w:line="240" w:lineRule="exact"/>
              <w:ind w:firstLine="0" w:firstLineChars="0"/>
              <w:jc w:val="center"/>
              <w:rPr>
                <w:rFonts w:hint="default" w:ascii="Times New Roman" w:hAnsi="Times New Roman"/>
                <w:b/>
                <w:bCs/>
                <w:kern w:val="2"/>
                <w:sz w:val="15"/>
                <w:szCs w:val="15"/>
                <w:lang w:val="en-US" w:eastAsia="zh-CN" w:bidi="ar-SA"/>
              </w:rPr>
            </w:pPr>
            <w:r>
              <w:rPr>
                <w:b/>
                <w:bCs/>
                <w:sz w:val="15"/>
                <w:szCs w:val="15"/>
              </w:rPr>
              <w:t>/</w:t>
            </w:r>
          </w:p>
        </w:tc>
        <w:tc>
          <w:tcPr>
            <w:tcW w:w="1144"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1214" w:type="dxa"/>
            <w:gridSpan w:val="2"/>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933" w:type="dxa"/>
            <w:gridSpan w:val="3"/>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c>
          <w:tcPr>
            <w:tcW w:w="918" w:type="dxa"/>
            <w:noWrap w:val="0"/>
            <w:tcMar>
              <w:left w:w="57" w:type="dxa"/>
              <w:right w:w="57" w:type="dxa"/>
            </w:tcMar>
            <w:vAlign w:val="center"/>
          </w:tcPr>
          <w:p>
            <w:pPr>
              <w:spacing w:line="240" w:lineRule="exact"/>
              <w:ind w:firstLine="0" w:firstLineChars="0"/>
              <w:jc w:val="center"/>
              <w:rPr>
                <w:rFonts w:ascii="Times New Roman" w:hAnsi="Times New Roman"/>
                <w:b/>
                <w:bCs/>
                <w:kern w:val="2"/>
                <w:sz w:val="15"/>
                <w:szCs w:val="15"/>
                <w:lang w:val="en-US" w:eastAsia="zh-CN" w:bidi="ar-SA"/>
              </w:rPr>
            </w:pPr>
            <w:r>
              <w:rPr>
                <w:b/>
                <w:bCs/>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4" w:type="dxa"/>
            <w:vMerge w:val="continue"/>
            <w:noWrap w:val="0"/>
            <w:tcMar>
              <w:left w:w="57" w:type="dxa"/>
              <w:right w:w="57" w:type="dxa"/>
            </w:tcMar>
            <w:vAlign w:val="center"/>
          </w:tcPr>
          <w:p>
            <w:pPr>
              <w:spacing w:line="240" w:lineRule="exact"/>
              <w:ind w:left="102" w:firstLine="0" w:firstLineChars="0"/>
              <w:jc w:val="center"/>
              <w:rPr>
                <w:b/>
                <w:bCs/>
                <w:sz w:val="15"/>
                <w:szCs w:val="15"/>
              </w:rPr>
            </w:pPr>
          </w:p>
        </w:tc>
        <w:tc>
          <w:tcPr>
            <w:tcW w:w="1073" w:type="dxa"/>
            <w:vMerge w:val="continue"/>
            <w:noWrap w:val="0"/>
            <w:tcMar>
              <w:left w:w="57" w:type="dxa"/>
              <w:right w:w="57" w:type="dxa"/>
            </w:tcMar>
            <w:vAlign w:val="center"/>
          </w:tcPr>
          <w:p>
            <w:pPr>
              <w:spacing w:line="240" w:lineRule="exact"/>
              <w:ind w:left="102" w:firstLine="0" w:firstLineChars="0"/>
              <w:jc w:val="center"/>
              <w:rPr>
                <w:b/>
                <w:bCs/>
                <w:sz w:val="15"/>
                <w:szCs w:val="15"/>
              </w:rPr>
            </w:pPr>
          </w:p>
        </w:tc>
        <w:tc>
          <w:tcPr>
            <w:tcW w:w="809" w:type="dxa"/>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w:t>
            </w:r>
          </w:p>
        </w:tc>
        <w:tc>
          <w:tcPr>
            <w:tcW w:w="695"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175"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050"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875" w:type="dxa"/>
            <w:noWrap w:val="0"/>
            <w:tcMar>
              <w:left w:w="57" w:type="dxa"/>
              <w:right w:w="57" w:type="dxa"/>
            </w:tcMar>
            <w:vAlign w:val="top"/>
          </w:tcPr>
          <w:p>
            <w:pPr>
              <w:spacing w:line="240" w:lineRule="exact"/>
              <w:ind w:firstLine="0" w:firstLineChars="0"/>
              <w:jc w:val="center"/>
              <w:rPr>
                <w:b/>
                <w:bCs/>
                <w:sz w:val="15"/>
                <w:szCs w:val="15"/>
              </w:rPr>
            </w:pPr>
            <w:r>
              <w:rPr>
                <w:b/>
                <w:bCs/>
                <w:sz w:val="15"/>
                <w:szCs w:val="15"/>
              </w:rPr>
              <w:t>/</w:t>
            </w:r>
          </w:p>
        </w:tc>
        <w:tc>
          <w:tcPr>
            <w:tcW w:w="1025" w:type="dxa"/>
            <w:gridSpan w:val="2"/>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025"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475" w:type="dxa"/>
            <w:gridSpan w:val="2"/>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500"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144"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214" w:type="dxa"/>
            <w:gridSpan w:val="2"/>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933" w:type="dxa"/>
            <w:gridSpan w:val="3"/>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918"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6" w:hRule="atLeast"/>
          <w:jc w:val="center"/>
        </w:trPr>
        <w:tc>
          <w:tcPr>
            <w:tcW w:w="584" w:type="dxa"/>
            <w:vMerge w:val="continue"/>
            <w:noWrap w:val="0"/>
            <w:tcMar>
              <w:left w:w="57" w:type="dxa"/>
              <w:right w:w="57" w:type="dxa"/>
            </w:tcMar>
            <w:vAlign w:val="center"/>
          </w:tcPr>
          <w:p>
            <w:pPr>
              <w:spacing w:line="240" w:lineRule="exact"/>
              <w:ind w:left="102" w:firstLine="0" w:firstLineChars="0"/>
              <w:jc w:val="center"/>
              <w:rPr>
                <w:b/>
                <w:bCs/>
                <w:sz w:val="15"/>
                <w:szCs w:val="15"/>
              </w:rPr>
            </w:pPr>
          </w:p>
        </w:tc>
        <w:tc>
          <w:tcPr>
            <w:tcW w:w="1073" w:type="dxa"/>
            <w:vMerge w:val="continue"/>
            <w:noWrap w:val="0"/>
            <w:tcMar>
              <w:left w:w="57" w:type="dxa"/>
              <w:right w:w="57" w:type="dxa"/>
            </w:tcMar>
            <w:vAlign w:val="center"/>
          </w:tcPr>
          <w:p>
            <w:pPr>
              <w:spacing w:line="240" w:lineRule="exact"/>
              <w:ind w:left="102" w:firstLine="0" w:firstLineChars="0"/>
              <w:jc w:val="center"/>
              <w:rPr>
                <w:b/>
                <w:bCs/>
                <w:sz w:val="15"/>
                <w:szCs w:val="15"/>
              </w:rPr>
            </w:pPr>
          </w:p>
        </w:tc>
        <w:tc>
          <w:tcPr>
            <w:tcW w:w="809" w:type="dxa"/>
            <w:noWrap w:val="0"/>
            <w:tcMar>
              <w:left w:w="57" w:type="dxa"/>
              <w:right w:w="57" w:type="dxa"/>
            </w:tcMar>
            <w:vAlign w:val="center"/>
          </w:tcPr>
          <w:p>
            <w:pPr>
              <w:spacing w:line="240" w:lineRule="exact"/>
              <w:ind w:left="102" w:firstLine="0" w:firstLineChars="0"/>
              <w:jc w:val="center"/>
              <w:rPr>
                <w:b/>
                <w:bCs/>
                <w:sz w:val="15"/>
                <w:szCs w:val="15"/>
              </w:rPr>
            </w:pPr>
            <w:r>
              <w:rPr>
                <w:b/>
                <w:bCs/>
                <w:sz w:val="15"/>
                <w:szCs w:val="15"/>
              </w:rPr>
              <w:t>/</w:t>
            </w:r>
          </w:p>
        </w:tc>
        <w:tc>
          <w:tcPr>
            <w:tcW w:w="695"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175"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050"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875"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025" w:type="dxa"/>
            <w:gridSpan w:val="2"/>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025"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475" w:type="dxa"/>
            <w:gridSpan w:val="2"/>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500"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144"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1214" w:type="dxa"/>
            <w:gridSpan w:val="2"/>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933" w:type="dxa"/>
            <w:gridSpan w:val="3"/>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c>
          <w:tcPr>
            <w:tcW w:w="918" w:type="dxa"/>
            <w:noWrap w:val="0"/>
            <w:tcMar>
              <w:left w:w="57" w:type="dxa"/>
              <w:right w:w="57" w:type="dxa"/>
            </w:tcMar>
            <w:vAlign w:val="center"/>
          </w:tcPr>
          <w:p>
            <w:pPr>
              <w:spacing w:line="240" w:lineRule="exact"/>
              <w:ind w:firstLine="0" w:firstLineChars="0"/>
              <w:jc w:val="center"/>
              <w:rPr>
                <w:b/>
                <w:bCs/>
                <w:sz w:val="15"/>
                <w:szCs w:val="15"/>
              </w:rPr>
            </w:pPr>
            <w:r>
              <w:rPr>
                <w:b/>
                <w:bCs/>
                <w:sz w:val="15"/>
                <w:szCs w:val="15"/>
              </w:rPr>
              <w:t>/</w:t>
            </w:r>
          </w:p>
        </w:tc>
      </w:tr>
    </w:tbl>
    <w:p>
      <w:pPr>
        <w:numPr>
          <w:ilvl w:val="0"/>
          <w:numId w:val="7"/>
        </w:numPr>
        <w:spacing w:before="3" w:line="300" w:lineRule="exact"/>
        <w:ind w:right="1202" w:firstLine="193" w:firstLineChars="0"/>
      </w:pPr>
      <w:r>
        <w:rPr>
          <w:spacing w:val="-3"/>
          <w:w w:val="95"/>
          <w:sz w:val="21"/>
          <w:szCs w:val="21"/>
        </w:rPr>
        <w:t>注：1、排放增减量：（+）表示增加，（-）表示减少。2、(12)=(6)-(8)-(11)，（9）= (4)-(5)-(8)- (11) +（1）。3、计量单位：废水排放量——万吨/年；废气排放量——万标立方米/年；工业固体废物排放量——万吨/年；水污染物排放浓度——毫克/升</w:t>
      </w:r>
    </w:p>
    <w:sectPr>
      <w:headerReference r:id="rId22" w:type="default"/>
      <w:footerReference r:id="rId23" w:type="default"/>
      <w:pgSz w:w="16838" w:h="11906" w:orient="landscape"/>
      <w:pgMar w:top="1134" w:right="1417" w:bottom="1134" w:left="1417" w:header="850" w:footer="454" w:gutter="0"/>
      <w:pgBorders>
        <w:top w:val="none" w:sz="0" w:space="0"/>
        <w:left w:val="none" w:sz="0" w:space="0"/>
        <w:bottom w:val="none" w:sz="0" w:space="0"/>
        <w:right w:val="none" w:sz="0" w:space="0"/>
      </w:pgBorders>
      <w:pgNumType w:fmt="decimal"/>
      <w:cols w:space="720" w:num="1"/>
      <w:docGrid w:type="lines" w:linePitch="444"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ω･ิ)" w:date="2022-09-16T11:15:10Z" w:initials="">
    <w:p w14:paraId="1ED53BD2">
      <w:pPr>
        <w:pStyle w:val="9"/>
      </w:pPr>
      <w: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ED53BD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Wingdings 2">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r>
      <w:rPr>
        <w:rFonts w:hint="eastAsia"/>
        <w:lang w:eastAsia="zh-CN"/>
      </w:rPr>
      <w:t>四川中谦检测有限公司</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0" w:firstLineChars="0"/>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第 </w:t>
                          </w:r>
                          <w:r>
                            <w:fldChar w:fldCharType="begin"/>
                          </w:r>
                          <w:r>
                            <w:instrText xml:space="preserve"> PAGE  \* MERGEFORMAT </w:instrText>
                          </w:r>
                          <w:r>
                            <w:fldChar w:fldCharType="separate"/>
                          </w:r>
                          <w:r>
                            <w:t>58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58</w:t>
                    </w:r>
                    <w:r>
                      <w:fldChar w:fldCharType="end"/>
                    </w:r>
                    <w:r>
                      <w:t xml:space="preserve"> 页</w:t>
                    </w:r>
                  </w:p>
                </w:txbxContent>
              </v:textbox>
            </v:shape>
          </w:pict>
        </mc:Fallback>
      </mc:AlternateContent>
    </w: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5" name="文本框 13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ind w:firstLine="360"/>
                            <w:rPr>
                              <w:rFonts w:hint="eastAsia"/>
                              <w:sz w:val="18"/>
                            </w:rPr>
                          </w:pPr>
                        </w:p>
                      </w:txbxContent>
                    </wps:txbx>
                    <wps:bodyPr wrap="none" lIns="0" tIns="0" rIns="0" bIns="0" upright="0">
                      <a:spAutoFit/>
                    </wps:bodyPr>
                  </wps:wsp>
                </a:graphicData>
              </a:graphic>
            </wp:anchor>
          </w:drawing>
        </mc:Choice>
        <mc:Fallback>
          <w:pict>
            <v:shape id="文本框 1392"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zQkYDLAQAAnQMAAA4AAAAAAAAAAQAgAAAAHgEAAGRycy9lMm9E&#10;b2MueG1sUEsFBgAAAAAGAAYAWQEAAFsFAAAAAA==&#10;">
              <v:fill on="f" focussize="0,0"/>
              <v:stroke on="f"/>
              <v:imagedata o:title=""/>
              <o:lock v:ext="edit" aspectratio="f"/>
              <v:textbox inset="0mm,0mm,0mm,0mm" style="mso-fit-shape-to-text:t;">
                <w:txbxContent>
                  <w:p>
                    <w:pPr>
                      <w:snapToGrid w:val="0"/>
                      <w:ind w:firstLine="360"/>
                      <w:rPr>
                        <w:rFonts w:hint="eastAsia"/>
                        <w:sz w:val="1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0" w:firstLineChars="0"/>
    </w:pPr>
    <w:r>
      <w:rPr>
        <w:rFonts w:hint="eastAsia"/>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left="0" w:leftChars="0" w:firstLine="0" w:firstLineChars="0"/>
      <w:rPr>
        <w:rFonts w:hint="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第 </w:t>
                          </w:r>
                          <w:r>
                            <w:fldChar w:fldCharType="begin"/>
                          </w:r>
                          <w:r>
                            <w:instrText xml:space="preserve"> PAGE  \* MERGEFORMAT </w:instrText>
                          </w:r>
                          <w:r>
                            <w:fldChar w:fldCharType="separate"/>
                          </w:r>
                          <w:r>
                            <w:t>44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44</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1"/>
      </w:pBdr>
      <w:ind w:firstLine="0" w:firstLineChars="0"/>
      <w:jc w:val="center"/>
      <w:rPr>
        <w:rFonts w:hint="eastAsia"/>
      </w:rPr>
    </w:pPr>
    <w:r>
      <w:rPr>
        <w:rFonts w:hint="eastAsia"/>
      </w:rPr>
      <w:t>四川电力医院四川电力医院建设项目验收监测报告书</w:t>
    </w:r>
  </w:p>
  <w:p>
    <w:pPr>
      <w:pStyle w:val="14"/>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1"/>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0"/>
      </w:pBdr>
      <w:ind w:firstLine="0" w:firstLineChars="0"/>
      <w:jc w:val="center"/>
      <w:rPr>
        <w:rFonts w:hint="eastAsia"/>
      </w:rPr>
    </w:pPr>
    <w:r>
      <w:rPr>
        <w:rFonts w:hint="eastAsia" w:ascii="宋体"/>
        <w:szCs w:val="18"/>
        <w:lang w:eastAsia="zh-CN"/>
      </w:rPr>
      <w:t>绵竹装备制造产业园污水处理厂项目（一期）</w:t>
    </w:r>
    <w:r>
      <w:rPr>
        <w:rFonts w:hint="eastAsia" w:ascii="宋体"/>
        <w:szCs w:val="18"/>
      </w:rPr>
      <w:t>竣工环境保护验收监测报告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0"/>
      </w:pBdr>
      <w:spacing w:line="240" w:lineRule="auto"/>
      <w:ind w:firstLine="0" w:firstLineChars="0"/>
      <w:jc w:val="center"/>
      <w:rPr>
        <w:rFonts w:hint="eastAsia"/>
      </w:rPr>
    </w:pPr>
    <w:r>
      <w:rPr>
        <w:rFonts w:hint="eastAsia" w:ascii="宋体"/>
        <w:szCs w:val="18"/>
        <w:lang w:eastAsia="zh-CN"/>
      </w:rPr>
      <w:t>绵竹装备制造产业园污水处理厂项目（一期）</w:t>
    </w:r>
    <w:r>
      <w:rPr>
        <w:rFonts w:hint="eastAsia" w:ascii="宋体"/>
        <w:szCs w:val="18"/>
      </w:rPr>
      <w:t>竣工环境保护验收监测报告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0"/>
      </w:pBdr>
      <w:ind w:firstLine="0" w:firstLineChars="0"/>
      <w:jc w:val="center"/>
    </w:pPr>
    <w:r>
      <w:rPr>
        <w:rFonts w:hint="eastAsia" w:ascii="宋体"/>
        <w:szCs w:val="18"/>
        <w:lang w:eastAsia="zh-CN"/>
      </w:rPr>
      <w:t>绵竹装备制造产业园污水处理厂项目（一期）</w:t>
    </w:r>
    <w:r>
      <w:rPr>
        <w:rFonts w:hint="eastAsia" w:ascii="宋体"/>
        <w:szCs w:val="18"/>
      </w:rPr>
      <w:t>竣工环境保护验收监测报告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0"/>
      </w:pBdr>
      <w:ind w:firstLine="0" w:firstLineChars="0"/>
      <w:jc w:val="center"/>
      <w:rPr>
        <w:rFonts w:hint="eastAsia"/>
        <w:szCs w:val="18"/>
      </w:rPr>
    </w:pPr>
    <w:r>
      <w:rPr>
        <w:rFonts w:hint="eastAsia" w:ascii="宋体"/>
        <w:szCs w:val="18"/>
        <w:lang w:eastAsia="zh-CN"/>
      </w:rPr>
      <w:t>绵竹装备制造产业园污水处理厂项目（一期）</w:t>
    </w:r>
    <w:r>
      <w:rPr>
        <w:rFonts w:hint="eastAsia" w:ascii="宋体"/>
        <w:szCs w:val="18"/>
      </w:rPr>
      <w:t>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38BEBB"/>
    <w:multiLevelType w:val="singleLevel"/>
    <w:tmpl w:val="9838BEBB"/>
    <w:lvl w:ilvl="0" w:tentative="0">
      <w:start w:val="1"/>
      <w:numFmt w:val="bullet"/>
      <w:pStyle w:val="3"/>
      <w:lvlText w:val=""/>
      <w:lvlJc w:val="left"/>
      <w:pPr>
        <w:tabs>
          <w:tab w:val="left" w:pos="2040"/>
        </w:tabs>
        <w:ind w:left="2040" w:hanging="360"/>
      </w:pPr>
      <w:rPr>
        <w:rFonts w:hint="default" w:ascii="Wingdings" w:hAnsi="Wingdings"/>
      </w:rPr>
    </w:lvl>
  </w:abstractNum>
  <w:abstractNum w:abstractNumId="1">
    <w:nsid w:val="DB014195"/>
    <w:multiLevelType w:val="singleLevel"/>
    <w:tmpl w:val="DB014195"/>
    <w:lvl w:ilvl="0" w:tentative="0">
      <w:start w:val="1"/>
      <w:numFmt w:val="decimal"/>
      <w:suff w:val="nothing"/>
      <w:lvlText w:val="%1、"/>
      <w:lvlJc w:val="left"/>
    </w:lvl>
  </w:abstractNum>
  <w:abstractNum w:abstractNumId="2">
    <w:nsid w:val="FDAF2EC2"/>
    <w:multiLevelType w:val="singleLevel"/>
    <w:tmpl w:val="FDAF2EC2"/>
    <w:lvl w:ilvl="0" w:tentative="0">
      <w:start w:val="1"/>
      <w:numFmt w:val="decimal"/>
      <w:suff w:val="nothing"/>
      <w:lvlText w:val="%1、"/>
      <w:lvlJc w:val="left"/>
    </w:lvl>
  </w:abstractNum>
  <w:abstractNum w:abstractNumId="3">
    <w:nsid w:val="0C27AD5D"/>
    <w:multiLevelType w:val="singleLevel"/>
    <w:tmpl w:val="0C27AD5D"/>
    <w:lvl w:ilvl="0" w:tentative="0">
      <w:start w:val="1"/>
      <w:numFmt w:val="decimal"/>
      <w:suff w:val="nothing"/>
      <w:lvlText w:val="%1、"/>
      <w:lvlJc w:val="left"/>
    </w:lvl>
  </w:abstractNum>
  <w:abstractNum w:abstractNumId="4">
    <w:nsid w:val="3B961A9D"/>
    <w:multiLevelType w:val="multilevel"/>
    <w:tmpl w:val="3B961A9D"/>
    <w:lvl w:ilvl="0" w:tentative="0">
      <w:start w:val="1"/>
      <w:numFmt w:val="decimal"/>
      <w:lvlText w:val="%1"/>
      <w:lvlJc w:val="left"/>
      <w:pPr>
        <w:ind w:left="432" w:hanging="432"/>
      </w:pPr>
      <w:rPr>
        <w:rFonts w:hint="eastAsia"/>
      </w:rPr>
    </w:lvl>
    <w:lvl w:ilvl="1" w:tentative="0">
      <w:start w:val="1"/>
      <w:numFmt w:val="decimal"/>
      <w:lvlText w:val="%1.%2"/>
      <w:lvlJc w:val="left"/>
      <w:pPr>
        <w:ind w:left="576" w:hanging="576"/>
      </w:pPr>
      <w:rPr>
        <w:rFonts w:hint="eastAsia"/>
      </w:rPr>
    </w:lvl>
    <w:lvl w:ilvl="2" w:tentative="0">
      <w:start w:val="1"/>
      <w:numFmt w:val="decimal"/>
      <w:lvlText w:val="%1.%2.%3"/>
      <w:lvlJc w:val="left"/>
      <w:pPr>
        <w:ind w:left="720" w:hanging="720"/>
      </w:pPr>
      <w:rPr>
        <w:rFonts w:hint="eastAsia"/>
      </w:rPr>
    </w:lvl>
    <w:lvl w:ilvl="3" w:tentative="0">
      <w:start w:val="1"/>
      <w:numFmt w:val="decimal"/>
      <w:pStyle w:val="7"/>
      <w:lvlText w:val="%1.%2.%3.%4"/>
      <w:lvlJc w:val="left"/>
      <w:pPr>
        <w:ind w:left="864" w:hanging="864"/>
      </w:pPr>
      <w:rPr>
        <w:rFonts w:hint="default" w:ascii="Times New Roman" w:hAnsi="Times New Roman" w:cs="Times New Roman"/>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5">
    <w:nsid w:val="43EE9579"/>
    <w:multiLevelType w:val="singleLevel"/>
    <w:tmpl w:val="43EE9579"/>
    <w:lvl w:ilvl="0" w:tentative="0">
      <w:start w:val="1"/>
      <w:numFmt w:val="decimal"/>
      <w:suff w:val="nothing"/>
      <w:lvlText w:val="%1、"/>
      <w:lvlJc w:val="left"/>
    </w:lvl>
  </w:abstractNum>
  <w:abstractNum w:abstractNumId="6">
    <w:nsid w:val="55F274F1"/>
    <w:multiLevelType w:val="multilevel"/>
    <w:tmpl w:val="55F274F1"/>
    <w:lvl w:ilvl="0" w:tentative="0">
      <w:start w:val="1"/>
      <w:numFmt w:val="decimal"/>
      <w:lvlText w:val="%1."/>
      <w:legacy w:legacy="1" w:legacySpace="144" w:legacyIndent="0"/>
      <w:lvlJc w:val="left"/>
    </w:lvl>
    <w:lvl w:ilvl="1" w:tentative="0">
      <w:start w:val="1"/>
      <w:numFmt w:val="decimal"/>
      <w:pStyle w:val="5"/>
      <w:lvlText w:val="%1.%2"/>
      <w:legacy w:legacy="1" w:legacySpace="144" w:legacyIndent="0"/>
      <w:lvlJc w:val="left"/>
    </w:lvl>
    <w:lvl w:ilvl="2" w:tentative="0">
      <w:start w:val="1"/>
      <w:numFmt w:val="decimal"/>
      <w:lvlText w:val="%1.%2.%3"/>
      <w:legacy w:legacy="1" w:legacySpace="144" w:legacyIndent="0"/>
      <w:lvlJc w:val="left"/>
    </w:lvl>
    <w:lvl w:ilvl="3" w:tentative="0">
      <w:start w:val="1"/>
      <w:numFmt w:val="decimal"/>
      <w:lvlText w:val="%1.%2.%3.%4"/>
      <w:legacy w:legacy="1" w:legacySpace="144" w:legacyIndent="0"/>
      <w:lvlJc w:val="left"/>
    </w:lvl>
    <w:lvl w:ilvl="4" w:tentative="0">
      <w:start w:val="1"/>
      <w:numFmt w:val="decimal"/>
      <w:lvlText w:val="%1.%2.%3.%4.%5"/>
      <w:legacy w:legacy="1" w:legacySpace="144" w:legacyIndent="0"/>
      <w:lvlJc w:val="left"/>
    </w:lvl>
    <w:lvl w:ilvl="5" w:tentative="0">
      <w:start w:val="1"/>
      <w:numFmt w:val="decimal"/>
      <w:lvlText w:val="%1.%2.%3.%4.%5.%6"/>
      <w:legacy w:legacy="1" w:legacySpace="144" w:legacyIndent="0"/>
      <w:lvlJc w:val="left"/>
    </w:lvl>
    <w:lvl w:ilvl="6" w:tentative="0">
      <w:start w:val="1"/>
      <w:numFmt w:val="decimal"/>
      <w:lvlText w:val="%1.%2.%3.%4.%5.%6.%7"/>
      <w:legacy w:legacy="1" w:legacySpace="144" w:legacyIndent="0"/>
      <w:lvlJc w:val="left"/>
    </w:lvl>
    <w:lvl w:ilvl="7" w:tentative="0">
      <w:start w:val="1"/>
      <w:numFmt w:val="decimal"/>
      <w:lvlText w:val="%1.%2.%3.%4.%5.%6.%7.%8"/>
      <w:legacy w:legacy="1" w:legacySpace="144" w:legacyIndent="0"/>
      <w:lvlJc w:val="left"/>
    </w:lvl>
    <w:lvl w:ilvl="8" w:tentative="0">
      <w:start w:val="1"/>
      <w:numFmt w:val="decimal"/>
      <w:lvlText w:val="%1.%2.%3.%4.%5.%6.%7.%8.%9"/>
      <w:legacy w:legacy="1" w:legacySpace="144" w:legacyIndent="0"/>
      <w:lvlJc w:val="left"/>
    </w:lvl>
  </w:abstractNum>
  <w:num w:numId="1">
    <w:abstractNumId w:val="6"/>
  </w:num>
  <w:num w:numId="2">
    <w:abstractNumId w:val="4"/>
  </w:num>
  <w:num w:numId="3">
    <w:abstractNumId w:val="0"/>
  </w:num>
  <w:num w:numId="4">
    <w:abstractNumId w:val="5"/>
  </w:num>
  <w:num w:numId="5">
    <w:abstractNumId w:val="1"/>
  </w:num>
  <w:num w:numId="6">
    <w:abstractNumId w:val="2"/>
  </w:num>
  <w:num w:numId="7">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ω･ิ)">
    <w15:presenceInfo w15:providerId="WPS Office" w15:userId="14124752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40"/>
  <w:drawingGridVerticalSpacing w:val="208"/>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wNzFkNzJkYTczMjRlMGE1NzRlNzA3YmM3YzFmMGYifQ=="/>
  </w:docVars>
  <w:rsids>
    <w:rsidRoot w:val="00172A27"/>
    <w:rsid w:val="00005B93"/>
    <w:rsid w:val="000061C3"/>
    <w:rsid w:val="00010D94"/>
    <w:rsid w:val="00011857"/>
    <w:rsid w:val="00014B2D"/>
    <w:rsid w:val="00014BE8"/>
    <w:rsid w:val="000157AD"/>
    <w:rsid w:val="00015F62"/>
    <w:rsid w:val="0002070D"/>
    <w:rsid w:val="00021199"/>
    <w:rsid w:val="00024CEF"/>
    <w:rsid w:val="000258DB"/>
    <w:rsid w:val="000300B4"/>
    <w:rsid w:val="00034EEB"/>
    <w:rsid w:val="00034FA9"/>
    <w:rsid w:val="00037937"/>
    <w:rsid w:val="00044DBC"/>
    <w:rsid w:val="0005446A"/>
    <w:rsid w:val="000557CB"/>
    <w:rsid w:val="000567D9"/>
    <w:rsid w:val="0005745E"/>
    <w:rsid w:val="00057959"/>
    <w:rsid w:val="00066335"/>
    <w:rsid w:val="00066430"/>
    <w:rsid w:val="000671B7"/>
    <w:rsid w:val="00072131"/>
    <w:rsid w:val="00073741"/>
    <w:rsid w:val="00075174"/>
    <w:rsid w:val="0008088C"/>
    <w:rsid w:val="0008108D"/>
    <w:rsid w:val="0008201E"/>
    <w:rsid w:val="0009159C"/>
    <w:rsid w:val="00093C11"/>
    <w:rsid w:val="000A2C3E"/>
    <w:rsid w:val="000A458F"/>
    <w:rsid w:val="000B033C"/>
    <w:rsid w:val="000B1539"/>
    <w:rsid w:val="000B6B78"/>
    <w:rsid w:val="000C0FE7"/>
    <w:rsid w:val="000D0935"/>
    <w:rsid w:val="000D2E3D"/>
    <w:rsid w:val="000D4B81"/>
    <w:rsid w:val="000E6CE5"/>
    <w:rsid w:val="000E75B5"/>
    <w:rsid w:val="000F2FC4"/>
    <w:rsid w:val="000F442F"/>
    <w:rsid w:val="000F507A"/>
    <w:rsid w:val="0010445F"/>
    <w:rsid w:val="001047E5"/>
    <w:rsid w:val="00107C9C"/>
    <w:rsid w:val="001119F6"/>
    <w:rsid w:val="00117A3E"/>
    <w:rsid w:val="00120B06"/>
    <w:rsid w:val="00125076"/>
    <w:rsid w:val="00131B0C"/>
    <w:rsid w:val="00136017"/>
    <w:rsid w:val="00136244"/>
    <w:rsid w:val="00136643"/>
    <w:rsid w:val="0013700D"/>
    <w:rsid w:val="00141017"/>
    <w:rsid w:val="00146EE7"/>
    <w:rsid w:val="00155134"/>
    <w:rsid w:val="00155B78"/>
    <w:rsid w:val="001604E1"/>
    <w:rsid w:val="00161B22"/>
    <w:rsid w:val="00164FD9"/>
    <w:rsid w:val="0016697A"/>
    <w:rsid w:val="0017197F"/>
    <w:rsid w:val="00177252"/>
    <w:rsid w:val="001911B1"/>
    <w:rsid w:val="00193B64"/>
    <w:rsid w:val="00193FB1"/>
    <w:rsid w:val="001944E7"/>
    <w:rsid w:val="001A1FC3"/>
    <w:rsid w:val="001A7F74"/>
    <w:rsid w:val="001B1C49"/>
    <w:rsid w:val="001B2AE4"/>
    <w:rsid w:val="001B3AFC"/>
    <w:rsid w:val="001B41BA"/>
    <w:rsid w:val="001B595D"/>
    <w:rsid w:val="001C3251"/>
    <w:rsid w:val="001C39AB"/>
    <w:rsid w:val="001C55AF"/>
    <w:rsid w:val="001C5C6D"/>
    <w:rsid w:val="001D18D9"/>
    <w:rsid w:val="001D329A"/>
    <w:rsid w:val="001D5D71"/>
    <w:rsid w:val="001E1BB5"/>
    <w:rsid w:val="001E1DA4"/>
    <w:rsid w:val="001E2DFE"/>
    <w:rsid w:val="001E6450"/>
    <w:rsid w:val="001F07EB"/>
    <w:rsid w:val="001F4993"/>
    <w:rsid w:val="00212771"/>
    <w:rsid w:val="00212C95"/>
    <w:rsid w:val="0021561F"/>
    <w:rsid w:val="002258D8"/>
    <w:rsid w:val="00231A4C"/>
    <w:rsid w:val="002322FA"/>
    <w:rsid w:val="002376F1"/>
    <w:rsid w:val="00240B60"/>
    <w:rsid w:val="00240BCC"/>
    <w:rsid w:val="002446D4"/>
    <w:rsid w:val="0024478B"/>
    <w:rsid w:val="002451D6"/>
    <w:rsid w:val="00250465"/>
    <w:rsid w:val="0025126D"/>
    <w:rsid w:val="00252428"/>
    <w:rsid w:val="00252C27"/>
    <w:rsid w:val="00253D25"/>
    <w:rsid w:val="002563CD"/>
    <w:rsid w:val="00256F25"/>
    <w:rsid w:val="00264CC3"/>
    <w:rsid w:val="00272AB1"/>
    <w:rsid w:val="00273B8E"/>
    <w:rsid w:val="00273E3E"/>
    <w:rsid w:val="002748A7"/>
    <w:rsid w:val="00277EE9"/>
    <w:rsid w:val="00280F7D"/>
    <w:rsid w:val="00286892"/>
    <w:rsid w:val="002878F0"/>
    <w:rsid w:val="0029065C"/>
    <w:rsid w:val="00290C51"/>
    <w:rsid w:val="00293D96"/>
    <w:rsid w:val="0029486B"/>
    <w:rsid w:val="00295753"/>
    <w:rsid w:val="00295EB4"/>
    <w:rsid w:val="002A328D"/>
    <w:rsid w:val="002A7AE0"/>
    <w:rsid w:val="002B38AD"/>
    <w:rsid w:val="002C14AC"/>
    <w:rsid w:val="002C658B"/>
    <w:rsid w:val="002C658F"/>
    <w:rsid w:val="002C706F"/>
    <w:rsid w:val="002D457B"/>
    <w:rsid w:val="002D4D47"/>
    <w:rsid w:val="002D52F3"/>
    <w:rsid w:val="002D7E77"/>
    <w:rsid w:val="002E50CE"/>
    <w:rsid w:val="002E5AD2"/>
    <w:rsid w:val="00302141"/>
    <w:rsid w:val="00303FDF"/>
    <w:rsid w:val="00310CD5"/>
    <w:rsid w:val="00311C21"/>
    <w:rsid w:val="00312165"/>
    <w:rsid w:val="0031285C"/>
    <w:rsid w:val="00315146"/>
    <w:rsid w:val="00315B92"/>
    <w:rsid w:val="003220EF"/>
    <w:rsid w:val="003228EF"/>
    <w:rsid w:val="00323572"/>
    <w:rsid w:val="0032715C"/>
    <w:rsid w:val="00327E42"/>
    <w:rsid w:val="003334F5"/>
    <w:rsid w:val="0033795A"/>
    <w:rsid w:val="0033795F"/>
    <w:rsid w:val="00340689"/>
    <w:rsid w:val="0034243B"/>
    <w:rsid w:val="003442B5"/>
    <w:rsid w:val="0035135A"/>
    <w:rsid w:val="0035595E"/>
    <w:rsid w:val="00356337"/>
    <w:rsid w:val="00360C5C"/>
    <w:rsid w:val="00364297"/>
    <w:rsid w:val="003674EB"/>
    <w:rsid w:val="00370516"/>
    <w:rsid w:val="00374632"/>
    <w:rsid w:val="00387BE5"/>
    <w:rsid w:val="00390757"/>
    <w:rsid w:val="00391DEA"/>
    <w:rsid w:val="00396E3A"/>
    <w:rsid w:val="003A0E78"/>
    <w:rsid w:val="003A188C"/>
    <w:rsid w:val="003A4A4F"/>
    <w:rsid w:val="003A6A45"/>
    <w:rsid w:val="003B4F18"/>
    <w:rsid w:val="003B5AA8"/>
    <w:rsid w:val="003C01D5"/>
    <w:rsid w:val="003C18B5"/>
    <w:rsid w:val="003C2BA6"/>
    <w:rsid w:val="003C47CA"/>
    <w:rsid w:val="003D07CF"/>
    <w:rsid w:val="003D0EDA"/>
    <w:rsid w:val="003D0F2A"/>
    <w:rsid w:val="003D514D"/>
    <w:rsid w:val="003D77DF"/>
    <w:rsid w:val="003E426B"/>
    <w:rsid w:val="003F2266"/>
    <w:rsid w:val="003F2E20"/>
    <w:rsid w:val="003F7214"/>
    <w:rsid w:val="004029FB"/>
    <w:rsid w:val="00403C25"/>
    <w:rsid w:val="00404A48"/>
    <w:rsid w:val="00404ECD"/>
    <w:rsid w:val="0041457B"/>
    <w:rsid w:val="00415DFE"/>
    <w:rsid w:val="00415FBD"/>
    <w:rsid w:val="00416794"/>
    <w:rsid w:val="00416DCD"/>
    <w:rsid w:val="00416F5E"/>
    <w:rsid w:val="004173D0"/>
    <w:rsid w:val="00421133"/>
    <w:rsid w:val="00426407"/>
    <w:rsid w:val="004270DD"/>
    <w:rsid w:val="004314E8"/>
    <w:rsid w:val="00433D93"/>
    <w:rsid w:val="00433FCF"/>
    <w:rsid w:val="004422DF"/>
    <w:rsid w:val="00443BD1"/>
    <w:rsid w:val="00451364"/>
    <w:rsid w:val="00451620"/>
    <w:rsid w:val="00451E34"/>
    <w:rsid w:val="00454860"/>
    <w:rsid w:val="00456AA4"/>
    <w:rsid w:val="004601F0"/>
    <w:rsid w:val="00461D7C"/>
    <w:rsid w:val="004815D0"/>
    <w:rsid w:val="004824CD"/>
    <w:rsid w:val="00482801"/>
    <w:rsid w:val="00484C0A"/>
    <w:rsid w:val="00485BD4"/>
    <w:rsid w:val="004879C6"/>
    <w:rsid w:val="0049122B"/>
    <w:rsid w:val="00494516"/>
    <w:rsid w:val="00495496"/>
    <w:rsid w:val="004A17B8"/>
    <w:rsid w:val="004A5B4D"/>
    <w:rsid w:val="004B1556"/>
    <w:rsid w:val="004B3EA6"/>
    <w:rsid w:val="004C0037"/>
    <w:rsid w:val="004C131A"/>
    <w:rsid w:val="004C1C37"/>
    <w:rsid w:val="004C501A"/>
    <w:rsid w:val="004E1EEB"/>
    <w:rsid w:val="004E2AE1"/>
    <w:rsid w:val="004F17A0"/>
    <w:rsid w:val="004F3F40"/>
    <w:rsid w:val="004F6BA5"/>
    <w:rsid w:val="0050434A"/>
    <w:rsid w:val="00505657"/>
    <w:rsid w:val="005058E2"/>
    <w:rsid w:val="00506497"/>
    <w:rsid w:val="0050796A"/>
    <w:rsid w:val="005143D3"/>
    <w:rsid w:val="00514BBE"/>
    <w:rsid w:val="005200D1"/>
    <w:rsid w:val="00523DA7"/>
    <w:rsid w:val="005300A5"/>
    <w:rsid w:val="005314BF"/>
    <w:rsid w:val="00532DF0"/>
    <w:rsid w:val="00534362"/>
    <w:rsid w:val="00537218"/>
    <w:rsid w:val="00547CF6"/>
    <w:rsid w:val="0055169A"/>
    <w:rsid w:val="00552053"/>
    <w:rsid w:val="00552ED5"/>
    <w:rsid w:val="00553947"/>
    <w:rsid w:val="00553D10"/>
    <w:rsid w:val="00557657"/>
    <w:rsid w:val="00561BA6"/>
    <w:rsid w:val="00561FBD"/>
    <w:rsid w:val="005625B7"/>
    <w:rsid w:val="0056356F"/>
    <w:rsid w:val="00563F86"/>
    <w:rsid w:val="0056658D"/>
    <w:rsid w:val="005706EF"/>
    <w:rsid w:val="00572ABA"/>
    <w:rsid w:val="0057369F"/>
    <w:rsid w:val="00576641"/>
    <w:rsid w:val="005808CD"/>
    <w:rsid w:val="00590DD9"/>
    <w:rsid w:val="00591FA2"/>
    <w:rsid w:val="005A246C"/>
    <w:rsid w:val="005A6928"/>
    <w:rsid w:val="005B240F"/>
    <w:rsid w:val="005B319C"/>
    <w:rsid w:val="005B4CDE"/>
    <w:rsid w:val="005C1D3D"/>
    <w:rsid w:val="005C31F0"/>
    <w:rsid w:val="005C6B0A"/>
    <w:rsid w:val="005D1830"/>
    <w:rsid w:val="005D28AE"/>
    <w:rsid w:val="005D2CD1"/>
    <w:rsid w:val="005D2D9E"/>
    <w:rsid w:val="005E35D0"/>
    <w:rsid w:val="005E4544"/>
    <w:rsid w:val="005E5698"/>
    <w:rsid w:val="005E5E8B"/>
    <w:rsid w:val="005E7FA5"/>
    <w:rsid w:val="005F272D"/>
    <w:rsid w:val="005F4CFE"/>
    <w:rsid w:val="00604FB3"/>
    <w:rsid w:val="00605AB4"/>
    <w:rsid w:val="006066C0"/>
    <w:rsid w:val="006159C2"/>
    <w:rsid w:val="006226CB"/>
    <w:rsid w:val="00623DD4"/>
    <w:rsid w:val="006243C2"/>
    <w:rsid w:val="00624F80"/>
    <w:rsid w:val="006275BB"/>
    <w:rsid w:val="0063175D"/>
    <w:rsid w:val="0063406C"/>
    <w:rsid w:val="0064194B"/>
    <w:rsid w:val="006419CF"/>
    <w:rsid w:val="00642629"/>
    <w:rsid w:val="00642BC9"/>
    <w:rsid w:val="0064517E"/>
    <w:rsid w:val="00651F6F"/>
    <w:rsid w:val="0065265E"/>
    <w:rsid w:val="006555A0"/>
    <w:rsid w:val="00661950"/>
    <w:rsid w:val="00662E43"/>
    <w:rsid w:val="00665DF2"/>
    <w:rsid w:val="00666FE5"/>
    <w:rsid w:val="0067000D"/>
    <w:rsid w:val="00670233"/>
    <w:rsid w:val="00670376"/>
    <w:rsid w:val="00671397"/>
    <w:rsid w:val="0067203D"/>
    <w:rsid w:val="0067516F"/>
    <w:rsid w:val="00675605"/>
    <w:rsid w:val="00675A81"/>
    <w:rsid w:val="00676116"/>
    <w:rsid w:val="00683F4B"/>
    <w:rsid w:val="00686B08"/>
    <w:rsid w:val="006903D8"/>
    <w:rsid w:val="00691D40"/>
    <w:rsid w:val="006925D6"/>
    <w:rsid w:val="00692ADD"/>
    <w:rsid w:val="00693720"/>
    <w:rsid w:val="0069712C"/>
    <w:rsid w:val="00697DEC"/>
    <w:rsid w:val="006A1B35"/>
    <w:rsid w:val="006A1FE9"/>
    <w:rsid w:val="006A54F1"/>
    <w:rsid w:val="006A7CBC"/>
    <w:rsid w:val="006A7E3E"/>
    <w:rsid w:val="006B074A"/>
    <w:rsid w:val="006C1A5A"/>
    <w:rsid w:val="006C3AA5"/>
    <w:rsid w:val="006C5091"/>
    <w:rsid w:val="006C564D"/>
    <w:rsid w:val="006C65F9"/>
    <w:rsid w:val="006D4F6F"/>
    <w:rsid w:val="006E58AB"/>
    <w:rsid w:val="006E76F5"/>
    <w:rsid w:val="006F2DD7"/>
    <w:rsid w:val="006F5699"/>
    <w:rsid w:val="006F5777"/>
    <w:rsid w:val="006F5EA2"/>
    <w:rsid w:val="006F7074"/>
    <w:rsid w:val="006F747A"/>
    <w:rsid w:val="00702991"/>
    <w:rsid w:val="00703543"/>
    <w:rsid w:val="00703E59"/>
    <w:rsid w:val="0071422F"/>
    <w:rsid w:val="00714D08"/>
    <w:rsid w:val="00721ED8"/>
    <w:rsid w:val="00727256"/>
    <w:rsid w:val="00733E84"/>
    <w:rsid w:val="00735F80"/>
    <w:rsid w:val="007405CA"/>
    <w:rsid w:val="00742BEC"/>
    <w:rsid w:val="00753200"/>
    <w:rsid w:val="00753529"/>
    <w:rsid w:val="00756068"/>
    <w:rsid w:val="00756539"/>
    <w:rsid w:val="0076250C"/>
    <w:rsid w:val="0076275B"/>
    <w:rsid w:val="00762D33"/>
    <w:rsid w:val="007701A2"/>
    <w:rsid w:val="007709A3"/>
    <w:rsid w:val="00771DC1"/>
    <w:rsid w:val="00773862"/>
    <w:rsid w:val="00780AB8"/>
    <w:rsid w:val="0078445D"/>
    <w:rsid w:val="00785CAE"/>
    <w:rsid w:val="00787336"/>
    <w:rsid w:val="00787885"/>
    <w:rsid w:val="00796F2C"/>
    <w:rsid w:val="007A2ADB"/>
    <w:rsid w:val="007A4B3F"/>
    <w:rsid w:val="007A68F9"/>
    <w:rsid w:val="007A7515"/>
    <w:rsid w:val="007B15AC"/>
    <w:rsid w:val="007B6474"/>
    <w:rsid w:val="007C6331"/>
    <w:rsid w:val="007D149E"/>
    <w:rsid w:val="007D3B92"/>
    <w:rsid w:val="007D6C70"/>
    <w:rsid w:val="007D77DB"/>
    <w:rsid w:val="007E2BC5"/>
    <w:rsid w:val="007E37AC"/>
    <w:rsid w:val="007F4D32"/>
    <w:rsid w:val="00805317"/>
    <w:rsid w:val="008057F6"/>
    <w:rsid w:val="00805868"/>
    <w:rsid w:val="0080681C"/>
    <w:rsid w:val="00806A82"/>
    <w:rsid w:val="008075E7"/>
    <w:rsid w:val="0081077A"/>
    <w:rsid w:val="00813CEC"/>
    <w:rsid w:val="00822F33"/>
    <w:rsid w:val="00824499"/>
    <w:rsid w:val="00826134"/>
    <w:rsid w:val="00832BF1"/>
    <w:rsid w:val="00837BE7"/>
    <w:rsid w:val="00842D9C"/>
    <w:rsid w:val="00843A70"/>
    <w:rsid w:val="008444E9"/>
    <w:rsid w:val="00855CCA"/>
    <w:rsid w:val="0085789A"/>
    <w:rsid w:val="00857C16"/>
    <w:rsid w:val="00863293"/>
    <w:rsid w:val="00865235"/>
    <w:rsid w:val="00871780"/>
    <w:rsid w:val="00874B9A"/>
    <w:rsid w:val="00880661"/>
    <w:rsid w:val="0088771B"/>
    <w:rsid w:val="00895BCB"/>
    <w:rsid w:val="008A61BB"/>
    <w:rsid w:val="008A66F0"/>
    <w:rsid w:val="008B726D"/>
    <w:rsid w:val="008C0377"/>
    <w:rsid w:val="008C2006"/>
    <w:rsid w:val="008C2711"/>
    <w:rsid w:val="008C36B7"/>
    <w:rsid w:val="008C3DB5"/>
    <w:rsid w:val="008C4AC5"/>
    <w:rsid w:val="008C684C"/>
    <w:rsid w:val="008C71F1"/>
    <w:rsid w:val="008E3C07"/>
    <w:rsid w:val="008E467E"/>
    <w:rsid w:val="008E79BF"/>
    <w:rsid w:val="008F10B0"/>
    <w:rsid w:val="008F2C88"/>
    <w:rsid w:val="008F4B4A"/>
    <w:rsid w:val="008F4C3C"/>
    <w:rsid w:val="00900257"/>
    <w:rsid w:val="009011B5"/>
    <w:rsid w:val="0090299D"/>
    <w:rsid w:val="00904537"/>
    <w:rsid w:val="009053BB"/>
    <w:rsid w:val="00911471"/>
    <w:rsid w:val="0091331A"/>
    <w:rsid w:val="00913FC1"/>
    <w:rsid w:val="00915D05"/>
    <w:rsid w:val="00924DB8"/>
    <w:rsid w:val="009251E2"/>
    <w:rsid w:val="00931177"/>
    <w:rsid w:val="00932C1B"/>
    <w:rsid w:val="009360B6"/>
    <w:rsid w:val="009442EB"/>
    <w:rsid w:val="0094487B"/>
    <w:rsid w:val="00950232"/>
    <w:rsid w:val="00950EE1"/>
    <w:rsid w:val="00957C24"/>
    <w:rsid w:val="009607C9"/>
    <w:rsid w:val="00962B70"/>
    <w:rsid w:val="009642B1"/>
    <w:rsid w:val="009763F9"/>
    <w:rsid w:val="00980072"/>
    <w:rsid w:val="0098189B"/>
    <w:rsid w:val="00982EEF"/>
    <w:rsid w:val="00983519"/>
    <w:rsid w:val="00983CE2"/>
    <w:rsid w:val="009841E7"/>
    <w:rsid w:val="00987D90"/>
    <w:rsid w:val="009929E9"/>
    <w:rsid w:val="00993E41"/>
    <w:rsid w:val="00994596"/>
    <w:rsid w:val="0099793E"/>
    <w:rsid w:val="009A2CCD"/>
    <w:rsid w:val="009A34AC"/>
    <w:rsid w:val="009A368B"/>
    <w:rsid w:val="009B1872"/>
    <w:rsid w:val="009B20E8"/>
    <w:rsid w:val="009B50AF"/>
    <w:rsid w:val="009C22AB"/>
    <w:rsid w:val="009C7458"/>
    <w:rsid w:val="009D358D"/>
    <w:rsid w:val="009D3ECF"/>
    <w:rsid w:val="009D470E"/>
    <w:rsid w:val="009D4B20"/>
    <w:rsid w:val="009D760A"/>
    <w:rsid w:val="009E02C9"/>
    <w:rsid w:val="009E038D"/>
    <w:rsid w:val="009E14C6"/>
    <w:rsid w:val="009E25AA"/>
    <w:rsid w:val="009E4EF4"/>
    <w:rsid w:val="009E7348"/>
    <w:rsid w:val="009F0034"/>
    <w:rsid w:val="009F1F4C"/>
    <w:rsid w:val="009F1F95"/>
    <w:rsid w:val="009F21FC"/>
    <w:rsid w:val="009F739A"/>
    <w:rsid w:val="00A01371"/>
    <w:rsid w:val="00A01EE1"/>
    <w:rsid w:val="00A033A9"/>
    <w:rsid w:val="00A0430C"/>
    <w:rsid w:val="00A07E96"/>
    <w:rsid w:val="00A100F4"/>
    <w:rsid w:val="00A12099"/>
    <w:rsid w:val="00A13A75"/>
    <w:rsid w:val="00A21309"/>
    <w:rsid w:val="00A22D4E"/>
    <w:rsid w:val="00A3390E"/>
    <w:rsid w:val="00A369BD"/>
    <w:rsid w:val="00A4130B"/>
    <w:rsid w:val="00A42FC8"/>
    <w:rsid w:val="00A43B1A"/>
    <w:rsid w:val="00A50CD0"/>
    <w:rsid w:val="00A53C26"/>
    <w:rsid w:val="00A54169"/>
    <w:rsid w:val="00A549D5"/>
    <w:rsid w:val="00A579A5"/>
    <w:rsid w:val="00A57BFA"/>
    <w:rsid w:val="00A60C9B"/>
    <w:rsid w:val="00A60CD9"/>
    <w:rsid w:val="00A6276E"/>
    <w:rsid w:val="00A71B46"/>
    <w:rsid w:val="00A7325B"/>
    <w:rsid w:val="00A759C4"/>
    <w:rsid w:val="00A816AF"/>
    <w:rsid w:val="00A83772"/>
    <w:rsid w:val="00A85B4D"/>
    <w:rsid w:val="00A90864"/>
    <w:rsid w:val="00A92D13"/>
    <w:rsid w:val="00A9410B"/>
    <w:rsid w:val="00AA1A7B"/>
    <w:rsid w:val="00AA4997"/>
    <w:rsid w:val="00AA6515"/>
    <w:rsid w:val="00AA6709"/>
    <w:rsid w:val="00AB7F7F"/>
    <w:rsid w:val="00AC10BC"/>
    <w:rsid w:val="00AC1164"/>
    <w:rsid w:val="00AC3A33"/>
    <w:rsid w:val="00AC3F6E"/>
    <w:rsid w:val="00AD11AB"/>
    <w:rsid w:val="00AD23F2"/>
    <w:rsid w:val="00AD3823"/>
    <w:rsid w:val="00AD3CB0"/>
    <w:rsid w:val="00AD4092"/>
    <w:rsid w:val="00AE2A96"/>
    <w:rsid w:val="00AE3EBE"/>
    <w:rsid w:val="00AF01AB"/>
    <w:rsid w:val="00AF4CB6"/>
    <w:rsid w:val="00AF5DB1"/>
    <w:rsid w:val="00AF7E91"/>
    <w:rsid w:val="00B00A2A"/>
    <w:rsid w:val="00B022EF"/>
    <w:rsid w:val="00B07E67"/>
    <w:rsid w:val="00B10334"/>
    <w:rsid w:val="00B1321A"/>
    <w:rsid w:val="00B13B31"/>
    <w:rsid w:val="00B16748"/>
    <w:rsid w:val="00B22A19"/>
    <w:rsid w:val="00B34808"/>
    <w:rsid w:val="00B37425"/>
    <w:rsid w:val="00B41012"/>
    <w:rsid w:val="00B42730"/>
    <w:rsid w:val="00B43331"/>
    <w:rsid w:val="00B45715"/>
    <w:rsid w:val="00B4690E"/>
    <w:rsid w:val="00B46FFB"/>
    <w:rsid w:val="00B51A45"/>
    <w:rsid w:val="00B5662C"/>
    <w:rsid w:val="00B62AFA"/>
    <w:rsid w:val="00B63143"/>
    <w:rsid w:val="00B703DC"/>
    <w:rsid w:val="00B81587"/>
    <w:rsid w:val="00B81F26"/>
    <w:rsid w:val="00B839B6"/>
    <w:rsid w:val="00B839BF"/>
    <w:rsid w:val="00B83AE2"/>
    <w:rsid w:val="00B84C90"/>
    <w:rsid w:val="00B87032"/>
    <w:rsid w:val="00B90CAC"/>
    <w:rsid w:val="00B9101C"/>
    <w:rsid w:val="00B94216"/>
    <w:rsid w:val="00B96524"/>
    <w:rsid w:val="00BA065D"/>
    <w:rsid w:val="00BA0845"/>
    <w:rsid w:val="00BA18DC"/>
    <w:rsid w:val="00BA1AB8"/>
    <w:rsid w:val="00BA2148"/>
    <w:rsid w:val="00BA3080"/>
    <w:rsid w:val="00BA3803"/>
    <w:rsid w:val="00BA3F5A"/>
    <w:rsid w:val="00BA553B"/>
    <w:rsid w:val="00BA6127"/>
    <w:rsid w:val="00BC1E36"/>
    <w:rsid w:val="00BC7404"/>
    <w:rsid w:val="00BD4424"/>
    <w:rsid w:val="00BE27C7"/>
    <w:rsid w:val="00BE4D22"/>
    <w:rsid w:val="00BE586E"/>
    <w:rsid w:val="00C06E28"/>
    <w:rsid w:val="00C10858"/>
    <w:rsid w:val="00C114BE"/>
    <w:rsid w:val="00C12193"/>
    <w:rsid w:val="00C12F9D"/>
    <w:rsid w:val="00C178B7"/>
    <w:rsid w:val="00C208A3"/>
    <w:rsid w:val="00C20D6D"/>
    <w:rsid w:val="00C3087F"/>
    <w:rsid w:val="00C324F3"/>
    <w:rsid w:val="00C43B52"/>
    <w:rsid w:val="00C461D4"/>
    <w:rsid w:val="00C51898"/>
    <w:rsid w:val="00C52E21"/>
    <w:rsid w:val="00C613CD"/>
    <w:rsid w:val="00C64DE1"/>
    <w:rsid w:val="00C674F3"/>
    <w:rsid w:val="00C6771B"/>
    <w:rsid w:val="00C70BE7"/>
    <w:rsid w:val="00C72DF7"/>
    <w:rsid w:val="00C74AFA"/>
    <w:rsid w:val="00C7689B"/>
    <w:rsid w:val="00C8408A"/>
    <w:rsid w:val="00C84485"/>
    <w:rsid w:val="00C84632"/>
    <w:rsid w:val="00C8592D"/>
    <w:rsid w:val="00C92288"/>
    <w:rsid w:val="00C927CB"/>
    <w:rsid w:val="00C92D46"/>
    <w:rsid w:val="00C95AFC"/>
    <w:rsid w:val="00CA265F"/>
    <w:rsid w:val="00CA7FE3"/>
    <w:rsid w:val="00CB2C72"/>
    <w:rsid w:val="00CC07D8"/>
    <w:rsid w:val="00CC209B"/>
    <w:rsid w:val="00CC2674"/>
    <w:rsid w:val="00CD0A67"/>
    <w:rsid w:val="00CD19B9"/>
    <w:rsid w:val="00CD6AEC"/>
    <w:rsid w:val="00CD709F"/>
    <w:rsid w:val="00CE6A65"/>
    <w:rsid w:val="00CE6AB1"/>
    <w:rsid w:val="00CE7BE8"/>
    <w:rsid w:val="00CF1753"/>
    <w:rsid w:val="00CF250E"/>
    <w:rsid w:val="00CF3CB9"/>
    <w:rsid w:val="00D005CC"/>
    <w:rsid w:val="00D00D28"/>
    <w:rsid w:val="00D03CB7"/>
    <w:rsid w:val="00D04AA5"/>
    <w:rsid w:val="00D072A9"/>
    <w:rsid w:val="00D105E1"/>
    <w:rsid w:val="00D110AC"/>
    <w:rsid w:val="00D169F9"/>
    <w:rsid w:val="00D237CE"/>
    <w:rsid w:val="00D414BC"/>
    <w:rsid w:val="00D41ED4"/>
    <w:rsid w:val="00D47049"/>
    <w:rsid w:val="00D50C64"/>
    <w:rsid w:val="00D56682"/>
    <w:rsid w:val="00D60A67"/>
    <w:rsid w:val="00D60A75"/>
    <w:rsid w:val="00D65140"/>
    <w:rsid w:val="00D651F5"/>
    <w:rsid w:val="00D67B0C"/>
    <w:rsid w:val="00D7797E"/>
    <w:rsid w:val="00D820B9"/>
    <w:rsid w:val="00D87485"/>
    <w:rsid w:val="00D90280"/>
    <w:rsid w:val="00D92654"/>
    <w:rsid w:val="00D92D93"/>
    <w:rsid w:val="00D9576C"/>
    <w:rsid w:val="00D966F1"/>
    <w:rsid w:val="00DA456D"/>
    <w:rsid w:val="00DA5C35"/>
    <w:rsid w:val="00DA7545"/>
    <w:rsid w:val="00DB034E"/>
    <w:rsid w:val="00DB1D6A"/>
    <w:rsid w:val="00DB42FF"/>
    <w:rsid w:val="00DB4D3B"/>
    <w:rsid w:val="00DB585A"/>
    <w:rsid w:val="00DB59F7"/>
    <w:rsid w:val="00DC1592"/>
    <w:rsid w:val="00DC3C48"/>
    <w:rsid w:val="00DC6B35"/>
    <w:rsid w:val="00DC7134"/>
    <w:rsid w:val="00DD4A44"/>
    <w:rsid w:val="00DD4B2A"/>
    <w:rsid w:val="00DE196E"/>
    <w:rsid w:val="00DE2B9E"/>
    <w:rsid w:val="00DE5996"/>
    <w:rsid w:val="00DF16A3"/>
    <w:rsid w:val="00DF48BE"/>
    <w:rsid w:val="00DF50A9"/>
    <w:rsid w:val="00DF5B53"/>
    <w:rsid w:val="00E0061C"/>
    <w:rsid w:val="00E01CA4"/>
    <w:rsid w:val="00E04B23"/>
    <w:rsid w:val="00E05EFA"/>
    <w:rsid w:val="00E111D5"/>
    <w:rsid w:val="00E12100"/>
    <w:rsid w:val="00E13A42"/>
    <w:rsid w:val="00E13C0D"/>
    <w:rsid w:val="00E14FED"/>
    <w:rsid w:val="00E16557"/>
    <w:rsid w:val="00E2321D"/>
    <w:rsid w:val="00E24050"/>
    <w:rsid w:val="00E24C25"/>
    <w:rsid w:val="00E2501F"/>
    <w:rsid w:val="00E25908"/>
    <w:rsid w:val="00E26D52"/>
    <w:rsid w:val="00E302F4"/>
    <w:rsid w:val="00E34045"/>
    <w:rsid w:val="00E41D7C"/>
    <w:rsid w:val="00E434CD"/>
    <w:rsid w:val="00E443D6"/>
    <w:rsid w:val="00E462C7"/>
    <w:rsid w:val="00E51093"/>
    <w:rsid w:val="00E51C05"/>
    <w:rsid w:val="00E603A3"/>
    <w:rsid w:val="00E60C19"/>
    <w:rsid w:val="00E709AE"/>
    <w:rsid w:val="00E72560"/>
    <w:rsid w:val="00E74FB6"/>
    <w:rsid w:val="00E76E13"/>
    <w:rsid w:val="00E81258"/>
    <w:rsid w:val="00E8665C"/>
    <w:rsid w:val="00E937AB"/>
    <w:rsid w:val="00EA578D"/>
    <w:rsid w:val="00EA5B13"/>
    <w:rsid w:val="00EB174E"/>
    <w:rsid w:val="00EB3A4A"/>
    <w:rsid w:val="00EB77C0"/>
    <w:rsid w:val="00EB7FB1"/>
    <w:rsid w:val="00EC5137"/>
    <w:rsid w:val="00EC7DA1"/>
    <w:rsid w:val="00EE2CB1"/>
    <w:rsid w:val="00EE449F"/>
    <w:rsid w:val="00EE4C92"/>
    <w:rsid w:val="00EE5627"/>
    <w:rsid w:val="00EE5DD8"/>
    <w:rsid w:val="00EF2657"/>
    <w:rsid w:val="00EF62E8"/>
    <w:rsid w:val="00EF65C6"/>
    <w:rsid w:val="00EF6A3D"/>
    <w:rsid w:val="00F00B8D"/>
    <w:rsid w:val="00F011A8"/>
    <w:rsid w:val="00F075FB"/>
    <w:rsid w:val="00F131A0"/>
    <w:rsid w:val="00F1663A"/>
    <w:rsid w:val="00F22E46"/>
    <w:rsid w:val="00F23B01"/>
    <w:rsid w:val="00F2459F"/>
    <w:rsid w:val="00F25142"/>
    <w:rsid w:val="00F27FA5"/>
    <w:rsid w:val="00F32016"/>
    <w:rsid w:val="00F32597"/>
    <w:rsid w:val="00F33E20"/>
    <w:rsid w:val="00F44268"/>
    <w:rsid w:val="00F46626"/>
    <w:rsid w:val="00F5139F"/>
    <w:rsid w:val="00F54766"/>
    <w:rsid w:val="00F54911"/>
    <w:rsid w:val="00F54BD8"/>
    <w:rsid w:val="00F62369"/>
    <w:rsid w:val="00F629AA"/>
    <w:rsid w:val="00F62BA7"/>
    <w:rsid w:val="00F65B7D"/>
    <w:rsid w:val="00F71FF4"/>
    <w:rsid w:val="00F737D0"/>
    <w:rsid w:val="00F75142"/>
    <w:rsid w:val="00F75378"/>
    <w:rsid w:val="00F76FE0"/>
    <w:rsid w:val="00F775E8"/>
    <w:rsid w:val="00F8107C"/>
    <w:rsid w:val="00F8501C"/>
    <w:rsid w:val="00F96995"/>
    <w:rsid w:val="00FA0DF6"/>
    <w:rsid w:val="00FB0271"/>
    <w:rsid w:val="00FB057D"/>
    <w:rsid w:val="00FB0B85"/>
    <w:rsid w:val="00FB1897"/>
    <w:rsid w:val="00FB4A37"/>
    <w:rsid w:val="00FC02B2"/>
    <w:rsid w:val="00FC0322"/>
    <w:rsid w:val="00FC2C1E"/>
    <w:rsid w:val="00FC32ED"/>
    <w:rsid w:val="00FC35BE"/>
    <w:rsid w:val="00FC68D4"/>
    <w:rsid w:val="00FD6394"/>
    <w:rsid w:val="00FE6DD4"/>
    <w:rsid w:val="00FF076E"/>
    <w:rsid w:val="00FF1868"/>
    <w:rsid w:val="00FF5045"/>
    <w:rsid w:val="00FF7E14"/>
    <w:rsid w:val="010016DF"/>
    <w:rsid w:val="01025651"/>
    <w:rsid w:val="01032C10"/>
    <w:rsid w:val="011021C1"/>
    <w:rsid w:val="012263B0"/>
    <w:rsid w:val="01242D30"/>
    <w:rsid w:val="012931B2"/>
    <w:rsid w:val="012E025B"/>
    <w:rsid w:val="012F2440"/>
    <w:rsid w:val="013233AC"/>
    <w:rsid w:val="013660B3"/>
    <w:rsid w:val="013B4BE5"/>
    <w:rsid w:val="014403D4"/>
    <w:rsid w:val="01467919"/>
    <w:rsid w:val="014D661B"/>
    <w:rsid w:val="01557A3F"/>
    <w:rsid w:val="01590FF1"/>
    <w:rsid w:val="015A7CD9"/>
    <w:rsid w:val="015C0016"/>
    <w:rsid w:val="015D79A7"/>
    <w:rsid w:val="016452F5"/>
    <w:rsid w:val="01671EA3"/>
    <w:rsid w:val="01677690"/>
    <w:rsid w:val="016A4272"/>
    <w:rsid w:val="017107F0"/>
    <w:rsid w:val="01732BDD"/>
    <w:rsid w:val="017B28A7"/>
    <w:rsid w:val="017D78C3"/>
    <w:rsid w:val="0180651B"/>
    <w:rsid w:val="018156A7"/>
    <w:rsid w:val="01823876"/>
    <w:rsid w:val="01861379"/>
    <w:rsid w:val="01894F17"/>
    <w:rsid w:val="01947075"/>
    <w:rsid w:val="01B55C35"/>
    <w:rsid w:val="01B75455"/>
    <w:rsid w:val="01B92666"/>
    <w:rsid w:val="01BE2E41"/>
    <w:rsid w:val="01CD69AA"/>
    <w:rsid w:val="01DA1967"/>
    <w:rsid w:val="01E94182"/>
    <w:rsid w:val="02093DAA"/>
    <w:rsid w:val="0209612E"/>
    <w:rsid w:val="02117C10"/>
    <w:rsid w:val="02121367"/>
    <w:rsid w:val="021B1194"/>
    <w:rsid w:val="021B44CF"/>
    <w:rsid w:val="022637B4"/>
    <w:rsid w:val="023E0620"/>
    <w:rsid w:val="024017B3"/>
    <w:rsid w:val="02463CB6"/>
    <w:rsid w:val="0249143C"/>
    <w:rsid w:val="024A3F5A"/>
    <w:rsid w:val="02500F76"/>
    <w:rsid w:val="025A4E9F"/>
    <w:rsid w:val="025B77AA"/>
    <w:rsid w:val="026243BC"/>
    <w:rsid w:val="026D484E"/>
    <w:rsid w:val="02793E92"/>
    <w:rsid w:val="027C3BAD"/>
    <w:rsid w:val="02806EAE"/>
    <w:rsid w:val="0282231C"/>
    <w:rsid w:val="028752B3"/>
    <w:rsid w:val="028762DB"/>
    <w:rsid w:val="02892B56"/>
    <w:rsid w:val="028A23B0"/>
    <w:rsid w:val="028E0287"/>
    <w:rsid w:val="029314D2"/>
    <w:rsid w:val="02A27A06"/>
    <w:rsid w:val="02AB5D3F"/>
    <w:rsid w:val="02B05422"/>
    <w:rsid w:val="02B31ED5"/>
    <w:rsid w:val="02B81A48"/>
    <w:rsid w:val="02B91C6E"/>
    <w:rsid w:val="02BD7976"/>
    <w:rsid w:val="02BE4579"/>
    <w:rsid w:val="02C433D8"/>
    <w:rsid w:val="02E2518B"/>
    <w:rsid w:val="02E40052"/>
    <w:rsid w:val="02E46D96"/>
    <w:rsid w:val="02EF033E"/>
    <w:rsid w:val="02F61FF8"/>
    <w:rsid w:val="02FC02F4"/>
    <w:rsid w:val="02FF4A81"/>
    <w:rsid w:val="03081F9D"/>
    <w:rsid w:val="0313001C"/>
    <w:rsid w:val="031A584A"/>
    <w:rsid w:val="03217B69"/>
    <w:rsid w:val="032331A0"/>
    <w:rsid w:val="03251125"/>
    <w:rsid w:val="033146AD"/>
    <w:rsid w:val="03392080"/>
    <w:rsid w:val="03473EF8"/>
    <w:rsid w:val="034962BF"/>
    <w:rsid w:val="035177D0"/>
    <w:rsid w:val="035D1277"/>
    <w:rsid w:val="035F46B3"/>
    <w:rsid w:val="0364324B"/>
    <w:rsid w:val="036812C9"/>
    <w:rsid w:val="037378D6"/>
    <w:rsid w:val="038524DA"/>
    <w:rsid w:val="03931949"/>
    <w:rsid w:val="039601F7"/>
    <w:rsid w:val="039757D5"/>
    <w:rsid w:val="039A6A6F"/>
    <w:rsid w:val="03A77729"/>
    <w:rsid w:val="03AB20F6"/>
    <w:rsid w:val="03AD3D37"/>
    <w:rsid w:val="03AD7611"/>
    <w:rsid w:val="03AF7585"/>
    <w:rsid w:val="03B32BA2"/>
    <w:rsid w:val="03B630E3"/>
    <w:rsid w:val="03BD3300"/>
    <w:rsid w:val="03BF7A46"/>
    <w:rsid w:val="03C547A0"/>
    <w:rsid w:val="03C61382"/>
    <w:rsid w:val="03C72090"/>
    <w:rsid w:val="03CD56E4"/>
    <w:rsid w:val="03CE7E48"/>
    <w:rsid w:val="03EA2EFC"/>
    <w:rsid w:val="03F37758"/>
    <w:rsid w:val="042959FC"/>
    <w:rsid w:val="04296337"/>
    <w:rsid w:val="042C0D54"/>
    <w:rsid w:val="04527F46"/>
    <w:rsid w:val="0456003F"/>
    <w:rsid w:val="046F2881"/>
    <w:rsid w:val="04741FC5"/>
    <w:rsid w:val="047D2F79"/>
    <w:rsid w:val="04887E6E"/>
    <w:rsid w:val="04893CFE"/>
    <w:rsid w:val="049E2ED7"/>
    <w:rsid w:val="04B73C5F"/>
    <w:rsid w:val="04B9349B"/>
    <w:rsid w:val="04BC18D4"/>
    <w:rsid w:val="04C15146"/>
    <w:rsid w:val="04C344C4"/>
    <w:rsid w:val="04C410A1"/>
    <w:rsid w:val="04C66D03"/>
    <w:rsid w:val="04CB5FDF"/>
    <w:rsid w:val="04D10E61"/>
    <w:rsid w:val="04D23B9E"/>
    <w:rsid w:val="04E16C4F"/>
    <w:rsid w:val="04E20714"/>
    <w:rsid w:val="04E22303"/>
    <w:rsid w:val="04F168D0"/>
    <w:rsid w:val="05095F19"/>
    <w:rsid w:val="050E62B4"/>
    <w:rsid w:val="05134DAC"/>
    <w:rsid w:val="051E3170"/>
    <w:rsid w:val="052152CB"/>
    <w:rsid w:val="052A7F59"/>
    <w:rsid w:val="053B70BC"/>
    <w:rsid w:val="0547685E"/>
    <w:rsid w:val="054A65C3"/>
    <w:rsid w:val="054F7546"/>
    <w:rsid w:val="05501B0B"/>
    <w:rsid w:val="0555634A"/>
    <w:rsid w:val="0556694F"/>
    <w:rsid w:val="056A53D1"/>
    <w:rsid w:val="05723527"/>
    <w:rsid w:val="057A4BB3"/>
    <w:rsid w:val="057B238D"/>
    <w:rsid w:val="057B6FEC"/>
    <w:rsid w:val="05834234"/>
    <w:rsid w:val="05AF1FF6"/>
    <w:rsid w:val="05BC706D"/>
    <w:rsid w:val="05C63A53"/>
    <w:rsid w:val="05C80FC7"/>
    <w:rsid w:val="05CD1B3E"/>
    <w:rsid w:val="05CF4803"/>
    <w:rsid w:val="05D22A15"/>
    <w:rsid w:val="05D80B56"/>
    <w:rsid w:val="05D830A9"/>
    <w:rsid w:val="05E86693"/>
    <w:rsid w:val="05EA72B7"/>
    <w:rsid w:val="05ED3D09"/>
    <w:rsid w:val="05F7268B"/>
    <w:rsid w:val="060166B1"/>
    <w:rsid w:val="0605049C"/>
    <w:rsid w:val="06086291"/>
    <w:rsid w:val="06117DB4"/>
    <w:rsid w:val="06120449"/>
    <w:rsid w:val="061305E0"/>
    <w:rsid w:val="06190AF6"/>
    <w:rsid w:val="061D0C42"/>
    <w:rsid w:val="061D58BC"/>
    <w:rsid w:val="061E33AE"/>
    <w:rsid w:val="06213581"/>
    <w:rsid w:val="062C6201"/>
    <w:rsid w:val="06382504"/>
    <w:rsid w:val="0640212E"/>
    <w:rsid w:val="06402DE4"/>
    <w:rsid w:val="06463DAF"/>
    <w:rsid w:val="064912C9"/>
    <w:rsid w:val="064E5C58"/>
    <w:rsid w:val="065C2208"/>
    <w:rsid w:val="06695388"/>
    <w:rsid w:val="066B00BA"/>
    <w:rsid w:val="067A3EF5"/>
    <w:rsid w:val="06802B99"/>
    <w:rsid w:val="06A70458"/>
    <w:rsid w:val="06A74CD0"/>
    <w:rsid w:val="06B32349"/>
    <w:rsid w:val="06B54987"/>
    <w:rsid w:val="06B74FBA"/>
    <w:rsid w:val="06C7632E"/>
    <w:rsid w:val="06C8626A"/>
    <w:rsid w:val="06C92077"/>
    <w:rsid w:val="06CB7EEB"/>
    <w:rsid w:val="06DA679F"/>
    <w:rsid w:val="06DB69B1"/>
    <w:rsid w:val="06DD6ABF"/>
    <w:rsid w:val="06DF35B2"/>
    <w:rsid w:val="06EA18BE"/>
    <w:rsid w:val="06F86B11"/>
    <w:rsid w:val="070678B9"/>
    <w:rsid w:val="070F04EF"/>
    <w:rsid w:val="07110D09"/>
    <w:rsid w:val="071414C2"/>
    <w:rsid w:val="072C2768"/>
    <w:rsid w:val="07310668"/>
    <w:rsid w:val="0735387E"/>
    <w:rsid w:val="073875DE"/>
    <w:rsid w:val="074C6B41"/>
    <w:rsid w:val="074D59B8"/>
    <w:rsid w:val="074F7B80"/>
    <w:rsid w:val="07550685"/>
    <w:rsid w:val="07556688"/>
    <w:rsid w:val="07583764"/>
    <w:rsid w:val="076218A9"/>
    <w:rsid w:val="07712517"/>
    <w:rsid w:val="07743174"/>
    <w:rsid w:val="07754E78"/>
    <w:rsid w:val="077D45DB"/>
    <w:rsid w:val="07902F8B"/>
    <w:rsid w:val="079217FD"/>
    <w:rsid w:val="079C0E64"/>
    <w:rsid w:val="07A01E13"/>
    <w:rsid w:val="07A31495"/>
    <w:rsid w:val="07A77905"/>
    <w:rsid w:val="07B005E0"/>
    <w:rsid w:val="07C260A3"/>
    <w:rsid w:val="07C47F12"/>
    <w:rsid w:val="07C66650"/>
    <w:rsid w:val="07CE1957"/>
    <w:rsid w:val="07CF69AE"/>
    <w:rsid w:val="07D1170A"/>
    <w:rsid w:val="07E30029"/>
    <w:rsid w:val="07F770AF"/>
    <w:rsid w:val="07FD43C4"/>
    <w:rsid w:val="07FE66CB"/>
    <w:rsid w:val="080351FE"/>
    <w:rsid w:val="08063FF6"/>
    <w:rsid w:val="080865DE"/>
    <w:rsid w:val="080A1E99"/>
    <w:rsid w:val="08124DB7"/>
    <w:rsid w:val="082B13AA"/>
    <w:rsid w:val="082C4010"/>
    <w:rsid w:val="083004E1"/>
    <w:rsid w:val="08441503"/>
    <w:rsid w:val="08517848"/>
    <w:rsid w:val="08526F42"/>
    <w:rsid w:val="08584FEF"/>
    <w:rsid w:val="08586D52"/>
    <w:rsid w:val="0869033A"/>
    <w:rsid w:val="087C6635"/>
    <w:rsid w:val="088D75FD"/>
    <w:rsid w:val="08925E91"/>
    <w:rsid w:val="08995AC8"/>
    <w:rsid w:val="089E0D9E"/>
    <w:rsid w:val="08A65D13"/>
    <w:rsid w:val="08B472B8"/>
    <w:rsid w:val="08BF08AA"/>
    <w:rsid w:val="08BF4DAD"/>
    <w:rsid w:val="08C1642F"/>
    <w:rsid w:val="08CB1CD0"/>
    <w:rsid w:val="08D25195"/>
    <w:rsid w:val="08D26C47"/>
    <w:rsid w:val="08DD520D"/>
    <w:rsid w:val="08E50D64"/>
    <w:rsid w:val="08EA4949"/>
    <w:rsid w:val="08EC4A8B"/>
    <w:rsid w:val="08EC4C9B"/>
    <w:rsid w:val="08ED5C00"/>
    <w:rsid w:val="08F2036E"/>
    <w:rsid w:val="09074CBB"/>
    <w:rsid w:val="090C26B8"/>
    <w:rsid w:val="090D5E2C"/>
    <w:rsid w:val="090D69E6"/>
    <w:rsid w:val="090E1AFD"/>
    <w:rsid w:val="09153947"/>
    <w:rsid w:val="091B00DC"/>
    <w:rsid w:val="092268C7"/>
    <w:rsid w:val="0925203A"/>
    <w:rsid w:val="093166A5"/>
    <w:rsid w:val="09374A5F"/>
    <w:rsid w:val="093A52B4"/>
    <w:rsid w:val="093E5EB8"/>
    <w:rsid w:val="09402138"/>
    <w:rsid w:val="09432CFB"/>
    <w:rsid w:val="0955208D"/>
    <w:rsid w:val="09581E0B"/>
    <w:rsid w:val="095D14A2"/>
    <w:rsid w:val="0960623B"/>
    <w:rsid w:val="09702A63"/>
    <w:rsid w:val="09761796"/>
    <w:rsid w:val="097B2A2B"/>
    <w:rsid w:val="09817065"/>
    <w:rsid w:val="09835C30"/>
    <w:rsid w:val="09936331"/>
    <w:rsid w:val="099556EF"/>
    <w:rsid w:val="09993CB1"/>
    <w:rsid w:val="099C1933"/>
    <w:rsid w:val="099D095D"/>
    <w:rsid w:val="099E08AB"/>
    <w:rsid w:val="09A807D2"/>
    <w:rsid w:val="09AA7D15"/>
    <w:rsid w:val="09B50E38"/>
    <w:rsid w:val="09B97541"/>
    <w:rsid w:val="09BB650E"/>
    <w:rsid w:val="09C30A93"/>
    <w:rsid w:val="09CC13A3"/>
    <w:rsid w:val="09CD36E7"/>
    <w:rsid w:val="09E02452"/>
    <w:rsid w:val="09E13A11"/>
    <w:rsid w:val="09EA1E2D"/>
    <w:rsid w:val="09EA45C1"/>
    <w:rsid w:val="09EE67ED"/>
    <w:rsid w:val="09F102E9"/>
    <w:rsid w:val="09F605BA"/>
    <w:rsid w:val="09F61AD0"/>
    <w:rsid w:val="09FE53F8"/>
    <w:rsid w:val="0A074183"/>
    <w:rsid w:val="0A0F3FE1"/>
    <w:rsid w:val="0A0F5799"/>
    <w:rsid w:val="0A150DC4"/>
    <w:rsid w:val="0A1940D7"/>
    <w:rsid w:val="0A202DF6"/>
    <w:rsid w:val="0A252D1F"/>
    <w:rsid w:val="0A2E7872"/>
    <w:rsid w:val="0A301196"/>
    <w:rsid w:val="0A355557"/>
    <w:rsid w:val="0A381FFC"/>
    <w:rsid w:val="0A396E42"/>
    <w:rsid w:val="0A3A1020"/>
    <w:rsid w:val="0A3C6BB9"/>
    <w:rsid w:val="0A3C7A3B"/>
    <w:rsid w:val="0A3E3AFB"/>
    <w:rsid w:val="0A561C76"/>
    <w:rsid w:val="0A566929"/>
    <w:rsid w:val="0A61375D"/>
    <w:rsid w:val="0A66678B"/>
    <w:rsid w:val="0A675CFD"/>
    <w:rsid w:val="0A6A6B06"/>
    <w:rsid w:val="0A72470A"/>
    <w:rsid w:val="0A7B7B0E"/>
    <w:rsid w:val="0A7F0261"/>
    <w:rsid w:val="0A807DD2"/>
    <w:rsid w:val="0A8343E4"/>
    <w:rsid w:val="0A8A50CB"/>
    <w:rsid w:val="0A92134D"/>
    <w:rsid w:val="0A937CCE"/>
    <w:rsid w:val="0A983E61"/>
    <w:rsid w:val="0AAB6381"/>
    <w:rsid w:val="0AC336B4"/>
    <w:rsid w:val="0ACA2113"/>
    <w:rsid w:val="0ACE20C5"/>
    <w:rsid w:val="0AD11160"/>
    <w:rsid w:val="0AD24468"/>
    <w:rsid w:val="0AD33C64"/>
    <w:rsid w:val="0ADF578C"/>
    <w:rsid w:val="0AE30E56"/>
    <w:rsid w:val="0AEA6973"/>
    <w:rsid w:val="0AEC5C58"/>
    <w:rsid w:val="0AF60E55"/>
    <w:rsid w:val="0AF743EA"/>
    <w:rsid w:val="0B097757"/>
    <w:rsid w:val="0B0B7FDF"/>
    <w:rsid w:val="0B147E88"/>
    <w:rsid w:val="0B186D3D"/>
    <w:rsid w:val="0B1E7158"/>
    <w:rsid w:val="0B2423BB"/>
    <w:rsid w:val="0B2D4E76"/>
    <w:rsid w:val="0B304AB2"/>
    <w:rsid w:val="0B307896"/>
    <w:rsid w:val="0B380238"/>
    <w:rsid w:val="0B3D7131"/>
    <w:rsid w:val="0B414A47"/>
    <w:rsid w:val="0B415793"/>
    <w:rsid w:val="0B513D48"/>
    <w:rsid w:val="0B686C45"/>
    <w:rsid w:val="0B6D6E34"/>
    <w:rsid w:val="0B6F4B65"/>
    <w:rsid w:val="0B7050C1"/>
    <w:rsid w:val="0B7177D8"/>
    <w:rsid w:val="0B7554C6"/>
    <w:rsid w:val="0B7B18C6"/>
    <w:rsid w:val="0B7C4B06"/>
    <w:rsid w:val="0B842BFA"/>
    <w:rsid w:val="0B894190"/>
    <w:rsid w:val="0B923746"/>
    <w:rsid w:val="0B95657B"/>
    <w:rsid w:val="0BA31C93"/>
    <w:rsid w:val="0BAC3979"/>
    <w:rsid w:val="0BB53545"/>
    <w:rsid w:val="0BB83236"/>
    <w:rsid w:val="0BC07C91"/>
    <w:rsid w:val="0BC20798"/>
    <w:rsid w:val="0BC25FE2"/>
    <w:rsid w:val="0BD34BC4"/>
    <w:rsid w:val="0BE960EF"/>
    <w:rsid w:val="0BED0793"/>
    <w:rsid w:val="0BEF1814"/>
    <w:rsid w:val="0BF0266C"/>
    <w:rsid w:val="0BF45937"/>
    <w:rsid w:val="0BF84DBD"/>
    <w:rsid w:val="0BFE2355"/>
    <w:rsid w:val="0C0010FD"/>
    <w:rsid w:val="0C0544CC"/>
    <w:rsid w:val="0C071B37"/>
    <w:rsid w:val="0C1A4F13"/>
    <w:rsid w:val="0C201306"/>
    <w:rsid w:val="0C312112"/>
    <w:rsid w:val="0C324EC2"/>
    <w:rsid w:val="0C39372E"/>
    <w:rsid w:val="0C3A477B"/>
    <w:rsid w:val="0C4E2BAD"/>
    <w:rsid w:val="0C546172"/>
    <w:rsid w:val="0C640C97"/>
    <w:rsid w:val="0C677470"/>
    <w:rsid w:val="0C7B3308"/>
    <w:rsid w:val="0C7B6E8C"/>
    <w:rsid w:val="0C7D47B0"/>
    <w:rsid w:val="0C7F430A"/>
    <w:rsid w:val="0C876934"/>
    <w:rsid w:val="0C8B6F50"/>
    <w:rsid w:val="0C8C76A2"/>
    <w:rsid w:val="0CA01C8E"/>
    <w:rsid w:val="0CA46D92"/>
    <w:rsid w:val="0CB27FE4"/>
    <w:rsid w:val="0CB47BA2"/>
    <w:rsid w:val="0CB57555"/>
    <w:rsid w:val="0CBE309C"/>
    <w:rsid w:val="0CC25F19"/>
    <w:rsid w:val="0CC7249F"/>
    <w:rsid w:val="0CCC5DAC"/>
    <w:rsid w:val="0CD27993"/>
    <w:rsid w:val="0CDC48B4"/>
    <w:rsid w:val="0CDE57EF"/>
    <w:rsid w:val="0CE45FBE"/>
    <w:rsid w:val="0CE72DF6"/>
    <w:rsid w:val="0CFC7C5B"/>
    <w:rsid w:val="0D09303C"/>
    <w:rsid w:val="0D0D6440"/>
    <w:rsid w:val="0D12397F"/>
    <w:rsid w:val="0D144E2A"/>
    <w:rsid w:val="0D2D7210"/>
    <w:rsid w:val="0D331A60"/>
    <w:rsid w:val="0D4057C9"/>
    <w:rsid w:val="0D424CE2"/>
    <w:rsid w:val="0D433839"/>
    <w:rsid w:val="0D483D41"/>
    <w:rsid w:val="0D567EBC"/>
    <w:rsid w:val="0D626332"/>
    <w:rsid w:val="0D695136"/>
    <w:rsid w:val="0D6C4109"/>
    <w:rsid w:val="0D73783E"/>
    <w:rsid w:val="0D752FF9"/>
    <w:rsid w:val="0D7E42F1"/>
    <w:rsid w:val="0D803C50"/>
    <w:rsid w:val="0D840538"/>
    <w:rsid w:val="0D8908A4"/>
    <w:rsid w:val="0D9D32DA"/>
    <w:rsid w:val="0DA525FE"/>
    <w:rsid w:val="0DA5734E"/>
    <w:rsid w:val="0DAF35DA"/>
    <w:rsid w:val="0DB2002E"/>
    <w:rsid w:val="0DD207BB"/>
    <w:rsid w:val="0DD26327"/>
    <w:rsid w:val="0DD50155"/>
    <w:rsid w:val="0DDC104D"/>
    <w:rsid w:val="0DE01D81"/>
    <w:rsid w:val="0DE03015"/>
    <w:rsid w:val="0DE6299C"/>
    <w:rsid w:val="0DED5A3B"/>
    <w:rsid w:val="0DEF5AC4"/>
    <w:rsid w:val="0E027267"/>
    <w:rsid w:val="0E09765F"/>
    <w:rsid w:val="0E0C215C"/>
    <w:rsid w:val="0E1317FD"/>
    <w:rsid w:val="0E1B2C4A"/>
    <w:rsid w:val="0E2C4A5F"/>
    <w:rsid w:val="0E324C21"/>
    <w:rsid w:val="0E3968C6"/>
    <w:rsid w:val="0E3D0B6F"/>
    <w:rsid w:val="0E402BE6"/>
    <w:rsid w:val="0E435665"/>
    <w:rsid w:val="0E577E42"/>
    <w:rsid w:val="0E612786"/>
    <w:rsid w:val="0E6D605B"/>
    <w:rsid w:val="0E7511C7"/>
    <w:rsid w:val="0E75188B"/>
    <w:rsid w:val="0E753503"/>
    <w:rsid w:val="0E790789"/>
    <w:rsid w:val="0E7B5D88"/>
    <w:rsid w:val="0E8E50E1"/>
    <w:rsid w:val="0E902CFB"/>
    <w:rsid w:val="0E9402DD"/>
    <w:rsid w:val="0E954290"/>
    <w:rsid w:val="0E9B7CC4"/>
    <w:rsid w:val="0EA50BCA"/>
    <w:rsid w:val="0EAF2B58"/>
    <w:rsid w:val="0EB35612"/>
    <w:rsid w:val="0EB550D2"/>
    <w:rsid w:val="0EB65B78"/>
    <w:rsid w:val="0EB94E49"/>
    <w:rsid w:val="0EBF473A"/>
    <w:rsid w:val="0EC06182"/>
    <w:rsid w:val="0EC9005B"/>
    <w:rsid w:val="0ED6550D"/>
    <w:rsid w:val="0ED80C57"/>
    <w:rsid w:val="0EE14661"/>
    <w:rsid w:val="0EE935E8"/>
    <w:rsid w:val="0EEF0C37"/>
    <w:rsid w:val="0EF251E5"/>
    <w:rsid w:val="0F004153"/>
    <w:rsid w:val="0F015E18"/>
    <w:rsid w:val="0F0D443D"/>
    <w:rsid w:val="0F0E045C"/>
    <w:rsid w:val="0F0E7A99"/>
    <w:rsid w:val="0F114581"/>
    <w:rsid w:val="0F1B1E39"/>
    <w:rsid w:val="0F1D50A1"/>
    <w:rsid w:val="0F20794C"/>
    <w:rsid w:val="0F213D88"/>
    <w:rsid w:val="0F231F8A"/>
    <w:rsid w:val="0F24374B"/>
    <w:rsid w:val="0F275322"/>
    <w:rsid w:val="0F2A2B5B"/>
    <w:rsid w:val="0F3527EB"/>
    <w:rsid w:val="0F3578EF"/>
    <w:rsid w:val="0F3A5EAB"/>
    <w:rsid w:val="0F440B43"/>
    <w:rsid w:val="0F4B0273"/>
    <w:rsid w:val="0F525E48"/>
    <w:rsid w:val="0F530B84"/>
    <w:rsid w:val="0F590077"/>
    <w:rsid w:val="0F5A054A"/>
    <w:rsid w:val="0F5A6443"/>
    <w:rsid w:val="0F636199"/>
    <w:rsid w:val="0F6F44E2"/>
    <w:rsid w:val="0F7366E1"/>
    <w:rsid w:val="0F806212"/>
    <w:rsid w:val="0F8554A1"/>
    <w:rsid w:val="0F861BE1"/>
    <w:rsid w:val="0F877C67"/>
    <w:rsid w:val="0F8F73BD"/>
    <w:rsid w:val="0F9F3C55"/>
    <w:rsid w:val="0FAC2EB1"/>
    <w:rsid w:val="0FB83603"/>
    <w:rsid w:val="0FBB3555"/>
    <w:rsid w:val="0FC71CC5"/>
    <w:rsid w:val="0FC93B9A"/>
    <w:rsid w:val="0FC95E75"/>
    <w:rsid w:val="0FCB6B5F"/>
    <w:rsid w:val="0FD11297"/>
    <w:rsid w:val="0FD348E1"/>
    <w:rsid w:val="0FDB3A53"/>
    <w:rsid w:val="0FDE3093"/>
    <w:rsid w:val="0FE7551D"/>
    <w:rsid w:val="0FF05517"/>
    <w:rsid w:val="10002718"/>
    <w:rsid w:val="100459FA"/>
    <w:rsid w:val="100625C1"/>
    <w:rsid w:val="10103F6A"/>
    <w:rsid w:val="1018466A"/>
    <w:rsid w:val="10227875"/>
    <w:rsid w:val="102352F1"/>
    <w:rsid w:val="10277677"/>
    <w:rsid w:val="102D2F8E"/>
    <w:rsid w:val="10304590"/>
    <w:rsid w:val="10360794"/>
    <w:rsid w:val="10385C31"/>
    <w:rsid w:val="10436FC7"/>
    <w:rsid w:val="10495F00"/>
    <w:rsid w:val="10517188"/>
    <w:rsid w:val="10546BC9"/>
    <w:rsid w:val="10594C93"/>
    <w:rsid w:val="105C7EF6"/>
    <w:rsid w:val="10633419"/>
    <w:rsid w:val="10647383"/>
    <w:rsid w:val="10697D94"/>
    <w:rsid w:val="10755BE6"/>
    <w:rsid w:val="107C5EA8"/>
    <w:rsid w:val="108270A5"/>
    <w:rsid w:val="108840B5"/>
    <w:rsid w:val="10886178"/>
    <w:rsid w:val="108A29C7"/>
    <w:rsid w:val="1094534B"/>
    <w:rsid w:val="10954C4B"/>
    <w:rsid w:val="10987DDB"/>
    <w:rsid w:val="109B4546"/>
    <w:rsid w:val="10A20C29"/>
    <w:rsid w:val="10A22038"/>
    <w:rsid w:val="10AA07E5"/>
    <w:rsid w:val="10AA4501"/>
    <w:rsid w:val="10B04F8F"/>
    <w:rsid w:val="10B116F2"/>
    <w:rsid w:val="10BC3E3B"/>
    <w:rsid w:val="10C53BB9"/>
    <w:rsid w:val="10C82B7D"/>
    <w:rsid w:val="10D5791D"/>
    <w:rsid w:val="10DB3304"/>
    <w:rsid w:val="10DB7F57"/>
    <w:rsid w:val="10E766A9"/>
    <w:rsid w:val="10F24692"/>
    <w:rsid w:val="10FA5B4D"/>
    <w:rsid w:val="10FF20A4"/>
    <w:rsid w:val="11134412"/>
    <w:rsid w:val="111E24AC"/>
    <w:rsid w:val="11203ECE"/>
    <w:rsid w:val="11213216"/>
    <w:rsid w:val="11214E0F"/>
    <w:rsid w:val="112A03BF"/>
    <w:rsid w:val="112A2808"/>
    <w:rsid w:val="113265B8"/>
    <w:rsid w:val="11380366"/>
    <w:rsid w:val="113E46C1"/>
    <w:rsid w:val="11446B02"/>
    <w:rsid w:val="114A26E3"/>
    <w:rsid w:val="1152172A"/>
    <w:rsid w:val="1154712F"/>
    <w:rsid w:val="11552036"/>
    <w:rsid w:val="11560A85"/>
    <w:rsid w:val="115D0898"/>
    <w:rsid w:val="116C5DCD"/>
    <w:rsid w:val="117821F2"/>
    <w:rsid w:val="11874B6F"/>
    <w:rsid w:val="119427BF"/>
    <w:rsid w:val="11972FE1"/>
    <w:rsid w:val="11985E68"/>
    <w:rsid w:val="119B191D"/>
    <w:rsid w:val="119E4F2C"/>
    <w:rsid w:val="119E61FB"/>
    <w:rsid w:val="11A906D0"/>
    <w:rsid w:val="11B25AB7"/>
    <w:rsid w:val="11C2777C"/>
    <w:rsid w:val="11CA718C"/>
    <w:rsid w:val="11D53AD3"/>
    <w:rsid w:val="11DA363A"/>
    <w:rsid w:val="11DF2AA3"/>
    <w:rsid w:val="11E369B7"/>
    <w:rsid w:val="11EB0E4C"/>
    <w:rsid w:val="11F72B09"/>
    <w:rsid w:val="11F866D2"/>
    <w:rsid w:val="12022C1D"/>
    <w:rsid w:val="12077CA4"/>
    <w:rsid w:val="1217637E"/>
    <w:rsid w:val="121A6F09"/>
    <w:rsid w:val="121C431D"/>
    <w:rsid w:val="121F7711"/>
    <w:rsid w:val="12204418"/>
    <w:rsid w:val="122F3845"/>
    <w:rsid w:val="122F50EF"/>
    <w:rsid w:val="123008D3"/>
    <w:rsid w:val="12484253"/>
    <w:rsid w:val="12555E55"/>
    <w:rsid w:val="125B2B59"/>
    <w:rsid w:val="125E0D94"/>
    <w:rsid w:val="12723D22"/>
    <w:rsid w:val="12777889"/>
    <w:rsid w:val="127C1167"/>
    <w:rsid w:val="127D45D4"/>
    <w:rsid w:val="12884698"/>
    <w:rsid w:val="128B4FDE"/>
    <w:rsid w:val="1292490B"/>
    <w:rsid w:val="129A0759"/>
    <w:rsid w:val="12A642DA"/>
    <w:rsid w:val="12AC07B6"/>
    <w:rsid w:val="12AD1DEB"/>
    <w:rsid w:val="12B749E9"/>
    <w:rsid w:val="12C02522"/>
    <w:rsid w:val="12C068F9"/>
    <w:rsid w:val="12C75665"/>
    <w:rsid w:val="12E70B43"/>
    <w:rsid w:val="12E71F00"/>
    <w:rsid w:val="12EF1A32"/>
    <w:rsid w:val="13015B74"/>
    <w:rsid w:val="130515D5"/>
    <w:rsid w:val="130567B0"/>
    <w:rsid w:val="130C4AFC"/>
    <w:rsid w:val="130F146E"/>
    <w:rsid w:val="132067A4"/>
    <w:rsid w:val="132C35FC"/>
    <w:rsid w:val="133113EF"/>
    <w:rsid w:val="13363CF6"/>
    <w:rsid w:val="133D3CAC"/>
    <w:rsid w:val="13424A4F"/>
    <w:rsid w:val="135627B4"/>
    <w:rsid w:val="13610996"/>
    <w:rsid w:val="13611E9A"/>
    <w:rsid w:val="13720657"/>
    <w:rsid w:val="1373142B"/>
    <w:rsid w:val="13733B64"/>
    <w:rsid w:val="137A5483"/>
    <w:rsid w:val="137B47B1"/>
    <w:rsid w:val="13882966"/>
    <w:rsid w:val="13943092"/>
    <w:rsid w:val="13AB6637"/>
    <w:rsid w:val="13AD2974"/>
    <w:rsid w:val="13B11371"/>
    <w:rsid w:val="13B80BC2"/>
    <w:rsid w:val="13CD6FFB"/>
    <w:rsid w:val="13D42BCC"/>
    <w:rsid w:val="13D56CBD"/>
    <w:rsid w:val="13DA2B90"/>
    <w:rsid w:val="13DE4D93"/>
    <w:rsid w:val="13E87A1A"/>
    <w:rsid w:val="13EB30AE"/>
    <w:rsid w:val="13EF5D28"/>
    <w:rsid w:val="13FA3672"/>
    <w:rsid w:val="13FB5B03"/>
    <w:rsid w:val="14015299"/>
    <w:rsid w:val="14040556"/>
    <w:rsid w:val="1409136D"/>
    <w:rsid w:val="140B289C"/>
    <w:rsid w:val="140E3C3B"/>
    <w:rsid w:val="142B6A9A"/>
    <w:rsid w:val="143D1D85"/>
    <w:rsid w:val="143E2695"/>
    <w:rsid w:val="14443158"/>
    <w:rsid w:val="144B4002"/>
    <w:rsid w:val="14581DC1"/>
    <w:rsid w:val="146377C9"/>
    <w:rsid w:val="14690923"/>
    <w:rsid w:val="146B0048"/>
    <w:rsid w:val="146F59EB"/>
    <w:rsid w:val="1478158A"/>
    <w:rsid w:val="1479458E"/>
    <w:rsid w:val="147E7F23"/>
    <w:rsid w:val="148045DF"/>
    <w:rsid w:val="149C0CA8"/>
    <w:rsid w:val="14AD1E39"/>
    <w:rsid w:val="14B940A6"/>
    <w:rsid w:val="14BE7113"/>
    <w:rsid w:val="14C012F0"/>
    <w:rsid w:val="14C415E9"/>
    <w:rsid w:val="14D16877"/>
    <w:rsid w:val="14DB1CFE"/>
    <w:rsid w:val="14E0598E"/>
    <w:rsid w:val="14E20BA6"/>
    <w:rsid w:val="14E40195"/>
    <w:rsid w:val="15076A6D"/>
    <w:rsid w:val="150A392E"/>
    <w:rsid w:val="151E05FD"/>
    <w:rsid w:val="152144DE"/>
    <w:rsid w:val="15247712"/>
    <w:rsid w:val="152579D0"/>
    <w:rsid w:val="15261A17"/>
    <w:rsid w:val="15293B34"/>
    <w:rsid w:val="15327F94"/>
    <w:rsid w:val="1533269F"/>
    <w:rsid w:val="15446A17"/>
    <w:rsid w:val="15560335"/>
    <w:rsid w:val="156534E2"/>
    <w:rsid w:val="15662C3E"/>
    <w:rsid w:val="15681D7F"/>
    <w:rsid w:val="156A0A9B"/>
    <w:rsid w:val="156B0AFF"/>
    <w:rsid w:val="156F547E"/>
    <w:rsid w:val="15724904"/>
    <w:rsid w:val="1576083F"/>
    <w:rsid w:val="158921B8"/>
    <w:rsid w:val="158C3BB7"/>
    <w:rsid w:val="159A7F14"/>
    <w:rsid w:val="15A453EB"/>
    <w:rsid w:val="15A532DE"/>
    <w:rsid w:val="15A665D1"/>
    <w:rsid w:val="15B04BD6"/>
    <w:rsid w:val="15BC3453"/>
    <w:rsid w:val="15BE7923"/>
    <w:rsid w:val="15C76EBC"/>
    <w:rsid w:val="15CB639E"/>
    <w:rsid w:val="15D0201E"/>
    <w:rsid w:val="15D02AB2"/>
    <w:rsid w:val="15D1719F"/>
    <w:rsid w:val="15D271B7"/>
    <w:rsid w:val="15D56782"/>
    <w:rsid w:val="15D7258B"/>
    <w:rsid w:val="15E14748"/>
    <w:rsid w:val="15E35B49"/>
    <w:rsid w:val="15E81A7D"/>
    <w:rsid w:val="15F72136"/>
    <w:rsid w:val="15FA3799"/>
    <w:rsid w:val="1600649C"/>
    <w:rsid w:val="16061685"/>
    <w:rsid w:val="160D2B34"/>
    <w:rsid w:val="161B3CC0"/>
    <w:rsid w:val="16225DE9"/>
    <w:rsid w:val="1628409E"/>
    <w:rsid w:val="164776B5"/>
    <w:rsid w:val="16500A3A"/>
    <w:rsid w:val="16516426"/>
    <w:rsid w:val="165552E6"/>
    <w:rsid w:val="16561488"/>
    <w:rsid w:val="1659507B"/>
    <w:rsid w:val="165B7DD2"/>
    <w:rsid w:val="165F2A2A"/>
    <w:rsid w:val="166072E9"/>
    <w:rsid w:val="16654FEB"/>
    <w:rsid w:val="166740CC"/>
    <w:rsid w:val="16717B32"/>
    <w:rsid w:val="16772C9D"/>
    <w:rsid w:val="167A15B6"/>
    <w:rsid w:val="16811355"/>
    <w:rsid w:val="16884DA6"/>
    <w:rsid w:val="16892846"/>
    <w:rsid w:val="1689587E"/>
    <w:rsid w:val="16940D6A"/>
    <w:rsid w:val="16942F84"/>
    <w:rsid w:val="16A81747"/>
    <w:rsid w:val="16AA6FA3"/>
    <w:rsid w:val="16B3027F"/>
    <w:rsid w:val="16CB366F"/>
    <w:rsid w:val="16DF1423"/>
    <w:rsid w:val="16E825C5"/>
    <w:rsid w:val="17046B3B"/>
    <w:rsid w:val="170B7F06"/>
    <w:rsid w:val="17183A6B"/>
    <w:rsid w:val="17190B08"/>
    <w:rsid w:val="171F30B5"/>
    <w:rsid w:val="17230BF0"/>
    <w:rsid w:val="173055A9"/>
    <w:rsid w:val="1735046E"/>
    <w:rsid w:val="17410F6C"/>
    <w:rsid w:val="1749260A"/>
    <w:rsid w:val="174D3C50"/>
    <w:rsid w:val="17513AD2"/>
    <w:rsid w:val="17514DC2"/>
    <w:rsid w:val="175165AD"/>
    <w:rsid w:val="17520E43"/>
    <w:rsid w:val="175C3066"/>
    <w:rsid w:val="175C7DD4"/>
    <w:rsid w:val="175D2455"/>
    <w:rsid w:val="176076A4"/>
    <w:rsid w:val="17650D6F"/>
    <w:rsid w:val="17765394"/>
    <w:rsid w:val="177A384D"/>
    <w:rsid w:val="177F11D2"/>
    <w:rsid w:val="1782083E"/>
    <w:rsid w:val="17A15F90"/>
    <w:rsid w:val="17AC394F"/>
    <w:rsid w:val="17BB0C39"/>
    <w:rsid w:val="17C36DA3"/>
    <w:rsid w:val="17C53AFA"/>
    <w:rsid w:val="17C66663"/>
    <w:rsid w:val="17CA314A"/>
    <w:rsid w:val="17CF4136"/>
    <w:rsid w:val="17D14678"/>
    <w:rsid w:val="17D35633"/>
    <w:rsid w:val="17D957D5"/>
    <w:rsid w:val="17DD5836"/>
    <w:rsid w:val="17DF2075"/>
    <w:rsid w:val="17E15313"/>
    <w:rsid w:val="17E444D0"/>
    <w:rsid w:val="17EA3192"/>
    <w:rsid w:val="17F0227F"/>
    <w:rsid w:val="17F068A7"/>
    <w:rsid w:val="18024E82"/>
    <w:rsid w:val="180530C2"/>
    <w:rsid w:val="180F116A"/>
    <w:rsid w:val="180F73FB"/>
    <w:rsid w:val="182525ED"/>
    <w:rsid w:val="18272A06"/>
    <w:rsid w:val="18283079"/>
    <w:rsid w:val="182C52B5"/>
    <w:rsid w:val="182D343E"/>
    <w:rsid w:val="183169A2"/>
    <w:rsid w:val="183560E0"/>
    <w:rsid w:val="18425BD9"/>
    <w:rsid w:val="184316D2"/>
    <w:rsid w:val="184B56E7"/>
    <w:rsid w:val="184C6ED5"/>
    <w:rsid w:val="18550677"/>
    <w:rsid w:val="185F0E55"/>
    <w:rsid w:val="18677AE2"/>
    <w:rsid w:val="18710541"/>
    <w:rsid w:val="18726301"/>
    <w:rsid w:val="18820D79"/>
    <w:rsid w:val="18926BF3"/>
    <w:rsid w:val="18967465"/>
    <w:rsid w:val="1898717F"/>
    <w:rsid w:val="189B5383"/>
    <w:rsid w:val="18A171BD"/>
    <w:rsid w:val="18B12F22"/>
    <w:rsid w:val="18B22CF4"/>
    <w:rsid w:val="18B84EFE"/>
    <w:rsid w:val="18BA247C"/>
    <w:rsid w:val="18BF5B28"/>
    <w:rsid w:val="18CE6AA4"/>
    <w:rsid w:val="18D40444"/>
    <w:rsid w:val="18F16785"/>
    <w:rsid w:val="18F73E13"/>
    <w:rsid w:val="18FA664F"/>
    <w:rsid w:val="19011815"/>
    <w:rsid w:val="190F5639"/>
    <w:rsid w:val="19125BCD"/>
    <w:rsid w:val="192032D9"/>
    <w:rsid w:val="192A0B22"/>
    <w:rsid w:val="192C3CBF"/>
    <w:rsid w:val="193212EE"/>
    <w:rsid w:val="19383F87"/>
    <w:rsid w:val="19397386"/>
    <w:rsid w:val="193A7834"/>
    <w:rsid w:val="194A4D95"/>
    <w:rsid w:val="194B1395"/>
    <w:rsid w:val="19574F69"/>
    <w:rsid w:val="19590EA5"/>
    <w:rsid w:val="19695966"/>
    <w:rsid w:val="196E79A3"/>
    <w:rsid w:val="19793113"/>
    <w:rsid w:val="197E0FC4"/>
    <w:rsid w:val="19807344"/>
    <w:rsid w:val="1982251E"/>
    <w:rsid w:val="198C45DD"/>
    <w:rsid w:val="198D048B"/>
    <w:rsid w:val="19921583"/>
    <w:rsid w:val="199A34DE"/>
    <w:rsid w:val="19B67F24"/>
    <w:rsid w:val="19CA62E3"/>
    <w:rsid w:val="19CC571D"/>
    <w:rsid w:val="19E3085F"/>
    <w:rsid w:val="19E772B1"/>
    <w:rsid w:val="19E8101D"/>
    <w:rsid w:val="19EE20D9"/>
    <w:rsid w:val="19F1119E"/>
    <w:rsid w:val="19FF0667"/>
    <w:rsid w:val="1A1A0363"/>
    <w:rsid w:val="1A443793"/>
    <w:rsid w:val="1A53100D"/>
    <w:rsid w:val="1A5E74C6"/>
    <w:rsid w:val="1A6845C2"/>
    <w:rsid w:val="1A687CA0"/>
    <w:rsid w:val="1A6B59EA"/>
    <w:rsid w:val="1A707006"/>
    <w:rsid w:val="1A777111"/>
    <w:rsid w:val="1A852C47"/>
    <w:rsid w:val="1A855583"/>
    <w:rsid w:val="1A902430"/>
    <w:rsid w:val="1A907759"/>
    <w:rsid w:val="1A9754C2"/>
    <w:rsid w:val="1AA31D1C"/>
    <w:rsid w:val="1AA6281E"/>
    <w:rsid w:val="1AAF71F6"/>
    <w:rsid w:val="1AB151B1"/>
    <w:rsid w:val="1AB23D8E"/>
    <w:rsid w:val="1AB56115"/>
    <w:rsid w:val="1ABC574A"/>
    <w:rsid w:val="1AC0536A"/>
    <w:rsid w:val="1AC36009"/>
    <w:rsid w:val="1AC61867"/>
    <w:rsid w:val="1ACF558C"/>
    <w:rsid w:val="1AD33623"/>
    <w:rsid w:val="1ADD6446"/>
    <w:rsid w:val="1AE158BA"/>
    <w:rsid w:val="1AE213BF"/>
    <w:rsid w:val="1AE77F99"/>
    <w:rsid w:val="1AEC5C4F"/>
    <w:rsid w:val="1AED4C5F"/>
    <w:rsid w:val="1AED4E4E"/>
    <w:rsid w:val="1AFF41DF"/>
    <w:rsid w:val="1B022A9D"/>
    <w:rsid w:val="1B0F6822"/>
    <w:rsid w:val="1B134E3E"/>
    <w:rsid w:val="1B1C09D4"/>
    <w:rsid w:val="1B1C1909"/>
    <w:rsid w:val="1B1C65CA"/>
    <w:rsid w:val="1B2415FC"/>
    <w:rsid w:val="1B283BCE"/>
    <w:rsid w:val="1B3B4BBE"/>
    <w:rsid w:val="1B3F4E5B"/>
    <w:rsid w:val="1B485F21"/>
    <w:rsid w:val="1B4F05E6"/>
    <w:rsid w:val="1B5A1354"/>
    <w:rsid w:val="1B5B7633"/>
    <w:rsid w:val="1B5D4F89"/>
    <w:rsid w:val="1B6271C6"/>
    <w:rsid w:val="1B647105"/>
    <w:rsid w:val="1B6D1CB8"/>
    <w:rsid w:val="1B796CC1"/>
    <w:rsid w:val="1B7B723A"/>
    <w:rsid w:val="1B887A24"/>
    <w:rsid w:val="1B8B1CCF"/>
    <w:rsid w:val="1B8B54B4"/>
    <w:rsid w:val="1B8C7A41"/>
    <w:rsid w:val="1B9368CB"/>
    <w:rsid w:val="1B976543"/>
    <w:rsid w:val="1BAD1BA8"/>
    <w:rsid w:val="1BAF744F"/>
    <w:rsid w:val="1BB25751"/>
    <w:rsid w:val="1BB3058F"/>
    <w:rsid w:val="1BB83787"/>
    <w:rsid w:val="1BCD4D7C"/>
    <w:rsid w:val="1BD66FAC"/>
    <w:rsid w:val="1BE518C1"/>
    <w:rsid w:val="1BF22168"/>
    <w:rsid w:val="1BF368A3"/>
    <w:rsid w:val="1BF82DB0"/>
    <w:rsid w:val="1BF92E44"/>
    <w:rsid w:val="1C065BA3"/>
    <w:rsid w:val="1C066FDA"/>
    <w:rsid w:val="1C161EB9"/>
    <w:rsid w:val="1C1767D9"/>
    <w:rsid w:val="1C2935BF"/>
    <w:rsid w:val="1C3B5493"/>
    <w:rsid w:val="1C3E6045"/>
    <w:rsid w:val="1C413928"/>
    <w:rsid w:val="1C4320CD"/>
    <w:rsid w:val="1C462211"/>
    <w:rsid w:val="1C4731EF"/>
    <w:rsid w:val="1C556BBC"/>
    <w:rsid w:val="1C5C48B9"/>
    <w:rsid w:val="1C5C7325"/>
    <w:rsid w:val="1C6008C0"/>
    <w:rsid w:val="1C6733CD"/>
    <w:rsid w:val="1C6836D2"/>
    <w:rsid w:val="1C701BDA"/>
    <w:rsid w:val="1C7B4037"/>
    <w:rsid w:val="1CA817F6"/>
    <w:rsid w:val="1CB01CB5"/>
    <w:rsid w:val="1CB97739"/>
    <w:rsid w:val="1CBE6F16"/>
    <w:rsid w:val="1CC03ABA"/>
    <w:rsid w:val="1CC15ADE"/>
    <w:rsid w:val="1CC707E5"/>
    <w:rsid w:val="1CCE10CE"/>
    <w:rsid w:val="1CD15256"/>
    <w:rsid w:val="1CE10DEB"/>
    <w:rsid w:val="1CEC026B"/>
    <w:rsid w:val="1CEE3C79"/>
    <w:rsid w:val="1CEE5AF5"/>
    <w:rsid w:val="1D052E3A"/>
    <w:rsid w:val="1D0F0F89"/>
    <w:rsid w:val="1D103C92"/>
    <w:rsid w:val="1D126E46"/>
    <w:rsid w:val="1D1F3DF4"/>
    <w:rsid w:val="1D2A5F07"/>
    <w:rsid w:val="1D404CDF"/>
    <w:rsid w:val="1D46506F"/>
    <w:rsid w:val="1D470B40"/>
    <w:rsid w:val="1D4A6320"/>
    <w:rsid w:val="1D4B3B43"/>
    <w:rsid w:val="1D520EC4"/>
    <w:rsid w:val="1D532FF1"/>
    <w:rsid w:val="1D5D6ACC"/>
    <w:rsid w:val="1D6402C7"/>
    <w:rsid w:val="1D660709"/>
    <w:rsid w:val="1D711863"/>
    <w:rsid w:val="1D7731DD"/>
    <w:rsid w:val="1D8A65B0"/>
    <w:rsid w:val="1D8A6D51"/>
    <w:rsid w:val="1D9A10C8"/>
    <w:rsid w:val="1D9A7DA7"/>
    <w:rsid w:val="1D9C1CD1"/>
    <w:rsid w:val="1DAD5656"/>
    <w:rsid w:val="1DB23C78"/>
    <w:rsid w:val="1DC4070E"/>
    <w:rsid w:val="1DC97FF5"/>
    <w:rsid w:val="1DD31B15"/>
    <w:rsid w:val="1DD540D7"/>
    <w:rsid w:val="1DD56AC2"/>
    <w:rsid w:val="1DDB4A45"/>
    <w:rsid w:val="1DE42D1A"/>
    <w:rsid w:val="1DE55442"/>
    <w:rsid w:val="1DE60FDA"/>
    <w:rsid w:val="1E132ACD"/>
    <w:rsid w:val="1E3539A1"/>
    <w:rsid w:val="1E362001"/>
    <w:rsid w:val="1E371B2E"/>
    <w:rsid w:val="1E460725"/>
    <w:rsid w:val="1E542D3A"/>
    <w:rsid w:val="1E564660"/>
    <w:rsid w:val="1E7113DF"/>
    <w:rsid w:val="1E7746F1"/>
    <w:rsid w:val="1E897A49"/>
    <w:rsid w:val="1E8A3F71"/>
    <w:rsid w:val="1EA57D42"/>
    <w:rsid w:val="1EAA1768"/>
    <w:rsid w:val="1EB57EC1"/>
    <w:rsid w:val="1EB96949"/>
    <w:rsid w:val="1EC0062C"/>
    <w:rsid w:val="1ED0271C"/>
    <w:rsid w:val="1EE326F1"/>
    <w:rsid w:val="1EE56AAA"/>
    <w:rsid w:val="1EF318A0"/>
    <w:rsid w:val="1EF503D0"/>
    <w:rsid w:val="1EF87F24"/>
    <w:rsid w:val="1EFA7FCC"/>
    <w:rsid w:val="1F107270"/>
    <w:rsid w:val="1F137E3B"/>
    <w:rsid w:val="1F1603AE"/>
    <w:rsid w:val="1F1C55F1"/>
    <w:rsid w:val="1F1D7E44"/>
    <w:rsid w:val="1F2179C5"/>
    <w:rsid w:val="1F3056D3"/>
    <w:rsid w:val="1F4A6026"/>
    <w:rsid w:val="1F4B2A73"/>
    <w:rsid w:val="1F5B7D54"/>
    <w:rsid w:val="1F5D45CF"/>
    <w:rsid w:val="1F5D790E"/>
    <w:rsid w:val="1F680A3B"/>
    <w:rsid w:val="1F845C66"/>
    <w:rsid w:val="1F8D3AD0"/>
    <w:rsid w:val="1F9204E9"/>
    <w:rsid w:val="1F953668"/>
    <w:rsid w:val="1FA1743E"/>
    <w:rsid w:val="1FB64587"/>
    <w:rsid w:val="1FB742F4"/>
    <w:rsid w:val="1FC07C55"/>
    <w:rsid w:val="1FC83921"/>
    <w:rsid w:val="1FD75457"/>
    <w:rsid w:val="1FDE7988"/>
    <w:rsid w:val="1FE95A82"/>
    <w:rsid w:val="1FFE6B1D"/>
    <w:rsid w:val="20020EC8"/>
    <w:rsid w:val="200330D9"/>
    <w:rsid w:val="200F020C"/>
    <w:rsid w:val="201400DE"/>
    <w:rsid w:val="20156ED7"/>
    <w:rsid w:val="201B5315"/>
    <w:rsid w:val="20220097"/>
    <w:rsid w:val="202911BA"/>
    <w:rsid w:val="202E5994"/>
    <w:rsid w:val="20351859"/>
    <w:rsid w:val="203B62DF"/>
    <w:rsid w:val="204B4D13"/>
    <w:rsid w:val="204C1246"/>
    <w:rsid w:val="2059229E"/>
    <w:rsid w:val="205B483D"/>
    <w:rsid w:val="205B49D7"/>
    <w:rsid w:val="20643C3E"/>
    <w:rsid w:val="20797D0E"/>
    <w:rsid w:val="207D6351"/>
    <w:rsid w:val="208045B4"/>
    <w:rsid w:val="20826671"/>
    <w:rsid w:val="20852A95"/>
    <w:rsid w:val="208732AA"/>
    <w:rsid w:val="208A2C8E"/>
    <w:rsid w:val="20911250"/>
    <w:rsid w:val="20956890"/>
    <w:rsid w:val="209D01F1"/>
    <w:rsid w:val="209D1C4E"/>
    <w:rsid w:val="20AB72D5"/>
    <w:rsid w:val="20CB421D"/>
    <w:rsid w:val="20CE1625"/>
    <w:rsid w:val="20CF7729"/>
    <w:rsid w:val="20D35B79"/>
    <w:rsid w:val="20E11C13"/>
    <w:rsid w:val="20E95C15"/>
    <w:rsid w:val="20F03290"/>
    <w:rsid w:val="20F24430"/>
    <w:rsid w:val="20F32E62"/>
    <w:rsid w:val="20FA034C"/>
    <w:rsid w:val="21005D31"/>
    <w:rsid w:val="21071F24"/>
    <w:rsid w:val="212839B5"/>
    <w:rsid w:val="212A6893"/>
    <w:rsid w:val="212C7D4D"/>
    <w:rsid w:val="21325ABC"/>
    <w:rsid w:val="2136590B"/>
    <w:rsid w:val="21366740"/>
    <w:rsid w:val="2139255C"/>
    <w:rsid w:val="21416B12"/>
    <w:rsid w:val="21456349"/>
    <w:rsid w:val="215470C8"/>
    <w:rsid w:val="21592A72"/>
    <w:rsid w:val="215E6D88"/>
    <w:rsid w:val="215F4C0C"/>
    <w:rsid w:val="21602AD8"/>
    <w:rsid w:val="216A2093"/>
    <w:rsid w:val="217C1CE9"/>
    <w:rsid w:val="21816246"/>
    <w:rsid w:val="21843CDA"/>
    <w:rsid w:val="21887F95"/>
    <w:rsid w:val="21A63E86"/>
    <w:rsid w:val="21B1086A"/>
    <w:rsid w:val="21B456FC"/>
    <w:rsid w:val="21B8199C"/>
    <w:rsid w:val="21D3709D"/>
    <w:rsid w:val="21D545EB"/>
    <w:rsid w:val="21DD569B"/>
    <w:rsid w:val="21E1204F"/>
    <w:rsid w:val="21E70ACA"/>
    <w:rsid w:val="21FD650F"/>
    <w:rsid w:val="220536E4"/>
    <w:rsid w:val="22075761"/>
    <w:rsid w:val="22162372"/>
    <w:rsid w:val="22173772"/>
    <w:rsid w:val="222072E9"/>
    <w:rsid w:val="222D6CFF"/>
    <w:rsid w:val="222E7B9B"/>
    <w:rsid w:val="22322A2F"/>
    <w:rsid w:val="2234499E"/>
    <w:rsid w:val="2237228B"/>
    <w:rsid w:val="223A5A57"/>
    <w:rsid w:val="22464B29"/>
    <w:rsid w:val="22481135"/>
    <w:rsid w:val="22483D15"/>
    <w:rsid w:val="2279197B"/>
    <w:rsid w:val="227B6ED7"/>
    <w:rsid w:val="22931A31"/>
    <w:rsid w:val="22A37397"/>
    <w:rsid w:val="22A47A89"/>
    <w:rsid w:val="22A577CB"/>
    <w:rsid w:val="22A70CCD"/>
    <w:rsid w:val="22AE34B6"/>
    <w:rsid w:val="22B54C0B"/>
    <w:rsid w:val="22BA5C94"/>
    <w:rsid w:val="22C45734"/>
    <w:rsid w:val="22CF42C3"/>
    <w:rsid w:val="22DF42F3"/>
    <w:rsid w:val="22E25A53"/>
    <w:rsid w:val="22ED4EB9"/>
    <w:rsid w:val="22ED6D78"/>
    <w:rsid w:val="22EF4232"/>
    <w:rsid w:val="22F56EDF"/>
    <w:rsid w:val="22F92FEA"/>
    <w:rsid w:val="23012932"/>
    <w:rsid w:val="23057E83"/>
    <w:rsid w:val="23085C2B"/>
    <w:rsid w:val="230C4120"/>
    <w:rsid w:val="230F10AC"/>
    <w:rsid w:val="232904DF"/>
    <w:rsid w:val="23290F28"/>
    <w:rsid w:val="23296C48"/>
    <w:rsid w:val="232A3F06"/>
    <w:rsid w:val="232C122B"/>
    <w:rsid w:val="23324D42"/>
    <w:rsid w:val="233273BC"/>
    <w:rsid w:val="23381264"/>
    <w:rsid w:val="2339459D"/>
    <w:rsid w:val="23520105"/>
    <w:rsid w:val="235D677B"/>
    <w:rsid w:val="235F1789"/>
    <w:rsid w:val="236507C9"/>
    <w:rsid w:val="23662704"/>
    <w:rsid w:val="236C5256"/>
    <w:rsid w:val="236E2E56"/>
    <w:rsid w:val="23716498"/>
    <w:rsid w:val="237413E6"/>
    <w:rsid w:val="237975E0"/>
    <w:rsid w:val="237C3550"/>
    <w:rsid w:val="23851B1C"/>
    <w:rsid w:val="238D2456"/>
    <w:rsid w:val="23925626"/>
    <w:rsid w:val="23926773"/>
    <w:rsid w:val="23935411"/>
    <w:rsid w:val="239465BA"/>
    <w:rsid w:val="23A3188D"/>
    <w:rsid w:val="23A90C5E"/>
    <w:rsid w:val="23AD33B8"/>
    <w:rsid w:val="23AF4497"/>
    <w:rsid w:val="23BE715B"/>
    <w:rsid w:val="23BF0051"/>
    <w:rsid w:val="23BF550C"/>
    <w:rsid w:val="23C06F10"/>
    <w:rsid w:val="23CF260F"/>
    <w:rsid w:val="23D55223"/>
    <w:rsid w:val="23D6240E"/>
    <w:rsid w:val="23D74A52"/>
    <w:rsid w:val="23D77EC8"/>
    <w:rsid w:val="23E0506C"/>
    <w:rsid w:val="23E37172"/>
    <w:rsid w:val="23EB3FC6"/>
    <w:rsid w:val="23EE72D2"/>
    <w:rsid w:val="23F15B30"/>
    <w:rsid w:val="23F704B5"/>
    <w:rsid w:val="23F95C10"/>
    <w:rsid w:val="24063B61"/>
    <w:rsid w:val="2409345F"/>
    <w:rsid w:val="240E7753"/>
    <w:rsid w:val="241522D9"/>
    <w:rsid w:val="241C74AB"/>
    <w:rsid w:val="241E5FE7"/>
    <w:rsid w:val="24276A4B"/>
    <w:rsid w:val="24281321"/>
    <w:rsid w:val="243A42FC"/>
    <w:rsid w:val="2449345D"/>
    <w:rsid w:val="245C5191"/>
    <w:rsid w:val="24617465"/>
    <w:rsid w:val="2463235C"/>
    <w:rsid w:val="246566CA"/>
    <w:rsid w:val="24683873"/>
    <w:rsid w:val="246900DC"/>
    <w:rsid w:val="24747F8E"/>
    <w:rsid w:val="2478370E"/>
    <w:rsid w:val="247A3CBB"/>
    <w:rsid w:val="24852D86"/>
    <w:rsid w:val="24944F20"/>
    <w:rsid w:val="24945A79"/>
    <w:rsid w:val="249A38A8"/>
    <w:rsid w:val="249B02FC"/>
    <w:rsid w:val="249C72E8"/>
    <w:rsid w:val="249F1416"/>
    <w:rsid w:val="24AE2D92"/>
    <w:rsid w:val="24B376D2"/>
    <w:rsid w:val="24B54C15"/>
    <w:rsid w:val="24B92154"/>
    <w:rsid w:val="24BC2609"/>
    <w:rsid w:val="24C04E1F"/>
    <w:rsid w:val="24C2277D"/>
    <w:rsid w:val="24C47F52"/>
    <w:rsid w:val="24CE0BD4"/>
    <w:rsid w:val="24CE1724"/>
    <w:rsid w:val="24D428B0"/>
    <w:rsid w:val="24D86DF3"/>
    <w:rsid w:val="24E37167"/>
    <w:rsid w:val="24E94BD7"/>
    <w:rsid w:val="24EC1D85"/>
    <w:rsid w:val="24ED425F"/>
    <w:rsid w:val="24EE1060"/>
    <w:rsid w:val="24F92DB5"/>
    <w:rsid w:val="25000518"/>
    <w:rsid w:val="25084F27"/>
    <w:rsid w:val="250C4A65"/>
    <w:rsid w:val="25214102"/>
    <w:rsid w:val="252207F3"/>
    <w:rsid w:val="252D3AD1"/>
    <w:rsid w:val="25307C51"/>
    <w:rsid w:val="25377C3A"/>
    <w:rsid w:val="25387269"/>
    <w:rsid w:val="253D24F9"/>
    <w:rsid w:val="25434C20"/>
    <w:rsid w:val="25467572"/>
    <w:rsid w:val="25473E55"/>
    <w:rsid w:val="255310D2"/>
    <w:rsid w:val="25537BC9"/>
    <w:rsid w:val="25570034"/>
    <w:rsid w:val="2558091E"/>
    <w:rsid w:val="2559026A"/>
    <w:rsid w:val="25596B09"/>
    <w:rsid w:val="255B5408"/>
    <w:rsid w:val="255F3081"/>
    <w:rsid w:val="25613AC5"/>
    <w:rsid w:val="256A1466"/>
    <w:rsid w:val="256C5B25"/>
    <w:rsid w:val="25741D15"/>
    <w:rsid w:val="257445ED"/>
    <w:rsid w:val="257C06A3"/>
    <w:rsid w:val="25886CB1"/>
    <w:rsid w:val="25895DF5"/>
    <w:rsid w:val="258D26D7"/>
    <w:rsid w:val="25A61AC3"/>
    <w:rsid w:val="25A71B3B"/>
    <w:rsid w:val="25A869D6"/>
    <w:rsid w:val="25B72ED8"/>
    <w:rsid w:val="25BA3DB0"/>
    <w:rsid w:val="25BC1485"/>
    <w:rsid w:val="25C07F0E"/>
    <w:rsid w:val="25CA0E3B"/>
    <w:rsid w:val="25CB5401"/>
    <w:rsid w:val="25CD0B11"/>
    <w:rsid w:val="25CD6811"/>
    <w:rsid w:val="25D1108A"/>
    <w:rsid w:val="25DB47E9"/>
    <w:rsid w:val="25E56BC7"/>
    <w:rsid w:val="25F55E3C"/>
    <w:rsid w:val="260F4F0E"/>
    <w:rsid w:val="26171422"/>
    <w:rsid w:val="261C3329"/>
    <w:rsid w:val="261E4581"/>
    <w:rsid w:val="262303EF"/>
    <w:rsid w:val="26292CE0"/>
    <w:rsid w:val="26316458"/>
    <w:rsid w:val="26393C25"/>
    <w:rsid w:val="26451E5A"/>
    <w:rsid w:val="265374B6"/>
    <w:rsid w:val="265D0C7F"/>
    <w:rsid w:val="26625882"/>
    <w:rsid w:val="26632098"/>
    <w:rsid w:val="26663FF5"/>
    <w:rsid w:val="267C77C5"/>
    <w:rsid w:val="267E5734"/>
    <w:rsid w:val="26853386"/>
    <w:rsid w:val="268718CB"/>
    <w:rsid w:val="268C786C"/>
    <w:rsid w:val="268E75F5"/>
    <w:rsid w:val="26982AAC"/>
    <w:rsid w:val="269A3623"/>
    <w:rsid w:val="269A6559"/>
    <w:rsid w:val="26A03855"/>
    <w:rsid w:val="26B16070"/>
    <w:rsid w:val="26CF203B"/>
    <w:rsid w:val="26D07CCC"/>
    <w:rsid w:val="26DB4224"/>
    <w:rsid w:val="26E42E0F"/>
    <w:rsid w:val="26F34DDB"/>
    <w:rsid w:val="26F57DFC"/>
    <w:rsid w:val="26F6655C"/>
    <w:rsid w:val="26F944DD"/>
    <w:rsid w:val="26F95880"/>
    <w:rsid w:val="26FF70B8"/>
    <w:rsid w:val="2719023C"/>
    <w:rsid w:val="271A2966"/>
    <w:rsid w:val="271C75E3"/>
    <w:rsid w:val="271D33DF"/>
    <w:rsid w:val="271E1370"/>
    <w:rsid w:val="27216758"/>
    <w:rsid w:val="272E3536"/>
    <w:rsid w:val="272F7E21"/>
    <w:rsid w:val="27305714"/>
    <w:rsid w:val="27344203"/>
    <w:rsid w:val="27401544"/>
    <w:rsid w:val="274626D3"/>
    <w:rsid w:val="274B27DA"/>
    <w:rsid w:val="275804A8"/>
    <w:rsid w:val="27690480"/>
    <w:rsid w:val="276E7301"/>
    <w:rsid w:val="276E7ED7"/>
    <w:rsid w:val="27884A3E"/>
    <w:rsid w:val="27894F0C"/>
    <w:rsid w:val="278B755F"/>
    <w:rsid w:val="278E22F7"/>
    <w:rsid w:val="278F0355"/>
    <w:rsid w:val="27922D64"/>
    <w:rsid w:val="27941511"/>
    <w:rsid w:val="27A23693"/>
    <w:rsid w:val="27A454BA"/>
    <w:rsid w:val="27AD5E15"/>
    <w:rsid w:val="27B46DA4"/>
    <w:rsid w:val="27BF7C82"/>
    <w:rsid w:val="27CE6A51"/>
    <w:rsid w:val="27D84547"/>
    <w:rsid w:val="27D93979"/>
    <w:rsid w:val="27E1482D"/>
    <w:rsid w:val="27E1632E"/>
    <w:rsid w:val="27EE1A43"/>
    <w:rsid w:val="27F24009"/>
    <w:rsid w:val="27FB21FA"/>
    <w:rsid w:val="27FE3DB2"/>
    <w:rsid w:val="28055EA0"/>
    <w:rsid w:val="280A1DC3"/>
    <w:rsid w:val="280D1A53"/>
    <w:rsid w:val="28105954"/>
    <w:rsid w:val="281A5A9C"/>
    <w:rsid w:val="281A7832"/>
    <w:rsid w:val="28227810"/>
    <w:rsid w:val="282C0519"/>
    <w:rsid w:val="282C592C"/>
    <w:rsid w:val="28313141"/>
    <w:rsid w:val="28362A91"/>
    <w:rsid w:val="283F5AEA"/>
    <w:rsid w:val="284C5969"/>
    <w:rsid w:val="2858020A"/>
    <w:rsid w:val="285E3919"/>
    <w:rsid w:val="286625F3"/>
    <w:rsid w:val="28664C26"/>
    <w:rsid w:val="287E333F"/>
    <w:rsid w:val="288028C4"/>
    <w:rsid w:val="28836A4D"/>
    <w:rsid w:val="28944181"/>
    <w:rsid w:val="289552A3"/>
    <w:rsid w:val="289B2B7E"/>
    <w:rsid w:val="28A853BD"/>
    <w:rsid w:val="28B20CF8"/>
    <w:rsid w:val="28C27F1C"/>
    <w:rsid w:val="28C826B1"/>
    <w:rsid w:val="28D351E4"/>
    <w:rsid w:val="28D93CB7"/>
    <w:rsid w:val="28E22A5D"/>
    <w:rsid w:val="28EA7712"/>
    <w:rsid w:val="28F55E80"/>
    <w:rsid w:val="28F75EC5"/>
    <w:rsid w:val="29051B2A"/>
    <w:rsid w:val="290F208E"/>
    <w:rsid w:val="29134FE9"/>
    <w:rsid w:val="29151AB1"/>
    <w:rsid w:val="291D1027"/>
    <w:rsid w:val="29250B57"/>
    <w:rsid w:val="29267BA7"/>
    <w:rsid w:val="29325583"/>
    <w:rsid w:val="293D2CF5"/>
    <w:rsid w:val="293E389D"/>
    <w:rsid w:val="295C485F"/>
    <w:rsid w:val="2961312C"/>
    <w:rsid w:val="29655AA7"/>
    <w:rsid w:val="296C76F2"/>
    <w:rsid w:val="298258D0"/>
    <w:rsid w:val="298A4FC7"/>
    <w:rsid w:val="298F3359"/>
    <w:rsid w:val="29921AC5"/>
    <w:rsid w:val="29933191"/>
    <w:rsid w:val="29941473"/>
    <w:rsid w:val="299C42BD"/>
    <w:rsid w:val="29AF73CD"/>
    <w:rsid w:val="29B1615A"/>
    <w:rsid w:val="29BC28E1"/>
    <w:rsid w:val="29C31EE0"/>
    <w:rsid w:val="29C32A02"/>
    <w:rsid w:val="29C34B5A"/>
    <w:rsid w:val="29C4547D"/>
    <w:rsid w:val="29CD667A"/>
    <w:rsid w:val="29D91026"/>
    <w:rsid w:val="29DC28AF"/>
    <w:rsid w:val="29E96A20"/>
    <w:rsid w:val="29EC227C"/>
    <w:rsid w:val="29ED5E5D"/>
    <w:rsid w:val="29EE3149"/>
    <w:rsid w:val="2A083D01"/>
    <w:rsid w:val="2A0B3AD5"/>
    <w:rsid w:val="2A147CF0"/>
    <w:rsid w:val="2A1B44DD"/>
    <w:rsid w:val="2A272A84"/>
    <w:rsid w:val="2A27391E"/>
    <w:rsid w:val="2A353010"/>
    <w:rsid w:val="2A3E0F6F"/>
    <w:rsid w:val="2A3F6F2C"/>
    <w:rsid w:val="2A44572C"/>
    <w:rsid w:val="2A4802F6"/>
    <w:rsid w:val="2A481F4B"/>
    <w:rsid w:val="2A4D30C0"/>
    <w:rsid w:val="2A554A71"/>
    <w:rsid w:val="2A5A578F"/>
    <w:rsid w:val="2A661F72"/>
    <w:rsid w:val="2A695901"/>
    <w:rsid w:val="2A6F3254"/>
    <w:rsid w:val="2A783C63"/>
    <w:rsid w:val="2A807B14"/>
    <w:rsid w:val="2A853BF2"/>
    <w:rsid w:val="2A8A4941"/>
    <w:rsid w:val="2A8B7878"/>
    <w:rsid w:val="2A8C4DCF"/>
    <w:rsid w:val="2A905062"/>
    <w:rsid w:val="2A927427"/>
    <w:rsid w:val="2A994270"/>
    <w:rsid w:val="2A9C4F9F"/>
    <w:rsid w:val="2A9E7F83"/>
    <w:rsid w:val="2AA37D0E"/>
    <w:rsid w:val="2AA47843"/>
    <w:rsid w:val="2AAF7CA6"/>
    <w:rsid w:val="2AB05890"/>
    <w:rsid w:val="2AC74D3E"/>
    <w:rsid w:val="2AD42A6D"/>
    <w:rsid w:val="2ADC4EC7"/>
    <w:rsid w:val="2AE00393"/>
    <w:rsid w:val="2AE17A5A"/>
    <w:rsid w:val="2AE2374E"/>
    <w:rsid w:val="2AF16618"/>
    <w:rsid w:val="2AFA77B8"/>
    <w:rsid w:val="2AFE25FD"/>
    <w:rsid w:val="2B06278E"/>
    <w:rsid w:val="2B0E12E1"/>
    <w:rsid w:val="2B0F40D5"/>
    <w:rsid w:val="2B14023C"/>
    <w:rsid w:val="2B1618D9"/>
    <w:rsid w:val="2B1E7438"/>
    <w:rsid w:val="2B223FFA"/>
    <w:rsid w:val="2B2849EC"/>
    <w:rsid w:val="2B2E431F"/>
    <w:rsid w:val="2B304D6A"/>
    <w:rsid w:val="2B330BE0"/>
    <w:rsid w:val="2B3E09D4"/>
    <w:rsid w:val="2B3F4105"/>
    <w:rsid w:val="2B451440"/>
    <w:rsid w:val="2B541297"/>
    <w:rsid w:val="2B616FEE"/>
    <w:rsid w:val="2B6A78B3"/>
    <w:rsid w:val="2B78030A"/>
    <w:rsid w:val="2B790095"/>
    <w:rsid w:val="2B7B5222"/>
    <w:rsid w:val="2B814ED8"/>
    <w:rsid w:val="2B8510BB"/>
    <w:rsid w:val="2B852EF3"/>
    <w:rsid w:val="2B8735CC"/>
    <w:rsid w:val="2B8878B3"/>
    <w:rsid w:val="2B9108B4"/>
    <w:rsid w:val="2B930938"/>
    <w:rsid w:val="2B9F04B3"/>
    <w:rsid w:val="2BA2543C"/>
    <w:rsid w:val="2BAA29D7"/>
    <w:rsid w:val="2BAD172C"/>
    <w:rsid w:val="2BAF5234"/>
    <w:rsid w:val="2BB049B8"/>
    <w:rsid w:val="2BB8243A"/>
    <w:rsid w:val="2BB846C7"/>
    <w:rsid w:val="2BBB16FE"/>
    <w:rsid w:val="2BC45FB1"/>
    <w:rsid w:val="2BCF162B"/>
    <w:rsid w:val="2BDA7C1F"/>
    <w:rsid w:val="2BDC025D"/>
    <w:rsid w:val="2BE22969"/>
    <w:rsid w:val="2BF268D8"/>
    <w:rsid w:val="2BF92F04"/>
    <w:rsid w:val="2BFA28B5"/>
    <w:rsid w:val="2C0C0DAD"/>
    <w:rsid w:val="2C15607B"/>
    <w:rsid w:val="2C166203"/>
    <w:rsid w:val="2C1A3E08"/>
    <w:rsid w:val="2C1E7BF4"/>
    <w:rsid w:val="2C1F19BB"/>
    <w:rsid w:val="2C240FD9"/>
    <w:rsid w:val="2C29119E"/>
    <w:rsid w:val="2C2C35BB"/>
    <w:rsid w:val="2C2F697D"/>
    <w:rsid w:val="2C3F1281"/>
    <w:rsid w:val="2C4E135B"/>
    <w:rsid w:val="2C6A073A"/>
    <w:rsid w:val="2C70404C"/>
    <w:rsid w:val="2C725634"/>
    <w:rsid w:val="2C8612A7"/>
    <w:rsid w:val="2C861350"/>
    <w:rsid w:val="2C876BE5"/>
    <w:rsid w:val="2C8C286C"/>
    <w:rsid w:val="2C9406AF"/>
    <w:rsid w:val="2C9918D5"/>
    <w:rsid w:val="2CA62657"/>
    <w:rsid w:val="2CAC66E9"/>
    <w:rsid w:val="2CAE1E5F"/>
    <w:rsid w:val="2CB22A8B"/>
    <w:rsid w:val="2CB31858"/>
    <w:rsid w:val="2CBD3F75"/>
    <w:rsid w:val="2CCD0119"/>
    <w:rsid w:val="2CDD133F"/>
    <w:rsid w:val="2CDE0131"/>
    <w:rsid w:val="2CDE6134"/>
    <w:rsid w:val="2CF12EAB"/>
    <w:rsid w:val="2D09651D"/>
    <w:rsid w:val="2D0C2633"/>
    <w:rsid w:val="2D141CC2"/>
    <w:rsid w:val="2D241246"/>
    <w:rsid w:val="2D244DEE"/>
    <w:rsid w:val="2D30515D"/>
    <w:rsid w:val="2D39234A"/>
    <w:rsid w:val="2D3D7CC9"/>
    <w:rsid w:val="2D4208F8"/>
    <w:rsid w:val="2D44082E"/>
    <w:rsid w:val="2D4E5952"/>
    <w:rsid w:val="2D5E243F"/>
    <w:rsid w:val="2D5E5A57"/>
    <w:rsid w:val="2D60766F"/>
    <w:rsid w:val="2D672D76"/>
    <w:rsid w:val="2D681221"/>
    <w:rsid w:val="2D6A6A56"/>
    <w:rsid w:val="2D6C17F4"/>
    <w:rsid w:val="2D6E4333"/>
    <w:rsid w:val="2D784876"/>
    <w:rsid w:val="2D800EAF"/>
    <w:rsid w:val="2D833F7A"/>
    <w:rsid w:val="2D871801"/>
    <w:rsid w:val="2D8F19F0"/>
    <w:rsid w:val="2D9332E7"/>
    <w:rsid w:val="2D93455A"/>
    <w:rsid w:val="2DB25D02"/>
    <w:rsid w:val="2DBF567B"/>
    <w:rsid w:val="2DC14226"/>
    <w:rsid w:val="2DC374D3"/>
    <w:rsid w:val="2DD24483"/>
    <w:rsid w:val="2DD40100"/>
    <w:rsid w:val="2DD634BA"/>
    <w:rsid w:val="2DF12A5A"/>
    <w:rsid w:val="2DF53F49"/>
    <w:rsid w:val="2DFA6F86"/>
    <w:rsid w:val="2DFC346E"/>
    <w:rsid w:val="2DFF0C0E"/>
    <w:rsid w:val="2E164875"/>
    <w:rsid w:val="2E1D5E5F"/>
    <w:rsid w:val="2E1E09A8"/>
    <w:rsid w:val="2E1E2A03"/>
    <w:rsid w:val="2E3B54D9"/>
    <w:rsid w:val="2E4E7C44"/>
    <w:rsid w:val="2E875E65"/>
    <w:rsid w:val="2E9243F0"/>
    <w:rsid w:val="2E966B93"/>
    <w:rsid w:val="2EA34AB8"/>
    <w:rsid w:val="2EA56DB8"/>
    <w:rsid w:val="2EBF014F"/>
    <w:rsid w:val="2EC5572B"/>
    <w:rsid w:val="2ECA3DDE"/>
    <w:rsid w:val="2ECE7407"/>
    <w:rsid w:val="2EDB1701"/>
    <w:rsid w:val="2EE013D7"/>
    <w:rsid w:val="2EEB7F3E"/>
    <w:rsid w:val="2EEF0273"/>
    <w:rsid w:val="2EF03D3D"/>
    <w:rsid w:val="2EF349F6"/>
    <w:rsid w:val="2EFA012F"/>
    <w:rsid w:val="2F0E04DD"/>
    <w:rsid w:val="2F156BA7"/>
    <w:rsid w:val="2F1B1B82"/>
    <w:rsid w:val="2F1C3806"/>
    <w:rsid w:val="2F1E7EFC"/>
    <w:rsid w:val="2F202241"/>
    <w:rsid w:val="2F294A80"/>
    <w:rsid w:val="2F407215"/>
    <w:rsid w:val="2F4203A0"/>
    <w:rsid w:val="2F4E189E"/>
    <w:rsid w:val="2F59398A"/>
    <w:rsid w:val="2F5A263F"/>
    <w:rsid w:val="2F5A4855"/>
    <w:rsid w:val="2F6038AB"/>
    <w:rsid w:val="2F6279B7"/>
    <w:rsid w:val="2F7441A2"/>
    <w:rsid w:val="2F792E5A"/>
    <w:rsid w:val="2F820747"/>
    <w:rsid w:val="2F905291"/>
    <w:rsid w:val="2FA31465"/>
    <w:rsid w:val="2FB42238"/>
    <w:rsid w:val="2FBB6286"/>
    <w:rsid w:val="2FC52B10"/>
    <w:rsid w:val="2FDD196A"/>
    <w:rsid w:val="2FE12001"/>
    <w:rsid w:val="2FE745C1"/>
    <w:rsid w:val="2FE873B6"/>
    <w:rsid w:val="2FFA053B"/>
    <w:rsid w:val="30015BEB"/>
    <w:rsid w:val="30046AB4"/>
    <w:rsid w:val="30097C84"/>
    <w:rsid w:val="300B5D80"/>
    <w:rsid w:val="300D3C38"/>
    <w:rsid w:val="301240DC"/>
    <w:rsid w:val="301558D3"/>
    <w:rsid w:val="303909D5"/>
    <w:rsid w:val="303E53A1"/>
    <w:rsid w:val="30400A36"/>
    <w:rsid w:val="3041561A"/>
    <w:rsid w:val="3048650B"/>
    <w:rsid w:val="304A16D4"/>
    <w:rsid w:val="304D58A9"/>
    <w:rsid w:val="304E5B92"/>
    <w:rsid w:val="30513123"/>
    <w:rsid w:val="30537927"/>
    <w:rsid w:val="3065229E"/>
    <w:rsid w:val="30692D49"/>
    <w:rsid w:val="306B1F64"/>
    <w:rsid w:val="306E7250"/>
    <w:rsid w:val="307932E7"/>
    <w:rsid w:val="307B2E9B"/>
    <w:rsid w:val="30864E09"/>
    <w:rsid w:val="309E1C15"/>
    <w:rsid w:val="30AB5126"/>
    <w:rsid w:val="30B5474A"/>
    <w:rsid w:val="30BD33EB"/>
    <w:rsid w:val="30C10881"/>
    <w:rsid w:val="30C842CC"/>
    <w:rsid w:val="30CA20AF"/>
    <w:rsid w:val="30D76C9A"/>
    <w:rsid w:val="30DD6F38"/>
    <w:rsid w:val="30E83AA9"/>
    <w:rsid w:val="30E83B4F"/>
    <w:rsid w:val="30F2746B"/>
    <w:rsid w:val="30F538BD"/>
    <w:rsid w:val="30F65E70"/>
    <w:rsid w:val="30FF4EEE"/>
    <w:rsid w:val="30FF536E"/>
    <w:rsid w:val="31042C48"/>
    <w:rsid w:val="3106505F"/>
    <w:rsid w:val="3115179D"/>
    <w:rsid w:val="31227736"/>
    <w:rsid w:val="313113C4"/>
    <w:rsid w:val="313632DC"/>
    <w:rsid w:val="313B3F51"/>
    <w:rsid w:val="31427BAB"/>
    <w:rsid w:val="3146766F"/>
    <w:rsid w:val="314D40E0"/>
    <w:rsid w:val="31542362"/>
    <w:rsid w:val="31556640"/>
    <w:rsid w:val="315C7268"/>
    <w:rsid w:val="31605393"/>
    <w:rsid w:val="316A6E18"/>
    <w:rsid w:val="3171360E"/>
    <w:rsid w:val="317F628E"/>
    <w:rsid w:val="31826FF8"/>
    <w:rsid w:val="319506FB"/>
    <w:rsid w:val="31A23BF3"/>
    <w:rsid w:val="31A7788A"/>
    <w:rsid w:val="31AE1A49"/>
    <w:rsid w:val="31AF0A11"/>
    <w:rsid w:val="31BA36F8"/>
    <w:rsid w:val="31C66A18"/>
    <w:rsid w:val="31DF15B2"/>
    <w:rsid w:val="31E14CB6"/>
    <w:rsid w:val="31E34B7B"/>
    <w:rsid w:val="31EA0439"/>
    <w:rsid w:val="31EA45C9"/>
    <w:rsid w:val="31EF2C08"/>
    <w:rsid w:val="31F1602D"/>
    <w:rsid w:val="31FE19C8"/>
    <w:rsid w:val="31FF12F5"/>
    <w:rsid w:val="32066D74"/>
    <w:rsid w:val="320716BB"/>
    <w:rsid w:val="321C703C"/>
    <w:rsid w:val="3227458A"/>
    <w:rsid w:val="32290BC4"/>
    <w:rsid w:val="32294CF2"/>
    <w:rsid w:val="32322CEB"/>
    <w:rsid w:val="32324AD6"/>
    <w:rsid w:val="323774CA"/>
    <w:rsid w:val="3239740D"/>
    <w:rsid w:val="323B725A"/>
    <w:rsid w:val="323E510A"/>
    <w:rsid w:val="32432DA9"/>
    <w:rsid w:val="32447ED7"/>
    <w:rsid w:val="324D717E"/>
    <w:rsid w:val="324E702D"/>
    <w:rsid w:val="32536A7B"/>
    <w:rsid w:val="32566080"/>
    <w:rsid w:val="325A6B1C"/>
    <w:rsid w:val="325E3077"/>
    <w:rsid w:val="3264674A"/>
    <w:rsid w:val="32755B95"/>
    <w:rsid w:val="327D7F7D"/>
    <w:rsid w:val="32824CCD"/>
    <w:rsid w:val="328A4A3B"/>
    <w:rsid w:val="32963B34"/>
    <w:rsid w:val="329C1F6E"/>
    <w:rsid w:val="32A75564"/>
    <w:rsid w:val="32B25AE4"/>
    <w:rsid w:val="32B61909"/>
    <w:rsid w:val="32BA5CF5"/>
    <w:rsid w:val="32BB592B"/>
    <w:rsid w:val="32BF51EB"/>
    <w:rsid w:val="32C96D8E"/>
    <w:rsid w:val="32C97C88"/>
    <w:rsid w:val="32D644EE"/>
    <w:rsid w:val="32D72434"/>
    <w:rsid w:val="32DA303A"/>
    <w:rsid w:val="32DB7F8D"/>
    <w:rsid w:val="32DD3C0A"/>
    <w:rsid w:val="32E661E1"/>
    <w:rsid w:val="32EA19D4"/>
    <w:rsid w:val="32EE2C6A"/>
    <w:rsid w:val="32EE444E"/>
    <w:rsid w:val="32F27753"/>
    <w:rsid w:val="32F30C98"/>
    <w:rsid w:val="32F5373D"/>
    <w:rsid w:val="32F820E1"/>
    <w:rsid w:val="32FB1494"/>
    <w:rsid w:val="33084585"/>
    <w:rsid w:val="330965A3"/>
    <w:rsid w:val="330D1928"/>
    <w:rsid w:val="330E0295"/>
    <w:rsid w:val="331E20AD"/>
    <w:rsid w:val="33253148"/>
    <w:rsid w:val="33350B26"/>
    <w:rsid w:val="3339451B"/>
    <w:rsid w:val="334A7A46"/>
    <w:rsid w:val="334E7412"/>
    <w:rsid w:val="33557CBF"/>
    <w:rsid w:val="3363364D"/>
    <w:rsid w:val="336571BD"/>
    <w:rsid w:val="33671FC7"/>
    <w:rsid w:val="33687D00"/>
    <w:rsid w:val="33690891"/>
    <w:rsid w:val="336B24F9"/>
    <w:rsid w:val="337E22C2"/>
    <w:rsid w:val="337E2EA2"/>
    <w:rsid w:val="338A2B58"/>
    <w:rsid w:val="33951B54"/>
    <w:rsid w:val="33981FB6"/>
    <w:rsid w:val="33A84C28"/>
    <w:rsid w:val="33A94665"/>
    <w:rsid w:val="33AF5BAB"/>
    <w:rsid w:val="33BD256E"/>
    <w:rsid w:val="33BF1ABA"/>
    <w:rsid w:val="33D12918"/>
    <w:rsid w:val="33D22636"/>
    <w:rsid w:val="33D73A96"/>
    <w:rsid w:val="33DA1E60"/>
    <w:rsid w:val="33DF0A9D"/>
    <w:rsid w:val="33DF5885"/>
    <w:rsid w:val="33E02A15"/>
    <w:rsid w:val="33E65F9B"/>
    <w:rsid w:val="33EC0C2F"/>
    <w:rsid w:val="33EF120C"/>
    <w:rsid w:val="33EF76C7"/>
    <w:rsid w:val="33FF4A81"/>
    <w:rsid w:val="34022C64"/>
    <w:rsid w:val="34024FDE"/>
    <w:rsid w:val="34101AFF"/>
    <w:rsid w:val="341038CF"/>
    <w:rsid w:val="342025E4"/>
    <w:rsid w:val="34346FE2"/>
    <w:rsid w:val="34356CBB"/>
    <w:rsid w:val="34376FDD"/>
    <w:rsid w:val="343D3707"/>
    <w:rsid w:val="343E17FF"/>
    <w:rsid w:val="34406624"/>
    <w:rsid w:val="34563CEC"/>
    <w:rsid w:val="34595878"/>
    <w:rsid w:val="345C32CB"/>
    <w:rsid w:val="345E643F"/>
    <w:rsid w:val="346426AB"/>
    <w:rsid w:val="346A31E6"/>
    <w:rsid w:val="346B1339"/>
    <w:rsid w:val="346F24E9"/>
    <w:rsid w:val="34800819"/>
    <w:rsid w:val="348900FD"/>
    <w:rsid w:val="34890226"/>
    <w:rsid w:val="349463D0"/>
    <w:rsid w:val="34A23BCE"/>
    <w:rsid w:val="34AB2662"/>
    <w:rsid w:val="34AD44E3"/>
    <w:rsid w:val="34C6797C"/>
    <w:rsid w:val="34DD23DF"/>
    <w:rsid w:val="34E0016F"/>
    <w:rsid w:val="34E102FE"/>
    <w:rsid w:val="34E46425"/>
    <w:rsid w:val="34E621A6"/>
    <w:rsid w:val="34FE12A7"/>
    <w:rsid w:val="350402F2"/>
    <w:rsid w:val="35080CB3"/>
    <w:rsid w:val="350B6548"/>
    <w:rsid w:val="350C7FB1"/>
    <w:rsid w:val="351404DC"/>
    <w:rsid w:val="352C127B"/>
    <w:rsid w:val="35381E5B"/>
    <w:rsid w:val="35570EBE"/>
    <w:rsid w:val="35576BC6"/>
    <w:rsid w:val="35591BB2"/>
    <w:rsid w:val="355F081A"/>
    <w:rsid w:val="35672C64"/>
    <w:rsid w:val="356A66FC"/>
    <w:rsid w:val="356B73C9"/>
    <w:rsid w:val="35723D26"/>
    <w:rsid w:val="35832CB9"/>
    <w:rsid w:val="35847960"/>
    <w:rsid w:val="35852152"/>
    <w:rsid w:val="358532D7"/>
    <w:rsid w:val="3598152C"/>
    <w:rsid w:val="35A5783C"/>
    <w:rsid w:val="35A849EF"/>
    <w:rsid w:val="35AE134E"/>
    <w:rsid w:val="35AF284E"/>
    <w:rsid w:val="35C0154D"/>
    <w:rsid w:val="35C07B2E"/>
    <w:rsid w:val="35CF1E74"/>
    <w:rsid w:val="35D76B05"/>
    <w:rsid w:val="35DA26A0"/>
    <w:rsid w:val="35F24786"/>
    <w:rsid w:val="35F41273"/>
    <w:rsid w:val="35F5260C"/>
    <w:rsid w:val="360B0654"/>
    <w:rsid w:val="36103660"/>
    <w:rsid w:val="36122528"/>
    <w:rsid w:val="361C6FDF"/>
    <w:rsid w:val="361E1B63"/>
    <w:rsid w:val="36204E2C"/>
    <w:rsid w:val="36244D64"/>
    <w:rsid w:val="362D4521"/>
    <w:rsid w:val="362F4F86"/>
    <w:rsid w:val="364438A5"/>
    <w:rsid w:val="364650C7"/>
    <w:rsid w:val="364F63CF"/>
    <w:rsid w:val="36513D05"/>
    <w:rsid w:val="365B74F9"/>
    <w:rsid w:val="365C7A17"/>
    <w:rsid w:val="366B62AA"/>
    <w:rsid w:val="36725D37"/>
    <w:rsid w:val="36750F5A"/>
    <w:rsid w:val="36794EBD"/>
    <w:rsid w:val="367B1824"/>
    <w:rsid w:val="367F7A5D"/>
    <w:rsid w:val="3684661D"/>
    <w:rsid w:val="368C6FAD"/>
    <w:rsid w:val="36986633"/>
    <w:rsid w:val="36A671AE"/>
    <w:rsid w:val="36BC69D9"/>
    <w:rsid w:val="36BE5C4F"/>
    <w:rsid w:val="36C4369F"/>
    <w:rsid w:val="36C54CFC"/>
    <w:rsid w:val="36D03050"/>
    <w:rsid w:val="36D61D28"/>
    <w:rsid w:val="36EA17B2"/>
    <w:rsid w:val="36EB01ED"/>
    <w:rsid w:val="36EF6F47"/>
    <w:rsid w:val="36FB3B00"/>
    <w:rsid w:val="36FF3AEE"/>
    <w:rsid w:val="3706607B"/>
    <w:rsid w:val="3710241B"/>
    <w:rsid w:val="371A7751"/>
    <w:rsid w:val="37205AF7"/>
    <w:rsid w:val="37225834"/>
    <w:rsid w:val="372622AF"/>
    <w:rsid w:val="372B70A9"/>
    <w:rsid w:val="37305A2F"/>
    <w:rsid w:val="373E42AF"/>
    <w:rsid w:val="37434D2B"/>
    <w:rsid w:val="37480A9D"/>
    <w:rsid w:val="374E43C7"/>
    <w:rsid w:val="375070B8"/>
    <w:rsid w:val="37521391"/>
    <w:rsid w:val="37581DA4"/>
    <w:rsid w:val="375E496D"/>
    <w:rsid w:val="376870C4"/>
    <w:rsid w:val="377622E9"/>
    <w:rsid w:val="37822D92"/>
    <w:rsid w:val="378313E7"/>
    <w:rsid w:val="379326B7"/>
    <w:rsid w:val="379C30AC"/>
    <w:rsid w:val="37A3551C"/>
    <w:rsid w:val="37A73CC2"/>
    <w:rsid w:val="37AB5517"/>
    <w:rsid w:val="37B31D87"/>
    <w:rsid w:val="37BA2250"/>
    <w:rsid w:val="37C86BF4"/>
    <w:rsid w:val="37CA193A"/>
    <w:rsid w:val="37CB79C1"/>
    <w:rsid w:val="37CF0AC2"/>
    <w:rsid w:val="37D04890"/>
    <w:rsid w:val="37D4551A"/>
    <w:rsid w:val="37D94421"/>
    <w:rsid w:val="37DE07FE"/>
    <w:rsid w:val="37E1582E"/>
    <w:rsid w:val="37E51E17"/>
    <w:rsid w:val="37ED743A"/>
    <w:rsid w:val="38073B81"/>
    <w:rsid w:val="380B38DB"/>
    <w:rsid w:val="381076F0"/>
    <w:rsid w:val="3812446F"/>
    <w:rsid w:val="38177CF2"/>
    <w:rsid w:val="381949C3"/>
    <w:rsid w:val="381A46B2"/>
    <w:rsid w:val="382A0A59"/>
    <w:rsid w:val="382A0FC7"/>
    <w:rsid w:val="3834264B"/>
    <w:rsid w:val="38364A42"/>
    <w:rsid w:val="384661E1"/>
    <w:rsid w:val="38466DFC"/>
    <w:rsid w:val="38576F29"/>
    <w:rsid w:val="3859164B"/>
    <w:rsid w:val="385E5359"/>
    <w:rsid w:val="385F36E1"/>
    <w:rsid w:val="38617A89"/>
    <w:rsid w:val="386408BD"/>
    <w:rsid w:val="386A3963"/>
    <w:rsid w:val="38714D4B"/>
    <w:rsid w:val="3872492E"/>
    <w:rsid w:val="3877694C"/>
    <w:rsid w:val="387B26EE"/>
    <w:rsid w:val="387D20E0"/>
    <w:rsid w:val="38833E6E"/>
    <w:rsid w:val="38926CE0"/>
    <w:rsid w:val="38961634"/>
    <w:rsid w:val="38A43977"/>
    <w:rsid w:val="38AD4365"/>
    <w:rsid w:val="38B37532"/>
    <w:rsid w:val="38B95933"/>
    <w:rsid w:val="38BA44EF"/>
    <w:rsid w:val="38BD6F56"/>
    <w:rsid w:val="38BE47C9"/>
    <w:rsid w:val="38BE7336"/>
    <w:rsid w:val="38C21CCC"/>
    <w:rsid w:val="38C22D4A"/>
    <w:rsid w:val="38C81E72"/>
    <w:rsid w:val="38C930E5"/>
    <w:rsid w:val="38D52CAE"/>
    <w:rsid w:val="38D6064A"/>
    <w:rsid w:val="38DB4B2D"/>
    <w:rsid w:val="38E3345A"/>
    <w:rsid w:val="38ED063E"/>
    <w:rsid w:val="38ED7954"/>
    <w:rsid w:val="38F013DA"/>
    <w:rsid w:val="38F3330B"/>
    <w:rsid w:val="39020BFD"/>
    <w:rsid w:val="39072EEB"/>
    <w:rsid w:val="390A6AD6"/>
    <w:rsid w:val="391135E7"/>
    <w:rsid w:val="39152473"/>
    <w:rsid w:val="392A5DB4"/>
    <w:rsid w:val="392F1D81"/>
    <w:rsid w:val="39317DFF"/>
    <w:rsid w:val="393934F1"/>
    <w:rsid w:val="39502F29"/>
    <w:rsid w:val="39606923"/>
    <w:rsid w:val="396F0082"/>
    <w:rsid w:val="397375AF"/>
    <w:rsid w:val="3985387B"/>
    <w:rsid w:val="39857021"/>
    <w:rsid w:val="398C207A"/>
    <w:rsid w:val="399874FB"/>
    <w:rsid w:val="39BB7141"/>
    <w:rsid w:val="39DC50C0"/>
    <w:rsid w:val="39DF4955"/>
    <w:rsid w:val="39E83E2D"/>
    <w:rsid w:val="39F26907"/>
    <w:rsid w:val="39F67F4C"/>
    <w:rsid w:val="39F70850"/>
    <w:rsid w:val="39FB1848"/>
    <w:rsid w:val="39FC56D1"/>
    <w:rsid w:val="3A180EC5"/>
    <w:rsid w:val="3A1B6567"/>
    <w:rsid w:val="3A2214DC"/>
    <w:rsid w:val="3A254190"/>
    <w:rsid w:val="3A36183B"/>
    <w:rsid w:val="3A386CBB"/>
    <w:rsid w:val="3A430A64"/>
    <w:rsid w:val="3A576D83"/>
    <w:rsid w:val="3A5A0A8B"/>
    <w:rsid w:val="3A5B0A6F"/>
    <w:rsid w:val="3A5C78F8"/>
    <w:rsid w:val="3A5D70E3"/>
    <w:rsid w:val="3A6170AE"/>
    <w:rsid w:val="3A621692"/>
    <w:rsid w:val="3A662663"/>
    <w:rsid w:val="3A713D71"/>
    <w:rsid w:val="3A77158A"/>
    <w:rsid w:val="3A795EF2"/>
    <w:rsid w:val="3A7D4D35"/>
    <w:rsid w:val="3A8015FF"/>
    <w:rsid w:val="3A80273D"/>
    <w:rsid w:val="3A8E207D"/>
    <w:rsid w:val="3A930BE2"/>
    <w:rsid w:val="3AA34F84"/>
    <w:rsid w:val="3AAC1BD9"/>
    <w:rsid w:val="3AB10B58"/>
    <w:rsid w:val="3ABB4CAD"/>
    <w:rsid w:val="3AC10667"/>
    <w:rsid w:val="3AC65F5B"/>
    <w:rsid w:val="3AD83727"/>
    <w:rsid w:val="3AE57ECF"/>
    <w:rsid w:val="3AEB5801"/>
    <w:rsid w:val="3AED6EBF"/>
    <w:rsid w:val="3AF6651A"/>
    <w:rsid w:val="3B071A7E"/>
    <w:rsid w:val="3B0914B6"/>
    <w:rsid w:val="3B142EE8"/>
    <w:rsid w:val="3B1D040F"/>
    <w:rsid w:val="3B1D184B"/>
    <w:rsid w:val="3B1E7230"/>
    <w:rsid w:val="3B2E0E8E"/>
    <w:rsid w:val="3B342D4C"/>
    <w:rsid w:val="3B344D4C"/>
    <w:rsid w:val="3B3C0EBD"/>
    <w:rsid w:val="3B431938"/>
    <w:rsid w:val="3B49382E"/>
    <w:rsid w:val="3B5E6A96"/>
    <w:rsid w:val="3B62516E"/>
    <w:rsid w:val="3B6B69BB"/>
    <w:rsid w:val="3B7279C5"/>
    <w:rsid w:val="3B730BD1"/>
    <w:rsid w:val="3B7600ED"/>
    <w:rsid w:val="3B7C23F0"/>
    <w:rsid w:val="3B7D00D2"/>
    <w:rsid w:val="3B800AC7"/>
    <w:rsid w:val="3B83230A"/>
    <w:rsid w:val="3B8841FF"/>
    <w:rsid w:val="3B8D2BA1"/>
    <w:rsid w:val="3BA857FA"/>
    <w:rsid w:val="3BB30C7D"/>
    <w:rsid w:val="3BBD4CD1"/>
    <w:rsid w:val="3BC73DDF"/>
    <w:rsid w:val="3BC91203"/>
    <w:rsid w:val="3BCC3FEF"/>
    <w:rsid w:val="3BDE5B99"/>
    <w:rsid w:val="3BEA18D2"/>
    <w:rsid w:val="3BF366CF"/>
    <w:rsid w:val="3BFC6981"/>
    <w:rsid w:val="3C0D2400"/>
    <w:rsid w:val="3C214A8C"/>
    <w:rsid w:val="3C3271BD"/>
    <w:rsid w:val="3C4C22E0"/>
    <w:rsid w:val="3C4D6E08"/>
    <w:rsid w:val="3C546F76"/>
    <w:rsid w:val="3C683B74"/>
    <w:rsid w:val="3C732308"/>
    <w:rsid w:val="3C75178A"/>
    <w:rsid w:val="3C7664DD"/>
    <w:rsid w:val="3C7D617F"/>
    <w:rsid w:val="3C873AC1"/>
    <w:rsid w:val="3C8C4C33"/>
    <w:rsid w:val="3C9308B2"/>
    <w:rsid w:val="3C98552D"/>
    <w:rsid w:val="3C9A1D1B"/>
    <w:rsid w:val="3CA60C31"/>
    <w:rsid w:val="3CAA5CB9"/>
    <w:rsid w:val="3CBD4426"/>
    <w:rsid w:val="3CC2183C"/>
    <w:rsid w:val="3CC313D4"/>
    <w:rsid w:val="3CCA11A4"/>
    <w:rsid w:val="3CD33CA9"/>
    <w:rsid w:val="3CD65B87"/>
    <w:rsid w:val="3CD764A0"/>
    <w:rsid w:val="3CED0C35"/>
    <w:rsid w:val="3CED6A8B"/>
    <w:rsid w:val="3CF034CE"/>
    <w:rsid w:val="3CF747D3"/>
    <w:rsid w:val="3CF80AB6"/>
    <w:rsid w:val="3CFA4B21"/>
    <w:rsid w:val="3D03374E"/>
    <w:rsid w:val="3D046ED6"/>
    <w:rsid w:val="3D0C1415"/>
    <w:rsid w:val="3D0C1B0A"/>
    <w:rsid w:val="3D0E2A9F"/>
    <w:rsid w:val="3D0F4B75"/>
    <w:rsid w:val="3D2469AC"/>
    <w:rsid w:val="3D291F53"/>
    <w:rsid w:val="3D2A51BF"/>
    <w:rsid w:val="3D2E2857"/>
    <w:rsid w:val="3D466BBF"/>
    <w:rsid w:val="3D5057CA"/>
    <w:rsid w:val="3D637594"/>
    <w:rsid w:val="3D6426AD"/>
    <w:rsid w:val="3D6461C5"/>
    <w:rsid w:val="3D717432"/>
    <w:rsid w:val="3D72615D"/>
    <w:rsid w:val="3D796395"/>
    <w:rsid w:val="3D7D151F"/>
    <w:rsid w:val="3D802EF4"/>
    <w:rsid w:val="3D811A79"/>
    <w:rsid w:val="3D8359DD"/>
    <w:rsid w:val="3D871969"/>
    <w:rsid w:val="3D8E3C5D"/>
    <w:rsid w:val="3D9646D4"/>
    <w:rsid w:val="3D96578B"/>
    <w:rsid w:val="3D9906C4"/>
    <w:rsid w:val="3DA1012F"/>
    <w:rsid w:val="3DA55883"/>
    <w:rsid w:val="3DA629DE"/>
    <w:rsid w:val="3DB52513"/>
    <w:rsid w:val="3DC64140"/>
    <w:rsid w:val="3DC87D8D"/>
    <w:rsid w:val="3DCA0490"/>
    <w:rsid w:val="3DCB2281"/>
    <w:rsid w:val="3DDB6792"/>
    <w:rsid w:val="3DDE21D8"/>
    <w:rsid w:val="3DDF097B"/>
    <w:rsid w:val="3DE2614B"/>
    <w:rsid w:val="3DEB28E1"/>
    <w:rsid w:val="3DED1A77"/>
    <w:rsid w:val="3DED5DFA"/>
    <w:rsid w:val="3DEE2120"/>
    <w:rsid w:val="3DEE5517"/>
    <w:rsid w:val="3DF049E2"/>
    <w:rsid w:val="3DF24BC6"/>
    <w:rsid w:val="3DF324CF"/>
    <w:rsid w:val="3DF660E4"/>
    <w:rsid w:val="3DF94C53"/>
    <w:rsid w:val="3E012344"/>
    <w:rsid w:val="3E115DC7"/>
    <w:rsid w:val="3E145C23"/>
    <w:rsid w:val="3E161175"/>
    <w:rsid w:val="3E1F3C6B"/>
    <w:rsid w:val="3E276A27"/>
    <w:rsid w:val="3E30068C"/>
    <w:rsid w:val="3E3316C8"/>
    <w:rsid w:val="3E360E46"/>
    <w:rsid w:val="3E371745"/>
    <w:rsid w:val="3E386E0E"/>
    <w:rsid w:val="3E3B6402"/>
    <w:rsid w:val="3E3F622B"/>
    <w:rsid w:val="3E4534CA"/>
    <w:rsid w:val="3E4A32A8"/>
    <w:rsid w:val="3E4B7076"/>
    <w:rsid w:val="3E5165B6"/>
    <w:rsid w:val="3E544FA4"/>
    <w:rsid w:val="3E57755F"/>
    <w:rsid w:val="3E6F152C"/>
    <w:rsid w:val="3E757093"/>
    <w:rsid w:val="3E8946A4"/>
    <w:rsid w:val="3E8B33DF"/>
    <w:rsid w:val="3E98160B"/>
    <w:rsid w:val="3EA464DE"/>
    <w:rsid w:val="3EAA74CA"/>
    <w:rsid w:val="3EAE20F6"/>
    <w:rsid w:val="3EB872AF"/>
    <w:rsid w:val="3EB943AA"/>
    <w:rsid w:val="3EBF218F"/>
    <w:rsid w:val="3EC30398"/>
    <w:rsid w:val="3EC52E1B"/>
    <w:rsid w:val="3EC71D08"/>
    <w:rsid w:val="3EC978AA"/>
    <w:rsid w:val="3ECA04A3"/>
    <w:rsid w:val="3ECA309B"/>
    <w:rsid w:val="3ECD037C"/>
    <w:rsid w:val="3ED15274"/>
    <w:rsid w:val="3ED856A0"/>
    <w:rsid w:val="3EDF1ECB"/>
    <w:rsid w:val="3EE01785"/>
    <w:rsid w:val="3EE510CE"/>
    <w:rsid w:val="3EE66357"/>
    <w:rsid w:val="3EF02F44"/>
    <w:rsid w:val="3EF12938"/>
    <w:rsid w:val="3F19736B"/>
    <w:rsid w:val="3F2A27A1"/>
    <w:rsid w:val="3F2A628F"/>
    <w:rsid w:val="3F34084B"/>
    <w:rsid w:val="3F3B2328"/>
    <w:rsid w:val="3F4174FA"/>
    <w:rsid w:val="3F480750"/>
    <w:rsid w:val="3F483728"/>
    <w:rsid w:val="3F4A2A3D"/>
    <w:rsid w:val="3F587DCC"/>
    <w:rsid w:val="3F6341C2"/>
    <w:rsid w:val="3F660DD5"/>
    <w:rsid w:val="3F6745E8"/>
    <w:rsid w:val="3F6B6159"/>
    <w:rsid w:val="3F73049C"/>
    <w:rsid w:val="3F763434"/>
    <w:rsid w:val="3F787DC3"/>
    <w:rsid w:val="3F7B3B65"/>
    <w:rsid w:val="3F8213C0"/>
    <w:rsid w:val="3F843328"/>
    <w:rsid w:val="3F855F94"/>
    <w:rsid w:val="3F8E7AA7"/>
    <w:rsid w:val="3F9F1F66"/>
    <w:rsid w:val="3FA53837"/>
    <w:rsid w:val="3FA63B65"/>
    <w:rsid w:val="3FB00210"/>
    <w:rsid w:val="3FB17DB3"/>
    <w:rsid w:val="3FB33377"/>
    <w:rsid w:val="3FC96266"/>
    <w:rsid w:val="3FE64B0B"/>
    <w:rsid w:val="3FEC3C8F"/>
    <w:rsid w:val="3FF11B6B"/>
    <w:rsid w:val="3FF676AC"/>
    <w:rsid w:val="3FFE1BAF"/>
    <w:rsid w:val="40072B9B"/>
    <w:rsid w:val="4009232F"/>
    <w:rsid w:val="400B2967"/>
    <w:rsid w:val="40134E1B"/>
    <w:rsid w:val="401A5EDA"/>
    <w:rsid w:val="402B24C2"/>
    <w:rsid w:val="402D26B7"/>
    <w:rsid w:val="40364860"/>
    <w:rsid w:val="403C2B29"/>
    <w:rsid w:val="404572A7"/>
    <w:rsid w:val="404D40A6"/>
    <w:rsid w:val="40515907"/>
    <w:rsid w:val="40526029"/>
    <w:rsid w:val="40556C60"/>
    <w:rsid w:val="40697E59"/>
    <w:rsid w:val="40774561"/>
    <w:rsid w:val="40794035"/>
    <w:rsid w:val="408403DA"/>
    <w:rsid w:val="40903C93"/>
    <w:rsid w:val="40943320"/>
    <w:rsid w:val="409E5060"/>
    <w:rsid w:val="409F6003"/>
    <w:rsid w:val="40A00B92"/>
    <w:rsid w:val="40A2604E"/>
    <w:rsid w:val="40A76CE5"/>
    <w:rsid w:val="40AC0939"/>
    <w:rsid w:val="40B10628"/>
    <w:rsid w:val="40B443B2"/>
    <w:rsid w:val="40B74056"/>
    <w:rsid w:val="40B97C28"/>
    <w:rsid w:val="40C46FAD"/>
    <w:rsid w:val="40C779AD"/>
    <w:rsid w:val="40C84BD9"/>
    <w:rsid w:val="40C96B72"/>
    <w:rsid w:val="40D2356C"/>
    <w:rsid w:val="40E05EE0"/>
    <w:rsid w:val="40E5140C"/>
    <w:rsid w:val="40F63B08"/>
    <w:rsid w:val="41034777"/>
    <w:rsid w:val="4105222E"/>
    <w:rsid w:val="41070663"/>
    <w:rsid w:val="41093549"/>
    <w:rsid w:val="410A0F0B"/>
    <w:rsid w:val="410C4E57"/>
    <w:rsid w:val="410D708B"/>
    <w:rsid w:val="411109DD"/>
    <w:rsid w:val="41133244"/>
    <w:rsid w:val="41155E5A"/>
    <w:rsid w:val="411A5A4B"/>
    <w:rsid w:val="411B6FD2"/>
    <w:rsid w:val="411D7F99"/>
    <w:rsid w:val="41204AEC"/>
    <w:rsid w:val="412742E0"/>
    <w:rsid w:val="413372A2"/>
    <w:rsid w:val="414B28B2"/>
    <w:rsid w:val="414B45F8"/>
    <w:rsid w:val="415D4E9D"/>
    <w:rsid w:val="415E7DAD"/>
    <w:rsid w:val="4162324B"/>
    <w:rsid w:val="41630B7E"/>
    <w:rsid w:val="41661EA2"/>
    <w:rsid w:val="4168267D"/>
    <w:rsid w:val="41736F9A"/>
    <w:rsid w:val="41740B83"/>
    <w:rsid w:val="417511B4"/>
    <w:rsid w:val="41795C61"/>
    <w:rsid w:val="417F3F0F"/>
    <w:rsid w:val="41865FD4"/>
    <w:rsid w:val="418D5345"/>
    <w:rsid w:val="418E2292"/>
    <w:rsid w:val="41961314"/>
    <w:rsid w:val="419C325C"/>
    <w:rsid w:val="419E3DC8"/>
    <w:rsid w:val="41A006A0"/>
    <w:rsid w:val="41A23320"/>
    <w:rsid w:val="41AB1ADA"/>
    <w:rsid w:val="41AC1861"/>
    <w:rsid w:val="41B20479"/>
    <w:rsid w:val="41B44A64"/>
    <w:rsid w:val="41BA1EBF"/>
    <w:rsid w:val="41BB66DA"/>
    <w:rsid w:val="41CA6DEC"/>
    <w:rsid w:val="41E63E57"/>
    <w:rsid w:val="41F6372D"/>
    <w:rsid w:val="41F97BE1"/>
    <w:rsid w:val="41FB2753"/>
    <w:rsid w:val="42077468"/>
    <w:rsid w:val="420D250D"/>
    <w:rsid w:val="420F577F"/>
    <w:rsid w:val="421F6014"/>
    <w:rsid w:val="42202A69"/>
    <w:rsid w:val="42253020"/>
    <w:rsid w:val="422959F0"/>
    <w:rsid w:val="422D20D1"/>
    <w:rsid w:val="4232670D"/>
    <w:rsid w:val="423316AA"/>
    <w:rsid w:val="42364EAB"/>
    <w:rsid w:val="42501E7D"/>
    <w:rsid w:val="425352E4"/>
    <w:rsid w:val="42543DEB"/>
    <w:rsid w:val="425A3D78"/>
    <w:rsid w:val="42686C16"/>
    <w:rsid w:val="426A7CBE"/>
    <w:rsid w:val="42861396"/>
    <w:rsid w:val="429B4F47"/>
    <w:rsid w:val="429C2809"/>
    <w:rsid w:val="429F556B"/>
    <w:rsid w:val="42AF3F70"/>
    <w:rsid w:val="42B3254F"/>
    <w:rsid w:val="42B5581D"/>
    <w:rsid w:val="42B563DA"/>
    <w:rsid w:val="42B95DB7"/>
    <w:rsid w:val="42BA7BA7"/>
    <w:rsid w:val="42BE4B47"/>
    <w:rsid w:val="42BE7669"/>
    <w:rsid w:val="42C0301D"/>
    <w:rsid w:val="42C35F6C"/>
    <w:rsid w:val="42D44905"/>
    <w:rsid w:val="42E0204D"/>
    <w:rsid w:val="42E32AB5"/>
    <w:rsid w:val="42E35D86"/>
    <w:rsid w:val="42E92D47"/>
    <w:rsid w:val="42EA0889"/>
    <w:rsid w:val="42FB334C"/>
    <w:rsid w:val="42FB7F41"/>
    <w:rsid w:val="42FD7FD6"/>
    <w:rsid w:val="43025220"/>
    <w:rsid w:val="43054B9A"/>
    <w:rsid w:val="430662FD"/>
    <w:rsid w:val="430E2911"/>
    <w:rsid w:val="43184CF2"/>
    <w:rsid w:val="431A5DDF"/>
    <w:rsid w:val="43247210"/>
    <w:rsid w:val="433665A6"/>
    <w:rsid w:val="433806EF"/>
    <w:rsid w:val="43397749"/>
    <w:rsid w:val="433C49B2"/>
    <w:rsid w:val="433C67F7"/>
    <w:rsid w:val="43421EA7"/>
    <w:rsid w:val="43553DB9"/>
    <w:rsid w:val="43563278"/>
    <w:rsid w:val="436141C6"/>
    <w:rsid w:val="43646DA5"/>
    <w:rsid w:val="43777884"/>
    <w:rsid w:val="437975D8"/>
    <w:rsid w:val="43837A9D"/>
    <w:rsid w:val="439625A8"/>
    <w:rsid w:val="439F36EF"/>
    <w:rsid w:val="43A1158A"/>
    <w:rsid w:val="43A17C1D"/>
    <w:rsid w:val="43A568D6"/>
    <w:rsid w:val="43A625D0"/>
    <w:rsid w:val="43AE37C6"/>
    <w:rsid w:val="43B67A7E"/>
    <w:rsid w:val="43C0751C"/>
    <w:rsid w:val="43CB6294"/>
    <w:rsid w:val="43CF5765"/>
    <w:rsid w:val="43D17B65"/>
    <w:rsid w:val="43D21F16"/>
    <w:rsid w:val="43E76653"/>
    <w:rsid w:val="4401663B"/>
    <w:rsid w:val="440A75C4"/>
    <w:rsid w:val="440B41CD"/>
    <w:rsid w:val="440B4757"/>
    <w:rsid w:val="44166952"/>
    <w:rsid w:val="44297ADF"/>
    <w:rsid w:val="442E22C4"/>
    <w:rsid w:val="44305FBC"/>
    <w:rsid w:val="44373263"/>
    <w:rsid w:val="44380EE4"/>
    <w:rsid w:val="443A01A9"/>
    <w:rsid w:val="444100C2"/>
    <w:rsid w:val="44526EFA"/>
    <w:rsid w:val="445B120D"/>
    <w:rsid w:val="4469462A"/>
    <w:rsid w:val="446956EB"/>
    <w:rsid w:val="44766147"/>
    <w:rsid w:val="447B4EB8"/>
    <w:rsid w:val="447C2D23"/>
    <w:rsid w:val="447E5FD3"/>
    <w:rsid w:val="447F1768"/>
    <w:rsid w:val="44840E95"/>
    <w:rsid w:val="44872A75"/>
    <w:rsid w:val="448A2181"/>
    <w:rsid w:val="448E3484"/>
    <w:rsid w:val="44982F0D"/>
    <w:rsid w:val="44983351"/>
    <w:rsid w:val="44A825C6"/>
    <w:rsid w:val="44B34BDD"/>
    <w:rsid w:val="44BD5F8C"/>
    <w:rsid w:val="44C91FAF"/>
    <w:rsid w:val="44CE4884"/>
    <w:rsid w:val="44D22BE8"/>
    <w:rsid w:val="44D5605F"/>
    <w:rsid w:val="44E635CE"/>
    <w:rsid w:val="4508235C"/>
    <w:rsid w:val="4513713A"/>
    <w:rsid w:val="45143CF9"/>
    <w:rsid w:val="45153502"/>
    <w:rsid w:val="45197A37"/>
    <w:rsid w:val="451F636F"/>
    <w:rsid w:val="45260F14"/>
    <w:rsid w:val="452A5BCA"/>
    <w:rsid w:val="453267E2"/>
    <w:rsid w:val="453B5815"/>
    <w:rsid w:val="4556257D"/>
    <w:rsid w:val="45616239"/>
    <w:rsid w:val="45866095"/>
    <w:rsid w:val="458C19E0"/>
    <w:rsid w:val="459C3255"/>
    <w:rsid w:val="45A44BC1"/>
    <w:rsid w:val="45A94129"/>
    <w:rsid w:val="45AC1E90"/>
    <w:rsid w:val="45B44E1E"/>
    <w:rsid w:val="45B745CB"/>
    <w:rsid w:val="45B90F07"/>
    <w:rsid w:val="45BC148C"/>
    <w:rsid w:val="45CD5EB0"/>
    <w:rsid w:val="45CE3125"/>
    <w:rsid w:val="45CE5816"/>
    <w:rsid w:val="45DC5F7A"/>
    <w:rsid w:val="45DE2517"/>
    <w:rsid w:val="45F85E36"/>
    <w:rsid w:val="460A6B9A"/>
    <w:rsid w:val="460F72A8"/>
    <w:rsid w:val="46142BB6"/>
    <w:rsid w:val="46162085"/>
    <w:rsid w:val="46197CD3"/>
    <w:rsid w:val="462C360C"/>
    <w:rsid w:val="46335187"/>
    <w:rsid w:val="46496CB6"/>
    <w:rsid w:val="46560A00"/>
    <w:rsid w:val="46586F81"/>
    <w:rsid w:val="46621894"/>
    <w:rsid w:val="46647A66"/>
    <w:rsid w:val="46710226"/>
    <w:rsid w:val="46772DC3"/>
    <w:rsid w:val="467E50FA"/>
    <w:rsid w:val="468B2CC3"/>
    <w:rsid w:val="46901226"/>
    <w:rsid w:val="46912043"/>
    <w:rsid w:val="4691304E"/>
    <w:rsid w:val="46A2205C"/>
    <w:rsid w:val="46A51DAA"/>
    <w:rsid w:val="46AB4CDB"/>
    <w:rsid w:val="46AD5B74"/>
    <w:rsid w:val="46B4720D"/>
    <w:rsid w:val="46B93081"/>
    <w:rsid w:val="46B96D94"/>
    <w:rsid w:val="46BB2C0E"/>
    <w:rsid w:val="46C84010"/>
    <w:rsid w:val="46DA057B"/>
    <w:rsid w:val="46DF2446"/>
    <w:rsid w:val="46E121E8"/>
    <w:rsid w:val="46EA008F"/>
    <w:rsid w:val="46EF7500"/>
    <w:rsid w:val="46F91D97"/>
    <w:rsid w:val="46FE21D6"/>
    <w:rsid w:val="470D0CA9"/>
    <w:rsid w:val="471A37D6"/>
    <w:rsid w:val="472752FC"/>
    <w:rsid w:val="47356D0C"/>
    <w:rsid w:val="4737018B"/>
    <w:rsid w:val="4737469D"/>
    <w:rsid w:val="473815FC"/>
    <w:rsid w:val="473D1B17"/>
    <w:rsid w:val="4741754F"/>
    <w:rsid w:val="47457046"/>
    <w:rsid w:val="47545948"/>
    <w:rsid w:val="475B2E23"/>
    <w:rsid w:val="475B64BF"/>
    <w:rsid w:val="475D6391"/>
    <w:rsid w:val="4760574A"/>
    <w:rsid w:val="47677167"/>
    <w:rsid w:val="476B7F77"/>
    <w:rsid w:val="47704531"/>
    <w:rsid w:val="4777354E"/>
    <w:rsid w:val="477E22B3"/>
    <w:rsid w:val="477F0E4C"/>
    <w:rsid w:val="478019D4"/>
    <w:rsid w:val="478044B5"/>
    <w:rsid w:val="478B0D60"/>
    <w:rsid w:val="478C788F"/>
    <w:rsid w:val="478F7002"/>
    <w:rsid w:val="479B6356"/>
    <w:rsid w:val="479C6927"/>
    <w:rsid w:val="47A549DD"/>
    <w:rsid w:val="47A8332A"/>
    <w:rsid w:val="47AE086F"/>
    <w:rsid w:val="47B07616"/>
    <w:rsid w:val="47B42EB2"/>
    <w:rsid w:val="47B72EAA"/>
    <w:rsid w:val="47BF6EE7"/>
    <w:rsid w:val="47C15E93"/>
    <w:rsid w:val="47C70B93"/>
    <w:rsid w:val="47C7389A"/>
    <w:rsid w:val="47C94DB3"/>
    <w:rsid w:val="47DB18EA"/>
    <w:rsid w:val="47E8797C"/>
    <w:rsid w:val="47F05CB6"/>
    <w:rsid w:val="47FB7445"/>
    <w:rsid w:val="480639E6"/>
    <w:rsid w:val="480D17C3"/>
    <w:rsid w:val="4816305B"/>
    <w:rsid w:val="481D314F"/>
    <w:rsid w:val="48236C6B"/>
    <w:rsid w:val="4828295A"/>
    <w:rsid w:val="482A7E78"/>
    <w:rsid w:val="48311DAD"/>
    <w:rsid w:val="4844306D"/>
    <w:rsid w:val="48562CDC"/>
    <w:rsid w:val="485877B8"/>
    <w:rsid w:val="48597A2B"/>
    <w:rsid w:val="485B0E7A"/>
    <w:rsid w:val="4863250F"/>
    <w:rsid w:val="486636D8"/>
    <w:rsid w:val="48696A81"/>
    <w:rsid w:val="486C25DB"/>
    <w:rsid w:val="487A059C"/>
    <w:rsid w:val="487B39D5"/>
    <w:rsid w:val="4884336B"/>
    <w:rsid w:val="48871E14"/>
    <w:rsid w:val="48956C3C"/>
    <w:rsid w:val="48984B65"/>
    <w:rsid w:val="489C577B"/>
    <w:rsid w:val="48A468A6"/>
    <w:rsid w:val="48B17BAD"/>
    <w:rsid w:val="48B61732"/>
    <w:rsid w:val="48B747AD"/>
    <w:rsid w:val="48C560DC"/>
    <w:rsid w:val="48C661D8"/>
    <w:rsid w:val="48C86D0D"/>
    <w:rsid w:val="48E114B3"/>
    <w:rsid w:val="48E43A29"/>
    <w:rsid w:val="48E842FF"/>
    <w:rsid w:val="48EA0415"/>
    <w:rsid w:val="48FE4874"/>
    <w:rsid w:val="49097A4F"/>
    <w:rsid w:val="490F0884"/>
    <w:rsid w:val="491653DB"/>
    <w:rsid w:val="4920141C"/>
    <w:rsid w:val="49224174"/>
    <w:rsid w:val="492C2D0E"/>
    <w:rsid w:val="492C335D"/>
    <w:rsid w:val="492D3E6A"/>
    <w:rsid w:val="49385695"/>
    <w:rsid w:val="49431011"/>
    <w:rsid w:val="49453A9F"/>
    <w:rsid w:val="4945594B"/>
    <w:rsid w:val="494B45D5"/>
    <w:rsid w:val="494C0569"/>
    <w:rsid w:val="495547BE"/>
    <w:rsid w:val="49574EB2"/>
    <w:rsid w:val="495870C3"/>
    <w:rsid w:val="495B5CC3"/>
    <w:rsid w:val="4963728A"/>
    <w:rsid w:val="496F232F"/>
    <w:rsid w:val="497A5333"/>
    <w:rsid w:val="497E08E6"/>
    <w:rsid w:val="497E2338"/>
    <w:rsid w:val="497E7AD4"/>
    <w:rsid w:val="49817C5B"/>
    <w:rsid w:val="49991DD6"/>
    <w:rsid w:val="49995F82"/>
    <w:rsid w:val="49A002EF"/>
    <w:rsid w:val="49A639B2"/>
    <w:rsid w:val="49A642DE"/>
    <w:rsid w:val="49B41143"/>
    <w:rsid w:val="49B62CF1"/>
    <w:rsid w:val="49BC6B92"/>
    <w:rsid w:val="49C97EE9"/>
    <w:rsid w:val="49D61476"/>
    <w:rsid w:val="49D9575A"/>
    <w:rsid w:val="49DD6CB1"/>
    <w:rsid w:val="49E60063"/>
    <w:rsid w:val="49F07C4D"/>
    <w:rsid w:val="49FD17C7"/>
    <w:rsid w:val="4A095353"/>
    <w:rsid w:val="4A1102D4"/>
    <w:rsid w:val="4A172B11"/>
    <w:rsid w:val="4A18010C"/>
    <w:rsid w:val="4A1B3B7C"/>
    <w:rsid w:val="4A203E49"/>
    <w:rsid w:val="4A2A361C"/>
    <w:rsid w:val="4A2D37DF"/>
    <w:rsid w:val="4A2E5805"/>
    <w:rsid w:val="4A30065C"/>
    <w:rsid w:val="4A402054"/>
    <w:rsid w:val="4A467328"/>
    <w:rsid w:val="4A4E7BD9"/>
    <w:rsid w:val="4A4F4055"/>
    <w:rsid w:val="4A5F6797"/>
    <w:rsid w:val="4A621B46"/>
    <w:rsid w:val="4A631F37"/>
    <w:rsid w:val="4A6415ED"/>
    <w:rsid w:val="4A6B0B49"/>
    <w:rsid w:val="4A744B85"/>
    <w:rsid w:val="4A7D4BC0"/>
    <w:rsid w:val="4A9733AC"/>
    <w:rsid w:val="4A9D672A"/>
    <w:rsid w:val="4AA03BF8"/>
    <w:rsid w:val="4AA4569F"/>
    <w:rsid w:val="4AA70272"/>
    <w:rsid w:val="4AB04C14"/>
    <w:rsid w:val="4AB50C92"/>
    <w:rsid w:val="4AB62736"/>
    <w:rsid w:val="4ABB57AD"/>
    <w:rsid w:val="4AC211B5"/>
    <w:rsid w:val="4AD75C77"/>
    <w:rsid w:val="4ADA5594"/>
    <w:rsid w:val="4ADB4CCE"/>
    <w:rsid w:val="4ADF14F0"/>
    <w:rsid w:val="4AE13F27"/>
    <w:rsid w:val="4AE950A8"/>
    <w:rsid w:val="4B04717C"/>
    <w:rsid w:val="4B106CB3"/>
    <w:rsid w:val="4B161921"/>
    <w:rsid w:val="4B1D61E0"/>
    <w:rsid w:val="4B211D23"/>
    <w:rsid w:val="4B270DD7"/>
    <w:rsid w:val="4B3561C8"/>
    <w:rsid w:val="4B3707A2"/>
    <w:rsid w:val="4B3D217A"/>
    <w:rsid w:val="4B466B9C"/>
    <w:rsid w:val="4B466F8F"/>
    <w:rsid w:val="4B4A7B0F"/>
    <w:rsid w:val="4B501694"/>
    <w:rsid w:val="4B563BC4"/>
    <w:rsid w:val="4B581390"/>
    <w:rsid w:val="4B7172B1"/>
    <w:rsid w:val="4B720466"/>
    <w:rsid w:val="4B720950"/>
    <w:rsid w:val="4B720D89"/>
    <w:rsid w:val="4B780262"/>
    <w:rsid w:val="4B7B1E03"/>
    <w:rsid w:val="4B8B7326"/>
    <w:rsid w:val="4B8E4A8F"/>
    <w:rsid w:val="4B914869"/>
    <w:rsid w:val="4B9761E7"/>
    <w:rsid w:val="4B9B4FDC"/>
    <w:rsid w:val="4B9C6712"/>
    <w:rsid w:val="4BA2323C"/>
    <w:rsid w:val="4BA618AC"/>
    <w:rsid w:val="4BA639FE"/>
    <w:rsid w:val="4BAC0981"/>
    <w:rsid w:val="4BB23166"/>
    <w:rsid w:val="4BBD11D0"/>
    <w:rsid w:val="4BBD126C"/>
    <w:rsid w:val="4BCE1060"/>
    <w:rsid w:val="4BCE2287"/>
    <w:rsid w:val="4BD6376D"/>
    <w:rsid w:val="4BE32DC9"/>
    <w:rsid w:val="4BE41B21"/>
    <w:rsid w:val="4BE61C41"/>
    <w:rsid w:val="4BE97E84"/>
    <w:rsid w:val="4BEA35F3"/>
    <w:rsid w:val="4BED5C32"/>
    <w:rsid w:val="4BFF6A02"/>
    <w:rsid w:val="4C043685"/>
    <w:rsid w:val="4C1737E4"/>
    <w:rsid w:val="4C1D1B0C"/>
    <w:rsid w:val="4C1F68AC"/>
    <w:rsid w:val="4C201627"/>
    <w:rsid w:val="4C230CA4"/>
    <w:rsid w:val="4C2330C1"/>
    <w:rsid w:val="4C24110B"/>
    <w:rsid w:val="4C2A6C12"/>
    <w:rsid w:val="4C2E1DC6"/>
    <w:rsid w:val="4C2F32B2"/>
    <w:rsid w:val="4C3104BA"/>
    <w:rsid w:val="4C362C61"/>
    <w:rsid w:val="4C3659D3"/>
    <w:rsid w:val="4C3A2831"/>
    <w:rsid w:val="4C3A5708"/>
    <w:rsid w:val="4C434DDA"/>
    <w:rsid w:val="4C463D91"/>
    <w:rsid w:val="4C466AE3"/>
    <w:rsid w:val="4C4C5726"/>
    <w:rsid w:val="4C5C1CDA"/>
    <w:rsid w:val="4C5D5B96"/>
    <w:rsid w:val="4C662BD4"/>
    <w:rsid w:val="4C6C46C4"/>
    <w:rsid w:val="4C786F13"/>
    <w:rsid w:val="4C7E645F"/>
    <w:rsid w:val="4C87233D"/>
    <w:rsid w:val="4C946DA3"/>
    <w:rsid w:val="4C954AA8"/>
    <w:rsid w:val="4CAD078D"/>
    <w:rsid w:val="4CAF44CB"/>
    <w:rsid w:val="4CB10466"/>
    <w:rsid w:val="4CB948A4"/>
    <w:rsid w:val="4CC85238"/>
    <w:rsid w:val="4CE06131"/>
    <w:rsid w:val="4CE22ABF"/>
    <w:rsid w:val="4CE91CAF"/>
    <w:rsid w:val="4CEF283D"/>
    <w:rsid w:val="4CF14A8A"/>
    <w:rsid w:val="4CF270CC"/>
    <w:rsid w:val="4D0255ED"/>
    <w:rsid w:val="4D043DB5"/>
    <w:rsid w:val="4D0C7D03"/>
    <w:rsid w:val="4D0D7630"/>
    <w:rsid w:val="4D107C0E"/>
    <w:rsid w:val="4D162028"/>
    <w:rsid w:val="4D236E6A"/>
    <w:rsid w:val="4D237328"/>
    <w:rsid w:val="4D286839"/>
    <w:rsid w:val="4D370B39"/>
    <w:rsid w:val="4D3A759E"/>
    <w:rsid w:val="4D3F37D0"/>
    <w:rsid w:val="4D4511DA"/>
    <w:rsid w:val="4D465D5A"/>
    <w:rsid w:val="4D495787"/>
    <w:rsid w:val="4D5277C7"/>
    <w:rsid w:val="4D53567C"/>
    <w:rsid w:val="4D581933"/>
    <w:rsid w:val="4D5A192D"/>
    <w:rsid w:val="4D5D6AF1"/>
    <w:rsid w:val="4D5F2D35"/>
    <w:rsid w:val="4D6E64FB"/>
    <w:rsid w:val="4D7A26FA"/>
    <w:rsid w:val="4D8148D1"/>
    <w:rsid w:val="4D8374D9"/>
    <w:rsid w:val="4D845A98"/>
    <w:rsid w:val="4D896004"/>
    <w:rsid w:val="4D8A7D96"/>
    <w:rsid w:val="4D9944A3"/>
    <w:rsid w:val="4DA0636C"/>
    <w:rsid w:val="4DA57322"/>
    <w:rsid w:val="4DAA0DF3"/>
    <w:rsid w:val="4DB73310"/>
    <w:rsid w:val="4DD4331D"/>
    <w:rsid w:val="4DD440F8"/>
    <w:rsid w:val="4DD545F6"/>
    <w:rsid w:val="4DD72C8D"/>
    <w:rsid w:val="4DDD466C"/>
    <w:rsid w:val="4DE674B7"/>
    <w:rsid w:val="4DEA314A"/>
    <w:rsid w:val="4E1C12A6"/>
    <w:rsid w:val="4E253717"/>
    <w:rsid w:val="4E257B38"/>
    <w:rsid w:val="4E3A2ECA"/>
    <w:rsid w:val="4E414EF1"/>
    <w:rsid w:val="4E4478F5"/>
    <w:rsid w:val="4E5E4C42"/>
    <w:rsid w:val="4E630B43"/>
    <w:rsid w:val="4E654350"/>
    <w:rsid w:val="4E6D7E22"/>
    <w:rsid w:val="4E6F3D1A"/>
    <w:rsid w:val="4E6F7A75"/>
    <w:rsid w:val="4E842B9D"/>
    <w:rsid w:val="4E8B30CB"/>
    <w:rsid w:val="4E916461"/>
    <w:rsid w:val="4E961233"/>
    <w:rsid w:val="4E9A354D"/>
    <w:rsid w:val="4E9F237A"/>
    <w:rsid w:val="4EA8567F"/>
    <w:rsid w:val="4EAA5BD9"/>
    <w:rsid w:val="4EAB57D1"/>
    <w:rsid w:val="4EB128AA"/>
    <w:rsid w:val="4EB678A2"/>
    <w:rsid w:val="4ECD579A"/>
    <w:rsid w:val="4ED11871"/>
    <w:rsid w:val="4EF01529"/>
    <w:rsid w:val="4EF81FB9"/>
    <w:rsid w:val="4EF91F9C"/>
    <w:rsid w:val="4EFB21AA"/>
    <w:rsid w:val="4F07250B"/>
    <w:rsid w:val="4F080160"/>
    <w:rsid w:val="4F082BDC"/>
    <w:rsid w:val="4F0C1976"/>
    <w:rsid w:val="4F136633"/>
    <w:rsid w:val="4F212F1C"/>
    <w:rsid w:val="4F2346BC"/>
    <w:rsid w:val="4F316013"/>
    <w:rsid w:val="4F401F70"/>
    <w:rsid w:val="4F540467"/>
    <w:rsid w:val="4F542326"/>
    <w:rsid w:val="4F5A3394"/>
    <w:rsid w:val="4F60237A"/>
    <w:rsid w:val="4F6734D6"/>
    <w:rsid w:val="4F711D8C"/>
    <w:rsid w:val="4F7272EE"/>
    <w:rsid w:val="4F764BA7"/>
    <w:rsid w:val="4F774962"/>
    <w:rsid w:val="4F8739D8"/>
    <w:rsid w:val="4F8C569D"/>
    <w:rsid w:val="4F8D29FB"/>
    <w:rsid w:val="4F930D10"/>
    <w:rsid w:val="4F9B0362"/>
    <w:rsid w:val="4F9C293F"/>
    <w:rsid w:val="4F9D2EE4"/>
    <w:rsid w:val="4FA35BFA"/>
    <w:rsid w:val="4FB60ABB"/>
    <w:rsid w:val="4FB730E2"/>
    <w:rsid w:val="4FC57343"/>
    <w:rsid w:val="4FCD4F35"/>
    <w:rsid w:val="4FD66173"/>
    <w:rsid w:val="4FDE605A"/>
    <w:rsid w:val="4FEA17A4"/>
    <w:rsid w:val="4FED7699"/>
    <w:rsid w:val="4FF3137F"/>
    <w:rsid w:val="4FF61D8C"/>
    <w:rsid w:val="4FF7595A"/>
    <w:rsid w:val="4FFA11D1"/>
    <w:rsid w:val="4FFF25AD"/>
    <w:rsid w:val="5001342F"/>
    <w:rsid w:val="50053DA5"/>
    <w:rsid w:val="50080D33"/>
    <w:rsid w:val="500A6D1B"/>
    <w:rsid w:val="500C3F18"/>
    <w:rsid w:val="50100F35"/>
    <w:rsid w:val="50155574"/>
    <w:rsid w:val="50253453"/>
    <w:rsid w:val="5029034C"/>
    <w:rsid w:val="502E0197"/>
    <w:rsid w:val="50385B25"/>
    <w:rsid w:val="503D5050"/>
    <w:rsid w:val="503F28AD"/>
    <w:rsid w:val="504747C7"/>
    <w:rsid w:val="504E013A"/>
    <w:rsid w:val="50526CB8"/>
    <w:rsid w:val="50534966"/>
    <w:rsid w:val="50626CE3"/>
    <w:rsid w:val="50631663"/>
    <w:rsid w:val="506853AC"/>
    <w:rsid w:val="507D0499"/>
    <w:rsid w:val="507E1609"/>
    <w:rsid w:val="50800FEF"/>
    <w:rsid w:val="508C0061"/>
    <w:rsid w:val="508C3D3F"/>
    <w:rsid w:val="50930AC0"/>
    <w:rsid w:val="509522EF"/>
    <w:rsid w:val="50A37AC2"/>
    <w:rsid w:val="50A4281B"/>
    <w:rsid w:val="50AF7B93"/>
    <w:rsid w:val="50B80DDE"/>
    <w:rsid w:val="50BF5DCC"/>
    <w:rsid w:val="50C8299F"/>
    <w:rsid w:val="50CB196E"/>
    <w:rsid w:val="50D866FC"/>
    <w:rsid w:val="50E2562B"/>
    <w:rsid w:val="50E460E7"/>
    <w:rsid w:val="50E766D6"/>
    <w:rsid w:val="50F14DCA"/>
    <w:rsid w:val="50F25651"/>
    <w:rsid w:val="50F43E6C"/>
    <w:rsid w:val="51037227"/>
    <w:rsid w:val="512E36B4"/>
    <w:rsid w:val="512F2D2F"/>
    <w:rsid w:val="513A26C4"/>
    <w:rsid w:val="51443AAE"/>
    <w:rsid w:val="51452DFF"/>
    <w:rsid w:val="514A4FE4"/>
    <w:rsid w:val="514C2287"/>
    <w:rsid w:val="514D731E"/>
    <w:rsid w:val="5153670D"/>
    <w:rsid w:val="51584B08"/>
    <w:rsid w:val="515B3602"/>
    <w:rsid w:val="51601680"/>
    <w:rsid w:val="517235A0"/>
    <w:rsid w:val="51732B24"/>
    <w:rsid w:val="517E7B11"/>
    <w:rsid w:val="518113B4"/>
    <w:rsid w:val="518A4266"/>
    <w:rsid w:val="518A5EA7"/>
    <w:rsid w:val="518B2F3B"/>
    <w:rsid w:val="518E42AD"/>
    <w:rsid w:val="51A165F2"/>
    <w:rsid w:val="51A73E71"/>
    <w:rsid w:val="51A90126"/>
    <w:rsid w:val="51AC2F55"/>
    <w:rsid w:val="51AD129D"/>
    <w:rsid w:val="51B6414E"/>
    <w:rsid w:val="51C15080"/>
    <w:rsid w:val="51C73562"/>
    <w:rsid w:val="51C75FA3"/>
    <w:rsid w:val="51D3233B"/>
    <w:rsid w:val="51D90671"/>
    <w:rsid w:val="51DE2CB7"/>
    <w:rsid w:val="51DF609D"/>
    <w:rsid w:val="51E03143"/>
    <w:rsid w:val="51F139C2"/>
    <w:rsid w:val="51F752D2"/>
    <w:rsid w:val="51F76F8A"/>
    <w:rsid w:val="520057C7"/>
    <w:rsid w:val="52085255"/>
    <w:rsid w:val="520D6293"/>
    <w:rsid w:val="521C7F46"/>
    <w:rsid w:val="521D36E1"/>
    <w:rsid w:val="521F4054"/>
    <w:rsid w:val="52256EF0"/>
    <w:rsid w:val="522D4BCD"/>
    <w:rsid w:val="522F2C06"/>
    <w:rsid w:val="52324D58"/>
    <w:rsid w:val="52330421"/>
    <w:rsid w:val="52415059"/>
    <w:rsid w:val="524269D3"/>
    <w:rsid w:val="52497B10"/>
    <w:rsid w:val="5251703C"/>
    <w:rsid w:val="52554706"/>
    <w:rsid w:val="525A3ACB"/>
    <w:rsid w:val="526E4662"/>
    <w:rsid w:val="527279CF"/>
    <w:rsid w:val="52761148"/>
    <w:rsid w:val="527F25CA"/>
    <w:rsid w:val="52804329"/>
    <w:rsid w:val="52846D9A"/>
    <w:rsid w:val="528A1DA0"/>
    <w:rsid w:val="52952212"/>
    <w:rsid w:val="529C14B9"/>
    <w:rsid w:val="529E13EA"/>
    <w:rsid w:val="52A3179F"/>
    <w:rsid w:val="52A32F95"/>
    <w:rsid w:val="52A60EE1"/>
    <w:rsid w:val="52B5110F"/>
    <w:rsid w:val="52BD413D"/>
    <w:rsid w:val="52BE17DD"/>
    <w:rsid w:val="52BE796F"/>
    <w:rsid w:val="52C25514"/>
    <w:rsid w:val="52C7791A"/>
    <w:rsid w:val="52D236CA"/>
    <w:rsid w:val="52D7132B"/>
    <w:rsid w:val="52D724AD"/>
    <w:rsid w:val="52D7580D"/>
    <w:rsid w:val="52D92FD2"/>
    <w:rsid w:val="52E0143F"/>
    <w:rsid w:val="52EC7307"/>
    <w:rsid w:val="52EF10B8"/>
    <w:rsid w:val="52EF131B"/>
    <w:rsid w:val="52F16240"/>
    <w:rsid w:val="52F51168"/>
    <w:rsid w:val="52FF02BD"/>
    <w:rsid w:val="53126D3D"/>
    <w:rsid w:val="53180662"/>
    <w:rsid w:val="532460AD"/>
    <w:rsid w:val="533B5484"/>
    <w:rsid w:val="533D380D"/>
    <w:rsid w:val="53436679"/>
    <w:rsid w:val="53453C21"/>
    <w:rsid w:val="534654A9"/>
    <w:rsid w:val="535229DD"/>
    <w:rsid w:val="535A2372"/>
    <w:rsid w:val="536747EE"/>
    <w:rsid w:val="537C79EB"/>
    <w:rsid w:val="53841473"/>
    <w:rsid w:val="53926D02"/>
    <w:rsid w:val="539922CC"/>
    <w:rsid w:val="539C45A7"/>
    <w:rsid w:val="53A02CA2"/>
    <w:rsid w:val="53A51ADA"/>
    <w:rsid w:val="53A97EE0"/>
    <w:rsid w:val="53AB5902"/>
    <w:rsid w:val="53B21EE0"/>
    <w:rsid w:val="53CB773C"/>
    <w:rsid w:val="53CE4096"/>
    <w:rsid w:val="53D76884"/>
    <w:rsid w:val="53DB0536"/>
    <w:rsid w:val="53DE237E"/>
    <w:rsid w:val="53FA5411"/>
    <w:rsid w:val="53FF0DCE"/>
    <w:rsid w:val="54033583"/>
    <w:rsid w:val="54087C8E"/>
    <w:rsid w:val="5411207E"/>
    <w:rsid w:val="541767DF"/>
    <w:rsid w:val="54185268"/>
    <w:rsid w:val="541E2BC0"/>
    <w:rsid w:val="54274B1B"/>
    <w:rsid w:val="54276AEB"/>
    <w:rsid w:val="5429216B"/>
    <w:rsid w:val="542D6EC2"/>
    <w:rsid w:val="54360D71"/>
    <w:rsid w:val="544339F2"/>
    <w:rsid w:val="545278C5"/>
    <w:rsid w:val="545641A6"/>
    <w:rsid w:val="545718AE"/>
    <w:rsid w:val="54590503"/>
    <w:rsid w:val="545F2727"/>
    <w:rsid w:val="54825E19"/>
    <w:rsid w:val="54882F81"/>
    <w:rsid w:val="549334B3"/>
    <w:rsid w:val="54C50C07"/>
    <w:rsid w:val="54C51D7E"/>
    <w:rsid w:val="54C80912"/>
    <w:rsid w:val="54CB0F68"/>
    <w:rsid w:val="54CE543B"/>
    <w:rsid w:val="54D44F57"/>
    <w:rsid w:val="54DC0C75"/>
    <w:rsid w:val="54ED5F15"/>
    <w:rsid w:val="54F569E4"/>
    <w:rsid w:val="55003DA8"/>
    <w:rsid w:val="55007818"/>
    <w:rsid w:val="55031841"/>
    <w:rsid w:val="550574E9"/>
    <w:rsid w:val="55090799"/>
    <w:rsid w:val="550E415F"/>
    <w:rsid w:val="551170F4"/>
    <w:rsid w:val="55117B8E"/>
    <w:rsid w:val="551428D3"/>
    <w:rsid w:val="55236D3E"/>
    <w:rsid w:val="5528331D"/>
    <w:rsid w:val="55285B19"/>
    <w:rsid w:val="552E5D7C"/>
    <w:rsid w:val="553A2B1A"/>
    <w:rsid w:val="553E236E"/>
    <w:rsid w:val="554F3C3C"/>
    <w:rsid w:val="554F7167"/>
    <w:rsid w:val="55605997"/>
    <w:rsid w:val="5569176F"/>
    <w:rsid w:val="55717731"/>
    <w:rsid w:val="55753A6A"/>
    <w:rsid w:val="557639B4"/>
    <w:rsid w:val="557B485B"/>
    <w:rsid w:val="55897A3C"/>
    <w:rsid w:val="55937699"/>
    <w:rsid w:val="559C1ECE"/>
    <w:rsid w:val="55A517AD"/>
    <w:rsid w:val="55B56B1A"/>
    <w:rsid w:val="55B91339"/>
    <w:rsid w:val="55B931F8"/>
    <w:rsid w:val="55B97793"/>
    <w:rsid w:val="55D1005C"/>
    <w:rsid w:val="55D35060"/>
    <w:rsid w:val="55D452A4"/>
    <w:rsid w:val="55E9348B"/>
    <w:rsid w:val="55F35340"/>
    <w:rsid w:val="55F50DF2"/>
    <w:rsid w:val="55FA7044"/>
    <w:rsid w:val="5607666B"/>
    <w:rsid w:val="560A41C3"/>
    <w:rsid w:val="560C536E"/>
    <w:rsid w:val="561658DB"/>
    <w:rsid w:val="561A4CC4"/>
    <w:rsid w:val="563558E0"/>
    <w:rsid w:val="563D6BD3"/>
    <w:rsid w:val="56506C7C"/>
    <w:rsid w:val="565156C2"/>
    <w:rsid w:val="565360E3"/>
    <w:rsid w:val="56571F51"/>
    <w:rsid w:val="565B570C"/>
    <w:rsid w:val="56643CCC"/>
    <w:rsid w:val="56644A0F"/>
    <w:rsid w:val="56713777"/>
    <w:rsid w:val="56724DB3"/>
    <w:rsid w:val="567C1D7E"/>
    <w:rsid w:val="567D422C"/>
    <w:rsid w:val="567D684D"/>
    <w:rsid w:val="567E48F5"/>
    <w:rsid w:val="56804846"/>
    <w:rsid w:val="56831E45"/>
    <w:rsid w:val="56891CFE"/>
    <w:rsid w:val="56914150"/>
    <w:rsid w:val="56917CCC"/>
    <w:rsid w:val="56952945"/>
    <w:rsid w:val="56AE5661"/>
    <w:rsid w:val="56B532A8"/>
    <w:rsid w:val="56BF5BBF"/>
    <w:rsid w:val="56C06D45"/>
    <w:rsid w:val="56C428EA"/>
    <w:rsid w:val="56CC2CF3"/>
    <w:rsid w:val="56CE7DC3"/>
    <w:rsid w:val="56CE7EAA"/>
    <w:rsid w:val="56D33E50"/>
    <w:rsid w:val="56D753EB"/>
    <w:rsid w:val="56DC70A8"/>
    <w:rsid w:val="56E50B73"/>
    <w:rsid w:val="56F7310F"/>
    <w:rsid w:val="56FF0CC0"/>
    <w:rsid w:val="57086926"/>
    <w:rsid w:val="570F3E75"/>
    <w:rsid w:val="57143878"/>
    <w:rsid w:val="57153F91"/>
    <w:rsid w:val="57174E35"/>
    <w:rsid w:val="57194619"/>
    <w:rsid w:val="57232E54"/>
    <w:rsid w:val="57243394"/>
    <w:rsid w:val="57260A45"/>
    <w:rsid w:val="5728063B"/>
    <w:rsid w:val="572E601C"/>
    <w:rsid w:val="57340CE8"/>
    <w:rsid w:val="57341E00"/>
    <w:rsid w:val="573B0AAE"/>
    <w:rsid w:val="57406449"/>
    <w:rsid w:val="57414296"/>
    <w:rsid w:val="574A65CE"/>
    <w:rsid w:val="57530497"/>
    <w:rsid w:val="575320FC"/>
    <w:rsid w:val="57541614"/>
    <w:rsid w:val="57606871"/>
    <w:rsid w:val="57653607"/>
    <w:rsid w:val="576E4D53"/>
    <w:rsid w:val="57780DE6"/>
    <w:rsid w:val="57886BB0"/>
    <w:rsid w:val="578955A8"/>
    <w:rsid w:val="578F1130"/>
    <w:rsid w:val="57914DF5"/>
    <w:rsid w:val="579E316B"/>
    <w:rsid w:val="579F2E19"/>
    <w:rsid w:val="57A07DDC"/>
    <w:rsid w:val="57AF19D1"/>
    <w:rsid w:val="57B31DCE"/>
    <w:rsid w:val="57B62F5F"/>
    <w:rsid w:val="57B85F2F"/>
    <w:rsid w:val="57BF7E46"/>
    <w:rsid w:val="57CF3774"/>
    <w:rsid w:val="57CF6BCC"/>
    <w:rsid w:val="57D67215"/>
    <w:rsid w:val="57D7227B"/>
    <w:rsid w:val="57E1162E"/>
    <w:rsid w:val="57E136DC"/>
    <w:rsid w:val="57E36310"/>
    <w:rsid w:val="57EA5A64"/>
    <w:rsid w:val="57F31681"/>
    <w:rsid w:val="57FA29DE"/>
    <w:rsid w:val="57FC67E0"/>
    <w:rsid w:val="57FE7CCE"/>
    <w:rsid w:val="58013BBC"/>
    <w:rsid w:val="58053991"/>
    <w:rsid w:val="580C76E0"/>
    <w:rsid w:val="58101A62"/>
    <w:rsid w:val="581F7A7F"/>
    <w:rsid w:val="582B3513"/>
    <w:rsid w:val="58313D47"/>
    <w:rsid w:val="58330CB2"/>
    <w:rsid w:val="58351BE2"/>
    <w:rsid w:val="583D4F11"/>
    <w:rsid w:val="584A3255"/>
    <w:rsid w:val="584A5062"/>
    <w:rsid w:val="58775338"/>
    <w:rsid w:val="587E4A38"/>
    <w:rsid w:val="587F54C0"/>
    <w:rsid w:val="588402EF"/>
    <w:rsid w:val="58852565"/>
    <w:rsid w:val="58886A42"/>
    <w:rsid w:val="588A74DB"/>
    <w:rsid w:val="588D7A90"/>
    <w:rsid w:val="588F6565"/>
    <w:rsid w:val="589233BC"/>
    <w:rsid w:val="58A8723E"/>
    <w:rsid w:val="58A942D3"/>
    <w:rsid w:val="58AB3663"/>
    <w:rsid w:val="58B34395"/>
    <w:rsid w:val="58B5416B"/>
    <w:rsid w:val="58B969E0"/>
    <w:rsid w:val="58C323F9"/>
    <w:rsid w:val="58C6514A"/>
    <w:rsid w:val="58C80B98"/>
    <w:rsid w:val="58CC510B"/>
    <w:rsid w:val="58DA0242"/>
    <w:rsid w:val="58DB5AD4"/>
    <w:rsid w:val="58DF7E13"/>
    <w:rsid w:val="58ED21AE"/>
    <w:rsid w:val="58EE4758"/>
    <w:rsid w:val="58F06BB5"/>
    <w:rsid w:val="58F45061"/>
    <w:rsid w:val="58F55EF1"/>
    <w:rsid w:val="5902410F"/>
    <w:rsid w:val="59092E96"/>
    <w:rsid w:val="591375FA"/>
    <w:rsid w:val="5923653D"/>
    <w:rsid w:val="59265614"/>
    <w:rsid w:val="59341250"/>
    <w:rsid w:val="593C1EF1"/>
    <w:rsid w:val="593F59FE"/>
    <w:rsid w:val="594713B3"/>
    <w:rsid w:val="59556AA4"/>
    <w:rsid w:val="5959721F"/>
    <w:rsid w:val="59597EA9"/>
    <w:rsid w:val="596A7C90"/>
    <w:rsid w:val="597130B8"/>
    <w:rsid w:val="597253A4"/>
    <w:rsid w:val="59745F4F"/>
    <w:rsid w:val="598712B2"/>
    <w:rsid w:val="598A1E02"/>
    <w:rsid w:val="598B2764"/>
    <w:rsid w:val="598D69EE"/>
    <w:rsid w:val="5991495C"/>
    <w:rsid w:val="5993494E"/>
    <w:rsid w:val="599B6552"/>
    <w:rsid w:val="59A71131"/>
    <w:rsid w:val="59A91B3C"/>
    <w:rsid w:val="59B54C8C"/>
    <w:rsid w:val="59B8188C"/>
    <w:rsid w:val="59C951F2"/>
    <w:rsid w:val="59DA7173"/>
    <w:rsid w:val="59DA7F57"/>
    <w:rsid w:val="59E1484C"/>
    <w:rsid w:val="59EC4B48"/>
    <w:rsid w:val="59F30287"/>
    <w:rsid w:val="59F43024"/>
    <w:rsid w:val="59F809D9"/>
    <w:rsid w:val="59F874E1"/>
    <w:rsid w:val="59FA0D7E"/>
    <w:rsid w:val="5A074DFF"/>
    <w:rsid w:val="5A081719"/>
    <w:rsid w:val="5A082B65"/>
    <w:rsid w:val="5A0C3117"/>
    <w:rsid w:val="5A0C6465"/>
    <w:rsid w:val="5A0D72FA"/>
    <w:rsid w:val="5A163DD5"/>
    <w:rsid w:val="5A1C7256"/>
    <w:rsid w:val="5A262030"/>
    <w:rsid w:val="5A2F20D7"/>
    <w:rsid w:val="5A32028C"/>
    <w:rsid w:val="5A3809BF"/>
    <w:rsid w:val="5A3960F8"/>
    <w:rsid w:val="5A401FC0"/>
    <w:rsid w:val="5A495C18"/>
    <w:rsid w:val="5A4F1B6B"/>
    <w:rsid w:val="5A6654BF"/>
    <w:rsid w:val="5A67002F"/>
    <w:rsid w:val="5A6D364B"/>
    <w:rsid w:val="5A714853"/>
    <w:rsid w:val="5A727E0B"/>
    <w:rsid w:val="5A7444A0"/>
    <w:rsid w:val="5A7A032C"/>
    <w:rsid w:val="5A7C1BF0"/>
    <w:rsid w:val="5A810883"/>
    <w:rsid w:val="5A865989"/>
    <w:rsid w:val="5A88054C"/>
    <w:rsid w:val="5A9E20B8"/>
    <w:rsid w:val="5A9E7424"/>
    <w:rsid w:val="5AA1679C"/>
    <w:rsid w:val="5AA528B7"/>
    <w:rsid w:val="5AAD570D"/>
    <w:rsid w:val="5AD1226D"/>
    <w:rsid w:val="5AD42692"/>
    <w:rsid w:val="5AD91ADC"/>
    <w:rsid w:val="5ADC3F44"/>
    <w:rsid w:val="5AF23D4A"/>
    <w:rsid w:val="5AFF37D5"/>
    <w:rsid w:val="5AFF5F4A"/>
    <w:rsid w:val="5B001B30"/>
    <w:rsid w:val="5B007E9E"/>
    <w:rsid w:val="5B0A1C6C"/>
    <w:rsid w:val="5B0F2FCC"/>
    <w:rsid w:val="5B186980"/>
    <w:rsid w:val="5B1A76D0"/>
    <w:rsid w:val="5B1B3CEF"/>
    <w:rsid w:val="5B2A257B"/>
    <w:rsid w:val="5B2F6E4B"/>
    <w:rsid w:val="5B3327F1"/>
    <w:rsid w:val="5B355DBA"/>
    <w:rsid w:val="5B3F04D0"/>
    <w:rsid w:val="5B414251"/>
    <w:rsid w:val="5B4176F2"/>
    <w:rsid w:val="5B493078"/>
    <w:rsid w:val="5B590B08"/>
    <w:rsid w:val="5B595978"/>
    <w:rsid w:val="5B6A59C9"/>
    <w:rsid w:val="5B6C1AB5"/>
    <w:rsid w:val="5B70353F"/>
    <w:rsid w:val="5B717EA4"/>
    <w:rsid w:val="5B730F17"/>
    <w:rsid w:val="5B8D569A"/>
    <w:rsid w:val="5B9E013B"/>
    <w:rsid w:val="5BAD1FBF"/>
    <w:rsid w:val="5BB64AEE"/>
    <w:rsid w:val="5BB74588"/>
    <w:rsid w:val="5BD53A1E"/>
    <w:rsid w:val="5BD645DB"/>
    <w:rsid w:val="5BDC741B"/>
    <w:rsid w:val="5BF01643"/>
    <w:rsid w:val="5C06176C"/>
    <w:rsid w:val="5C0E043E"/>
    <w:rsid w:val="5C104619"/>
    <w:rsid w:val="5C1F6C07"/>
    <w:rsid w:val="5C242C04"/>
    <w:rsid w:val="5C2A5BCE"/>
    <w:rsid w:val="5C366178"/>
    <w:rsid w:val="5C3E34A6"/>
    <w:rsid w:val="5C3F6B40"/>
    <w:rsid w:val="5C4A0996"/>
    <w:rsid w:val="5C576F62"/>
    <w:rsid w:val="5C585D8A"/>
    <w:rsid w:val="5C6A146B"/>
    <w:rsid w:val="5C732430"/>
    <w:rsid w:val="5C777ECB"/>
    <w:rsid w:val="5C7B1DAB"/>
    <w:rsid w:val="5C8619DA"/>
    <w:rsid w:val="5C8953B3"/>
    <w:rsid w:val="5C9A7316"/>
    <w:rsid w:val="5CA74239"/>
    <w:rsid w:val="5CAA5098"/>
    <w:rsid w:val="5CAB0418"/>
    <w:rsid w:val="5CAE68CB"/>
    <w:rsid w:val="5CBC0B6C"/>
    <w:rsid w:val="5CBC683C"/>
    <w:rsid w:val="5CC16D8A"/>
    <w:rsid w:val="5CC23B7F"/>
    <w:rsid w:val="5CC5676D"/>
    <w:rsid w:val="5CC60967"/>
    <w:rsid w:val="5CC641AE"/>
    <w:rsid w:val="5CCF2DAA"/>
    <w:rsid w:val="5CD37271"/>
    <w:rsid w:val="5CE23A2E"/>
    <w:rsid w:val="5CE2536F"/>
    <w:rsid w:val="5CEA5BA6"/>
    <w:rsid w:val="5CF05733"/>
    <w:rsid w:val="5D0019A2"/>
    <w:rsid w:val="5D032095"/>
    <w:rsid w:val="5D082796"/>
    <w:rsid w:val="5D086057"/>
    <w:rsid w:val="5D094F2C"/>
    <w:rsid w:val="5D0C0F9A"/>
    <w:rsid w:val="5D130BB7"/>
    <w:rsid w:val="5D1A1074"/>
    <w:rsid w:val="5D1A199A"/>
    <w:rsid w:val="5D2342B4"/>
    <w:rsid w:val="5D2E3846"/>
    <w:rsid w:val="5D37639F"/>
    <w:rsid w:val="5D3924FF"/>
    <w:rsid w:val="5D3A18BA"/>
    <w:rsid w:val="5D3D2DB0"/>
    <w:rsid w:val="5D4406E8"/>
    <w:rsid w:val="5D4733F0"/>
    <w:rsid w:val="5D474C45"/>
    <w:rsid w:val="5D4854C8"/>
    <w:rsid w:val="5D4A2D14"/>
    <w:rsid w:val="5D4C022A"/>
    <w:rsid w:val="5D501ECC"/>
    <w:rsid w:val="5D510032"/>
    <w:rsid w:val="5D600237"/>
    <w:rsid w:val="5D6B74D4"/>
    <w:rsid w:val="5D7A5041"/>
    <w:rsid w:val="5D7C7188"/>
    <w:rsid w:val="5D7C7F33"/>
    <w:rsid w:val="5D962716"/>
    <w:rsid w:val="5DA05056"/>
    <w:rsid w:val="5DA3441B"/>
    <w:rsid w:val="5DA91208"/>
    <w:rsid w:val="5DAC6425"/>
    <w:rsid w:val="5DBF06BC"/>
    <w:rsid w:val="5DC568E5"/>
    <w:rsid w:val="5DC66674"/>
    <w:rsid w:val="5DD8747F"/>
    <w:rsid w:val="5DDC5266"/>
    <w:rsid w:val="5DDD0A09"/>
    <w:rsid w:val="5DDF3122"/>
    <w:rsid w:val="5DF02F6C"/>
    <w:rsid w:val="5DF24C1C"/>
    <w:rsid w:val="5DF77597"/>
    <w:rsid w:val="5E0960A9"/>
    <w:rsid w:val="5E0E1209"/>
    <w:rsid w:val="5E0F3469"/>
    <w:rsid w:val="5E0F7296"/>
    <w:rsid w:val="5E121C4F"/>
    <w:rsid w:val="5E1636E9"/>
    <w:rsid w:val="5E2C7F23"/>
    <w:rsid w:val="5E3D7836"/>
    <w:rsid w:val="5E4703C8"/>
    <w:rsid w:val="5E497CF5"/>
    <w:rsid w:val="5E5B745B"/>
    <w:rsid w:val="5E5E1988"/>
    <w:rsid w:val="5E7235E7"/>
    <w:rsid w:val="5E80429D"/>
    <w:rsid w:val="5E8343A9"/>
    <w:rsid w:val="5E85578A"/>
    <w:rsid w:val="5E891E94"/>
    <w:rsid w:val="5E8A6EF0"/>
    <w:rsid w:val="5E907C95"/>
    <w:rsid w:val="5E942C4A"/>
    <w:rsid w:val="5E9C5420"/>
    <w:rsid w:val="5EA3388A"/>
    <w:rsid w:val="5EDC63AF"/>
    <w:rsid w:val="5EED03B6"/>
    <w:rsid w:val="5F001CC5"/>
    <w:rsid w:val="5F067324"/>
    <w:rsid w:val="5F134995"/>
    <w:rsid w:val="5F134D07"/>
    <w:rsid w:val="5F183474"/>
    <w:rsid w:val="5F2643A0"/>
    <w:rsid w:val="5F2D073A"/>
    <w:rsid w:val="5F364C7B"/>
    <w:rsid w:val="5F3B25CC"/>
    <w:rsid w:val="5F403BC1"/>
    <w:rsid w:val="5F4A10B9"/>
    <w:rsid w:val="5F4B5FFB"/>
    <w:rsid w:val="5F4F311F"/>
    <w:rsid w:val="5F5F476C"/>
    <w:rsid w:val="5F6103D9"/>
    <w:rsid w:val="5F665C04"/>
    <w:rsid w:val="5F6A047D"/>
    <w:rsid w:val="5F6E1101"/>
    <w:rsid w:val="5F7019F5"/>
    <w:rsid w:val="5F7261C9"/>
    <w:rsid w:val="5F74492E"/>
    <w:rsid w:val="5F7C4237"/>
    <w:rsid w:val="5F7C6BF5"/>
    <w:rsid w:val="5F820AD0"/>
    <w:rsid w:val="5F997C37"/>
    <w:rsid w:val="5F997E70"/>
    <w:rsid w:val="5FA27562"/>
    <w:rsid w:val="5FAA134B"/>
    <w:rsid w:val="5FAE03D3"/>
    <w:rsid w:val="5FAE3733"/>
    <w:rsid w:val="5FAE7B4E"/>
    <w:rsid w:val="5FAF4152"/>
    <w:rsid w:val="5FB33A68"/>
    <w:rsid w:val="5FB912CB"/>
    <w:rsid w:val="5FC17862"/>
    <w:rsid w:val="5FC22A75"/>
    <w:rsid w:val="5FDC7615"/>
    <w:rsid w:val="5FE57CB0"/>
    <w:rsid w:val="5FE80803"/>
    <w:rsid w:val="5FEA074F"/>
    <w:rsid w:val="5FF4205B"/>
    <w:rsid w:val="5FFF60AF"/>
    <w:rsid w:val="60061C3C"/>
    <w:rsid w:val="600C67DF"/>
    <w:rsid w:val="601431CF"/>
    <w:rsid w:val="601F7584"/>
    <w:rsid w:val="602336B5"/>
    <w:rsid w:val="602E6E26"/>
    <w:rsid w:val="60315512"/>
    <w:rsid w:val="60383A03"/>
    <w:rsid w:val="60391C8D"/>
    <w:rsid w:val="60522285"/>
    <w:rsid w:val="60524708"/>
    <w:rsid w:val="60577DD0"/>
    <w:rsid w:val="60681AA9"/>
    <w:rsid w:val="606F3573"/>
    <w:rsid w:val="607B27D5"/>
    <w:rsid w:val="60820DBC"/>
    <w:rsid w:val="60870ABA"/>
    <w:rsid w:val="60964022"/>
    <w:rsid w:val="609B1DC0"/>
    <w:rsid w:val="609B67D6"/>
    <w:rsid w:val="60A31B4A"/>
    <w:rsid w:val="60A506BD"/>
    <w:rsid w:val="60AF28B6"/>
    <w:rsid w:val="60B02258"/>
    <w:rsid w:val="60B16DF3"/>
    <w:rsid w:val="60B212F4"/>
    <w:rsid w:val="60B2454A"/>
    <w:rsid w:val="60B261CE"/>
    <w:rsid w:val="60B47AD8"/>
    <w:rsid w:val="60B952D0"/>
    <w:rsid w:val="60B9646D"/>
    <w:rsid w:val="60BA0792"/>
    <w:rsid w:val="60C53507"/>
    <w:rsid w:val="60CD64BC"/>
    <w:rsid w:val="60CF6CFE"/>
    <w:rsid w:val="60D54AE5"/>
    <w:rsid w:val="60E76E36"/>
    <w:rsid w:val="60E804B7"/>
    <w:rsid w:val="60EA1BD5"/>
    <w:rsid w:val="60EF5EED"/>
    <w:rsid w:val="60F17CF0"/>
    <w:rsid w:val="60FC628B"/>
    <w:rsid w:val="60FE5B7C"/>
    <w:rsid w:val="610244A5"/>
    <w:rsid w:val="61035540"/>
    <w:rsid w:val="61051142"/>
    <w:rsid w:val="61081CA6"/>
    <w:rsid w:val="61255B17"/>
    <w:rsid w:val="61257363"/>
    <w:rsid w:val="612B3D51"/>
    <w:rsid w:val="61304BA3"/>
    <w:rsid w:val="61371BA7"/>
    <w:rsid w:val="613D1D2F"/>
    <w:rsid w:val="61426B07"/>
    <w:rsid w:val="61452779"/>
    <w:rsid w:val="614556BF"/>
    <w:rsid w:val="614B7EEE"/>
    <w:rsid w:val="616A56B2"/>
    <w:rsid w:val="617311DE"/>
    <w:rsid w:val="617349E0"/>
    <w:rsid w:val="61742DA1"/>
    <w:rsid w:val="617D268A"/>
    <w:rsid w:val="617D3E42"/>
    <w:rsid w:val="617D68E0"/>
    <w:rsid w:val="617D69D1"/>
    <w:rsid w:val="61806768"/>
    <w:rsid w:val="619D3852"/>
    <w:rsid w:val="61A53BB4"/>
    <w:rsid w:val="61A574CF"/>
    <w:rsid w:val="61BF49CA"/>
    <w:rsid w:val="61C3010C"/>
    <w:rsid w:val="61D05F85"/>
    <w:rsid w:val="61F10396"/>
    <w:rsid w:val="61F31BD0"/>
    <w:rsid w:val="61F36BAC"/>
    <w:rsid w:val="62000F68"/>
    <w:rsid w:val="620561B1"/>
    <w:rsid w:val="62174235"/>
    <w:rsid w:val="621F2AB0"/>
    <w:rsid w:val="62304EC4"/>
    <w:rsid w:val="62311BAF"/>
    <w:rsid w:val="623160B1"/>
    <w:rsid w:val="623C7A6D"/>
    <w:rsid w:val="6240174B"/>
    <w:rsid w:val="62426A94"/>
    <w:rsid w:val="62544DD0"/>
    <w:rsid w:val="62595C96"/>
    <w:rsid w:val="626B6F06"/>
    <w:rsid w:val="626C2923"/>
    <w:rsid w:val="62704093"/>
    <w:rsid w:val="62837290"/>
    <w:rsid w:val="62894DAF"/>
    <w:rsid w:val="629B7018"/>
    <w:rsid w:val="629B7D3B"/>
    <w:rsid w:val="629C5F5A"/>
    <w:rsid w:val="62A314C3"/>
    <w:rsid w:val="62A60A9D"/>
    <w:rsid w:val="62AA6DEF"/>
    <w:rsid w:val="62B37623"/>
    <w:rsid w:val="62C81E9D"/>
    <w:rsid w:val="62CA4525"/>
    <w:rsid w:val="62CC0504"/>
    <w:rsid w:val="62CD03FB"/>
    <w:rsid w:val="62CE43C6"/>
    <w:rsid w:val="62E53346"/>
    <w:rsid w:val="62EB3590"/>
    <w:rsid w:val="63070DEF"/>
    <w:rsid w:val="630969F4"/>
    <w:rsid w:val="631508AB"/>
    <w:rsid w:val="631A5259"/>
    <w:rsid w:val="631B2DAE"/>
    <w:rsid w:val="63213C2F"/>
    <w:rsid w:val="6329551F"/>
    <w:rsid w:val="632D5E95"/>
    <w:rsid w:val="63346C99"/>
    <w:rsid w:val="633B34A5"/>
    <w:rsid w:val="633E16DF"/>
    <w:rsid w:val="63424833"/>
    <w:rsid w:val="63482832"/>
    <w:rsid w:val="634B4BF6"/>
    <w:rsid w:val="6351544B"/>
    <w:rsid w:val="635A2EE1"/>
    <w:rsid w:val="63620299"/>
    <w:rsid w:val="63696828"/>
    <w:rsid w:val="638031D5"/>
    <w:rsid w:val="6385776F"/>
    <w:rsid w:val="639D5566"/>
    <w:rsid w:val="63AA04BA"/>
    <w:rsid w:val="63B56425"/>
    <w:rsid w:val="63BD3550"/>
    <w:rsid w:val="63D30301"/>
    <w:rsid w:val="63DA56FC"/>
    <w:rsid w:val="63F06728"/>
    <w:rsid w:val="63FA36F9"/>
    <w:rsid w:val="63FB0B83"/>
    <w:rsid w:val="640C1DF9"/>
    <w:rsid w:val="64154883"/>
    <w:rsid w:val="641A431C"/>
    <w:rsid w:val="642C5EC8"/>
    <w:rsid w:val="643160B0"/>
    <w:rsid w:val="64373B90"/>
    <w:rsid w:val="643B2280"/>
    <w:rsid w:val="643F58C0"/>
    <w:rsid w:val="644F0A0D"/>
    <w:rsid w:val="64551964"/>
    <w:rsid w:val="64577629"/>
    <w:rsid w:val="6458397B"/>
    <w:rsid w:val="646061DE"/>
    <w:rsid w:val="646110EB"/>
    <w:rsid w:val="64650A91"/>
    <w:rsid w:val="64736837"/>
    <w:rsid w:val="647A1DAB"/>
    <w:rsid w:val="647F6802"/>
    <w:rsid w:val="648165A4"/>
    <w:rsid w:val="648A5A4B"/>
    <w:rsid w:val="649D35FB"/>
    <w:rsid w:val="649E026B"/>
    <w:rsid w:val="649E3235"/>
    <w:rsid w:val="649E3358"/>
    <w:rsid w:val="64A51753"/>
    <w:rsid w:val="64B93CC3"/>
    <w:rsid w:val="64BD74C0"/>
    <w:rsid w:val="64C75D1E"/>
    <w:rsid w:val="64D01F29"/>
    <w:rsid w:val="64DE6C15"/>
    <w:rsid w:val="64F076E5"/>
    <w:rsid w:val="64F30C78"/>
    <w:rsid w:val="65052CD5"/>
    <w:rsid w:val="650A3F20"/>
    <w:rsid w:val="651A0A1B"/>
    <w:rsid w:val="651E1A58"/>
    <w:rsid w:val="65211B0E"/>
    <w:rsid w:val="652250B0"/>
    <w:rsid w:val="6538251C"/>
    <w:rsid w:val="653E2783"/>
    <w:rsid w:val="65480C2E"/>
    <w:rsid w:val="654A3BA6"/>
    <w:rsid w:val="654B5434"/>
    <w:rsid w:val="654F251C"/>
    <w:rsid w:val="6557756B"/>
    <w:rsid w:val="65631573"/>
    <w:rsid w:val="65664FC0"/>
    <w:rsid w:val="656C04DE"/>
    <w:rsid w:val="657506B3"/>
    <w:rsid w:val="65806B55"/>
    <w:rsid w:val="65907C84"/>
    <w:rsid w:val="65936BDC"/>
    <w:rsid w:val="65956AB6"/>
    <w:rsid w:val="65985603"/>
    <w:rsid w:val="659E1372"/>
    <w:rsid w:val="65A96F99"/>
    <w:rsid w:val="65AE25FB"/>
    <w:rsid w:val="65B16922"/>
    <w:rsid w:val="65B25CA0"/>
    <w:rsid w:val="65B31280"/>
    <w:rsid w:val="65BF3513"/>
    <w:rsid w:val="65C3087E"/>
    <w:rsid w:val="65C83B1E"/>
    <w:rsid w:val="65CC0A18"/>
    <w:rsid w:val="65CD5F8D"/>
    <w:rsid w:val="65D1358F"/>
    <w:rsid w:val="65D72D2E"/>
    <w:rsid w:val="65EA5149"/>
    <w:rsid w:val="65EE231A"/>
    <w:rsid w:val="65F139EB"/>
    <w:rsid w:val="65F15F4F"/>
    <w:rsid w:val="66063DEB"/>
    <w:rsid w:val="660C2AD0"/>
    <w:rsid w:val="66254B28"/>
    <w:rsid w:val="66272868"/>
    <w:rsid w:val="66282BF3"/>
    <w:rsid w:val="6635209A"/>
    <w:rsid w:val="66383546"/>
    <w:rsid w:val="663B74D6"/>
    <w:rsid w:val="6646278F"/>
    <w:rsid w:val="664668D7"/>
    <w:rsid w:val="664D080B"/>
    <w:rsid w:val="664D4F1A"/>
    <w:rsid w:val="664E58E8"/>
    <w:rsid w:val="664F4177"/>
    <w:rsid w:val="66606CED"/>
    <w:rsid w:val="666304B5"/>
    <w:rsid w:val="666B38BA"/>
    <w:rsid w:val="6670009E"/>
    <w:rsid w:val="66713336"/>
    <w:rsid w:val="667629D7"/>
    <w:rsid w:val="6681420F"/>
    <w:rsid w:val="66822739"/>
    <w:rsid w:val="668A7B71"/>
    <w:rsid w:val="66942BB3"/>
    <w:rsid w:val="669542FB"/>
    <w:rsid w:val="669E00C3"/>
    <w:rsid w:val="66A20C08"/>
    <w:rsid w:val="66A926AA"/>
    <w:rsid w:val="66AD392E"/>
    <w:rsid w:val="66B363C1"/>
    <w:rsid w:val="66B77EEA"/>
    <w:rsid w:val="66C439AD"/>
    <w:rsid w:val="66DE2B13"/>
    <w:rsid w:val="66E40BB9"/>
    <w:rsid w:val="66E72635"/>
    <w:rsid w:val="66E73D80"/>
    <w:rsid w:val="66E86013"/>
    <w:rsid w:val="66F6596B"/>
    <w:rsid w:val="66F876A8"/>
    <w:rsid w:val="67044EAC"/>
    <w:rsid w:val="670D2E97"/>
    <w:rsid w:val="670E4EA3"/>
    <w:rsid w:val="67272AA2"/>
    <w:rsid w:val="672F649F"/>
    <w:rsid w:val="673E043F"/>
    <w:rsid w:val="674560C3"/>
    <w:rsid w:val="67471170"/>
    <w:rsid w:val="67482EAB"/>
    <w:rsid w:val="674A5321"/>
    <w:rsid w:val="674B4BB3"/>
    <w:rsid w:val="674C5BA2"/>
    <w:rsid w:val="674C7A7A"/>
    <w:rsid w:val="67536E4C"/>
    <w:rsid w:val="676166A9"/>
    <w:rsid w:val="67683102"/>
    <w:rsid w:val="67692CA7"/>
    <w:rsid w:val="67716FBA"/>
    <w:rsid w:val="67717386"/>
    <w:rsid w:val="677A3513"/>
    <w:rsid w:val="677C7619"/>
    <w:rsid w:val="677D2A0E"/>
    <w:rsid w:val="67883A13"/>
    <w:rsid w:val="678C0394"/>
    <w:rsid w:val="678D1B6C"/>
    <w:rsid w:val="67904501"/>
    <w:rsid w:val="67A20798"/>
    <w:rsid w:val="67A254D4"/>
    <w:rsid w:val="67A337EB"/>
    <w:rsid w:val="67AA3290"/>
    <w:rsid w:val="67B32F20"/>
    <w:rsid w:val="67B65369"/>
    <w:rsid w:val="67C43A69"/>
    <w:rsid w:val="67CB343E"/>
    <w:rsid w:val="67CD1A30"/>
    <w:rsid w:val="67CE5853"/>
    <w:rsid w:val="67D3177E"/>
    <w:rsid w:val="67D51D89"/>
    <w:rsid w:val="67DB732A"/>
    <w:rsid w:val="67DD01C1"/>
    <w:rsid w:val="67EE4EEE"/>
    <w:rsid w:val="67FA3909"/>
    <w:rsid w:val="67FC52F3"/>
    <w:rsid w:val="68066890"/>
    <w:rsid w:val="68085239"/>
    <w:rsid w:val="68097E3D"/>
    <w:rsid w:val="680C39B9"/>
    <w:rsid w:val="680C4DD6"/>
    <w:rsid w:val="68110A15"/>
    <w:rsid w:val="68131EE4"/>
    <w:rsid w:val="68190F36"/>
    <w:rsid w:val="68233BF2"/>
    <w:rsid w:val="68266705"/>
    <w:rsid w:val="682C1B18"/>
    <w:rsid w:val="682F0205"/>
    <w:rsid w:val="68364B79"/>
    <w:rsid w:val="6837040F"/>
    <w:rsid w:val="683B548D"/>
    <w:rsid w:val="683E7A60"/>
    <w:rsid w:val="683F5629"/>
    <w:rsid w:val="68401EBC"/>
    <w:rsid w:val="68456ED8"/>
    <w:rsid w:val="68463CD1"/>
    <w:rsid w:val="684C2E2C"/>
    <w:rsid w:val="6850183B"/>
    <w:rsid w:val="68510239"/>
    <w:rsid w:val="68570A83"/>
    <w:rsid w:val="685C474D"/>
    <w:rsid w:val="685E2562"/>
    <w:rsid w:val="6860699D"/>
    <w:rsid w:val="68611E03"/>
    <w:rsid w:val="68615B32"/>
    <w:rsid w:val="68627534"/>
    <w:rsid w:val="686952AE"/>
    <w:rsid w:val="686E61DB"/>
    <w:rsid w:val="687D5634"/>
    <w:rsid w:val="68894069"/>
    <w:rsid w:val="688B7A70"/>
    <w:rsid w:val="68954440"/>
    <w:rsid w:val="689C1837"/>
    <w:rsid w:val="689D2A03"/>
    <w:rsid w:val="68AE20A8"/>
    <w:rsid w:val="68AF3DCD"/>
    <w:rsid w:val="68B95BDC"/>
    <w:rsid w:val="68BA46B5"/>
    <w:rsid w:val="68C74166"/>
    <w:rsid w:val="68D033A7"/>
    <w:rsid w:val="68D92238"/>
    <w:rsid w:val="68E93358"/>
    <w:rsid w:val="68E9779C"/>
    <w:rsid w:val="68F17A58"/>
    <w:rsid w:val="68F449B7"/>
    <w:rsid w:val="69267A64"/>
    <w:rsid w:val="69327FD3"/>
    <w:rsid w:val="69410F2C"/>
    <w:rsid w:val="69412176"/>
    <w:rsid w:val="6942733B"/>
    <w:rsid w:val="694B42EB"/>
    <w:rsid w:val="69511F98"/>
    <w:rsid w:val="69531328"/>
    <w:rsid w:val="695A1E41"/>
    <w:rsid w:val="69654E2E"/>
    <w:rsid w:val="696562E9"/>
    <w:rsid w:val="69691541"/>
    <w:rsid w:val="696A3DDB"/>
    <w:rsid w:val="6978536F"/>
    <w:rsid w:val="697A0C1D"/>
    <w:rsid w:val="697A7FC0"/>
    <w:rsid w:val="6980168D"/>
    <w:rsid w:val="698A3436"/>
    <w:rsid w:val="699731D0"/>
    <w:rsid w:val="69A53B10"/>
    <w:rsid w:val="69A77D2E"/>
    <w:rsid w:val="69A91735"/>
    <w:rsid w:val="69AE2C22"/>
    <w:rsid w:val="69B14C74"/>
    <w:rsid w:val="69B35D41"/>
    <w:rsid w:val="69B64CF5"/>
    <w:rsid w:val="69B970F8"/>
    <w:rsid w:val="69BD56F0"/>
    <w:rsid w:val="69C00EEF"/>
    <w:rsid w:val="69C6135B"/>
    <w:rsid w:val="69CD35FA"/>
    <w:rsid w:val="69CF17E5"/>
    <w:rsid w:val="69D06C4C"/>
    <w:rsid w:val="69D722D2"/>
    <w:rsid w:val="69EB1006"/>
    <w:rsid w:val="69ED02B2"/>
    <w:rsid w:val="69EF765B"/>
    <w:rsid w:val="69FF2458"/>
    <w:rsid w:val="69FF66B7"/>
    <w:rsid w:val="6A0342CA"/>
    <w:rsid w:val="6A0528FF"/>
    <w:rsid w:val="6A06171B"/>
    <w:rsid w:val="6A152E2F"/>
    <w:rsid w:val="6A3806E2"/>
    <w:rsid w:val="6A3A44E3"/>
    <w:rsid w:val="6A451F1D"/>
    <w:rsid w:val="6A54552E"/>
    <w:rsid w:val="6A610B5D"/>
    <w:rsid w:val="6A622762"/>
    <w:rsid w:val="6A642578"/>
    <w:rsid w:val="6A6B67DC"/>
    <w:rsid w:val="6A747B71"/>
    <w:rsid w:val="6A7D25B9"/>
    <w:rsid w:val="6A7D4FBB"/>
    <w:rsid w:val="6A885183"/>
    <w:rsid w:val="6A922ED2"/>
    <w:rsid w:val="6A931E91"/>
    <w:rsid w:val="6A967DB7"/>
    <w:rsid w:val="6A9F32DF"/>
    <w:rsid w:val="6AA86BB1"/>
    <w:rsid w:val="6AAA13FC"/>
    <w:rsid w:val="6AB25996"/>
    <w:rsid w:val="6AB6002B"/>
    <w:rsid w:val="6AB62BCD"/>
    <w:rsid w:val="6AC571B5"/>
    <w:rsid w:val="6AD5265C"/>
    <w:rsid w:val="6AD708BD"/>
    <w:rsid w:val="6ADD2115"/>
    <w:rsid w:val="6AE90E74"/>
    <w:rsid w:val="6AF70CDD"/>
    <w:rsid w:val="6B09641F"/>
    <w:rsid w:val="6B226C20"/>
    <w:rsid w:val="6B253501"/>
    <w:rsid w:val="6B2C1862"/>
    <w:rsid w:val="6B2E1172"/>
    <w:rsid w:val="6B5169A3"/>
    <w:rsid w:val="6B5B0FEA"/>
    <w:rsid w:val="6B5C4009"/>
    <w:rsid w:val="6B5E4B16"/>
    <w:rsid w:val="6B623E5D"/>
    <w:rsid w:val="6B643C0A"/>
    <w:rsid w:val="6B6A1A47"/>
    <w:rsid w:val="6B7932A3"/>
    <w:rsid w:val="6B7E0372"/>
    <w:rsid w:val="6B8431B0"/>
    <w:rsid w:val="6B8538F6"/>
    <w:rsid w:val="6B85598A"/>
    <w:rsid w:val="6B8B595B"/>
    <w:rsid w:val="6B982420"/>
    <w:rsid w:val="6BA96E4A"/>
    <w:rsid w:val="6BB24496"/>
    <w:rsid w:val="6BB35D5F"/>
    <w:rsid w:val="6BB709CA"/>
    <w:rsid w:val="6BB75F19"/>
    <w:rsid w:val="6BBB32F8"/>
    <w:rsid w:val="6BBF4DAE"/>
    <w:rsid w:val="6BC44E9D"/>
    <w:rsid w:val="6BC90059"/>
    <w:rsid w:val="6BCA0371"/>
    <w:rsid w:val="6BCC73EF"/>
    <w:rsid w:val="6BCE3562"/>
    <w:rsid w:val="6BD0639A"/>
    <w:rsid w:val="6BD26568"/>
    <w:rsid w:val="6BDC7D4E"/>
    <w:rsid w:val="6BE21C4B"/>
    <w:rsid w:val="6BE84DD2"/>
    <w:rsid w:val="6BE97D87"/>
    <w:rsid w:val="6BEA5F72"/>
    <w:rsid w:val="6BED54D6"/>
    <w:rsid w:val="6BED679D"/>
    <w:rsid w:val="6C0B04ED"/>
    <w:rsid w:val="6C0E63CF"/>
    <w:rsid w:val="6C0F2653"/>
    <w:rsid w:val="6C130241"/>
    <w:rsid w:val="6C1D0850"/>
    <w:rsid w:val="6C242E4D"/>
    <w:rsid w:val="6C2503FF"/>
    <w:rsid w:val="6C253E06"/>
    <w:rsid w:val="6C26758B"/>
    <w:rsid w:val="6C342370"/>
    <w:rsid w:val="6C36458F"/>
    <w:rsid w:val="6C3A6AB3"/>
    <w:rsid w:val="6C3B152C"/>
    <w:rsid w:val="6C426BF6"/>
    <w:rsid w:val="6C44758A"/>
    <w:rsid w:val="6C46387A"/>
    <w:rsid w:val="6C464B88"/>
    <w:rsid w:val="6C535D67"/>
    <w:rsid w:val="6C5A7D93"/>
    <w:rsid w:val="6C634751"/>
    <w:rsid w:val="6C6475C8"/>
    <w:rsid w:val="6C65106D"/>
    <w:rsid w:val="6C69680B"/>
    <w:rsid w:val="6C786A6C"/>
    <w:rsid w:val="6C79325E"/>
    <w:rsid w:val="6C7C6695"/>
    <w:rsid w:val="6C871982"/>
    <w:rsid w:val="6C9C1C57"/>
    <w:rsid w:val="6CB730BB"/>
    <w:rsid w:val="6CB74CEA"/>
    <w:rsid w:val="6CBB14E1"/>
    <w:rsid w:val="6CC178E8"/>
    <w:rsid w:val="6CC46E70"/>
    <w:rsid w:val="6CC91263"/>
    <w:rsid w:val="6CD63771"/>
    <w:rsid w:val="6CD63F9B"/>
    <w:rsid w:val="6CE15119"/>
    <w:rsid w:val="6CEE44F2"/>
    <w:rsid w:val="6CF033C0"/>
    <w:rsid w:val="6CF43A24"/>
    <w:rsid w:val="6CF52A31"/>
    <w:rsid w:val="6CF70E0F"/>
    <w:rsid w:val="6CFB2999"/>
    <w:rsid w:val="6D06744D"/>
    <w:rsid w:val="6D1A26C0"/>
    <w:rsid w:val="6D246181"/>
    <w:rsid w:val="6D2671DD"/>
    <w:rsid w:val="6D2C75B4"/>
    <w:rsid w:val="6D3908F5"/>
    <w:rsid w:val="6D400349"/>
    <w:rsid w:val="6D442ED0"/>
    <w:rsid w:val="6D52504F"/>
    <w:rsid w:val="6D560E17"/>
    <w:rsid w:val="6D5C3AAA"/>
    <w:rsid w:val="6D625405"/>
    <w:rsid w:val="6D66227E"/>
    <w:rsid w:val="6D6A13D0"/>
    <w:rsid w:val="6D6A3EF9"/>
    <w:rsid w:val="6D6F673C"/>
    <w:rsid w:val="6D872AA4"/>
    <w:rsid w:val="6D881D5C"/>
    <w:rsid w:val="6D951D46"/>
    <w:rsid w:val="6D973B64"/>
    <w:rsid w:val="6D9A7C66"/>
    <w:rsid w:val="6DA458E2"/>
    <w:rsid w:val="6DA51853"/>
    <w:rsid w:val="6DA8273C"/>
    <w:rsid w:val="6DB53C6F"/>
    <w:rsid w:val="6DBE2901"/>
    <w:rsid w:val="6DCD2AD9"/>
    <w:rsid w:val="6DD36544"/>
    <w:rsid w:val="6DD64C68"/>
    <w:rsid w:val="6DD75914"/>
    <w:rsid w:val="6DF56F83"/>
    <w:rsid w:val="6DF66563"/>
    <w:rsid w:val="6E0B17FB"/>
    <w:rsid w:val="6E0C1509"/>
    <w:rsid w:val="6E110469"/>
    <w:rsid w:val="6E190902"/>
    <w:rsid w:val="6E2D41A5"/>
    <w:rsid w:val="6E371B87"/>
    <w:rsid w:val="6E484CE9"/>
    <w:rsid w:val="6E5053E9"/>
    <w:rsid w:val="6E511600"/>
    <w:rsid w:val="6E5374A0"/>
    <w:rsid w:val="6E612A66"/>
    <w:rsid w:val="6E652C45"/>
    <w:rsid w:val="6E694200"/>
    <w:rsid w:val="6E7258CA"/>
    <w:rsid w:val="6E7E4F9D"/>
    <w:rsid w:val="6E861DEE"/>
    <w:rsid w:val="6E88752D"/>
    <w:rsid w:val="6E9A4302"/>
    <w:rsid w:val="6EA16FC1"/>
    <w:rsid w:val="6EA92F78"/>
    <w:rsid w:val="6EB25DAF"/>
    <w:rsid w:val="6EB74A09"/>
    <w:rsid w:val="6EBA28C3"/>
    <w:rsid w:val="6EC34155"/>
    <w:rsid w:val="6ED5620D"/>
    <w:rsid w:val="6EE00B95"/>
    <w:rsid w:val="6EE34F9C"/>
    <w:rsid w:val="6EEA4365"/>
    <w:rsid w:val="6EED5F09"/>
    <w:rsid w:val="6EFA06B8"/>
    <w:rsid w:val="6EFE5BC1"/>
    <w:rsid w:val="6F065D93"/>
    <w:rsid w:val="6F1700EE"/>
    <w:rsid w:val="6F180E4A"/>
    <w:rsid w:val="6F22009B"/>
    <w:rsid w:val="6F300B2A"/>
    <w:rsid w:val="6F315490"/>
    <w:rsid w:val="6F325F02"/>
    <w:rsid w:val="6F3413DA"/>
    <w:rsid w:val="6F375A93"/>
    <w:rsid w:val="6F3770F2"/>
    <w:rsid w:val="6F3902AF"/>
    <w:rsid w:val="6F3A0487"/>
    <w:rsid w:val="6F3F5CC0"/>
    <w:rsid w:val="6F483248"/>
    <w:rsid w:val="6F4A1532"/>
    <w:rsid w:val="6F651CEA"/>
    <w:rsid w:val="6F6B7F4D"/>
    <w:rsid w:val="6F765D07"/>
    <w:rsid w:val="6F767F51"/>
    <w:rsid w:val="6F7A65D7"/>
    <w:rsid w:val="6F7A7103"/>
    <w:rsid w:val="6F8A26A4"/>
    <w:rsid w:val="6F8B4164"/>
    <w:rsid w:val="6F8D7859"/>
    <w:rsid w:val="6F8F5FBF"/>
    <w:rsid w:val="6F94453C"/>
    <w:rsid w:val="6F9E3AF0"/>
    <w:rsid w:val="6FAB31C5"/>
    <w:rsid w:val="6FAB68F1"/>
    <w:rsid w:val="6FB41B92"/>
    <w:rsid w:val="6FB7518B"/>
    <w:rsid w:val="6FC501DA"/>
    <w:rsid w:val="6FC85EDA"/>
    <w:rsid w:val="6FD02572"/>
    <w:rsid w:val="6FD0747F"/>
    <w:rsid w:val="6FE3770F"/>
    <w:rsid w:val="6FE55E24"/>
    <w:rsid w:val="6FE815B2"/>
    <w:rsid w:val="6FE90FA4"/>
    <w:rsid w:val="6FEC0CC4"/>
    <w:rsid w:val="6FEC4600"/>
    <w:rsid w:val="6FF717CC"/>
    <w:rsid w:val="6FFB6D6E"/>
    <w:rsid w:val="6FFD2106"/>
    <w:rsid w:val="70052778"/>
    <w:rsid w:val="700F7B79"/>
    <w:rsid w:val="70105EB1"/>
    <w:rsid w:val="70173D45"/>
    <w:rsid w:val="70264BF8"/>
    <w:rsid w:val="702A2F65"/>
    <w:rsid w:val="70377556"/>
    <w:rsid w:val="70401E77"/>
    <w:rsid w:val="70407773"/>
    <w:rsid w:val="704A7783"/>
    <w:rsid w:val="70512CEB"/>
    <w:rsid w:val="705D1098"/>
    <w:rsid w:val="706161D5"/>
    <w:rsid w:val="706A69F2"/>
    <w:rsid w:val="7075085E"/>
    <w:rsid w:val="7077002D"/>
    <w:rsid w:val="707958C5"/>
    <w:rsid w:val="707F3A0C"/>
    <w:rsid w:val="708414A8"/>
    <w:rsid w:val="708C2630"/>
    <w:rsid w:val="708C6D72"/>
    <w:rsid w:val="70A11679"/>
    <w:rsid w:val="70A91FEB"/>
    <w:rsid w:val="70B44C49"/>
    <w:rsid w:val="70B74B4B"/>
    <w:rsid w:val="70B879CC"/>
    <w:rsid w:val="70B91F9A"/>
    <w:rsid w:val="70DA19B2"/>
    <w:rsid w:val="70E61EE5"/>
    <w:rsid w:val="70FA29A8"/>
    <w:rsid w:val="70FD6FB9"/>
    <w:rsid w:val="70FE649F"/>
    <w:rsid w:val="71073145"/>
    <w:rsid w:val="710F6D1F"/>
    <w:rsid w:val="71161F4D"/>
    <w:rsid w:val="711B7706"/>
    <w:rsid w:val="711B785C"/>
    <w:rsid w:val="712408DA"/>
    <w:rsid w:val="71290D95"/>
    <w:rsid w:val="712E2347"/>
    <w:rsid w:val="712F2739"/>
    <w:rsid w:val="71363021"/>
    <w:rsid w:val="713800E1"/>
    <w:rsid w:val="713D280B"/>
    <w:rsid w:val="713D3C20"/>
    <w:rsid w:val="714348CE"/>
    <w:rsid w:val="714811A4"/>
    <w:rsid w:val="71540900"/>
    <w:rsid w:val="71593C9A"/>
    <w:rsid w:val="71800DA7"/>
    <w:rsid w:val="71851BBF"/>
    <w:rsid w:val="7188005A"/>
    <w:rsid w:val="718A48CA"/>
    <w:rsid w:val="718C0DCA"/>
    <w:rsid w:val="719018DC"/>
    <w:rsid w:val="71901E3D"/>
    <w:rsid w:val="719303EE"/>
    <w:rsid w:val="719945CE"/>
    <w:rsid w:val="719E3287"/>
    <w:rsid w:val="71A44B31"/>
    <w:rsid w:val="71A8038E"/>
    <w:rsid w:val="71B05EAA"/>
    <w:rsid w:val="71B20187"/>
    <w:rsid w:val="71B753B7"/>
    <w:rsid w:val="71B818C1"/>
    <w:rsid w:val="71C6654E"/>
    <w:rsid w:val="71C80615"/>
    <w:rsid w:val="71C92C97"/>
    <w:rsid w:val="71F53084"/>
    <w:rsid w:val="71FA30C0"/>
    <w:rsid w:val="71FB480F"/>
    <w:rsid w:val="720A6F37"/>
    <w:rsid w:val="720F25CA"/>
    <w:rsid w:val="72186B28"/>
    <w:rsid w:val="72202AFA"/>
    <w:rsid w:val="7223136D"/>
    <w:rsid w:val="722D5DCB"/>
    <w:rsid w:val="723B3332"/>
    <w:rsid w:val="723D104B"/>
    <w:rsid w:val="7241172B"/>
    <w:rsid w:val="72447F84"/>
    <w:rsid w:val="725A5AEE"/>
    <w:rsid w:val="725B6795"/>
    <w:rsid w:val="727B10C9"/>
    <w:rsid w:val="727F0676"/>
    <w:rsid w:val="727F13ED"/>
    <w:rsid w:val="72842997"/>
    <w:rsid w:val="72863981"/>
    <w:rsid w:val="7293100B"/>
    <w:rsid w:val="72940E39"/>
    <w:rsid w:val="729B09F1"/>
    <w:rsid w:val="729D45BA"/>
    <w:rsid w:val="729E4862"/>
    <w:rsid w:val="72A927FC"/>
    <w:rsid w:val="72B27BA3"/>
    <w:rsid w:val="72B741CA"/>
    <w:rsid w:val="72BC65BB"/>
    <w:rsid w:val="72C910F3"/>
    <w:rsid w:val="72CB06EB"/>
    <w:rsid w:val="72CB2A83"/>
    <w:rsid w:val="72D47B86"/>
    <w:rsid w:val="72DB1BDA"/>
    <w:rsid w:val="72DB5A83"/>
    <w:rsid w:val="72EE155E"/>
    <w:rsid w:val="72FB7FA3"/>
    <w:rsid w:val="72FC0355"/>
    <w:rsid w:val="72FC341D"/>
    <w:rsid w:val="72FC4649"/>
    <w:rsid w:val="73093C7F"/>
    <w:rsid w:val="730E385C"/>
    <w:rsid w:val="7315161C"/>
    <w:rsid w:val="731976B5"/>
    <w:rsid w:val="732D6C99"/>
    <w:rsid w:val="732F0C8D"/>
    <w:rsid w:val="73325D0F"/>
    <w:rsid w:val="73330C4C"/>
    <w:rsid w:val="7335768E"/>
    <w:rsid w:val="734F3D76"/>
    <w:rsid w:val="734F67C5"/>
    <w:rsid w:val="735402C3"/>
    <w:rsid w:val="73554B9C"/>
    <w:rsid w:val="7357072D"/>
    <w:rsid w:val="735B2A68"/>
    <w:rsid w:val="735B3166"/>
    <w:rsid w:val="73616CE6"/>
    <w:rsid w:val="73694A46"/>
    <w:rsid w:val="7370365A"/>
    <w:rsid w:val="73776750"/>
    <w:rsid w:val="737C5688"/>
    <w:rsid w:val="7383049A"/>
    <w:rsid w:val="738F512C"/>
    <w:rsid w:val="73904936"/>
    <w:rsid w:val="73953EEA"/>
    <w:rsid w:val="739D7209"/>
    <w:rsid w:val="739E584F"/>
    <w:rsid w:val="73A361FA"/>
    <w:rsid w:val="73A605A6"/>
    <w:rsid w:val="73AC31D1"/>
    <w:rsid w:val="73B923CD"/>
    <w:rsid w:val="73BE445C"/>
    <w:rsid w:val="73BE7526"/>
    <w:rsid w:val="73C431B3"/>
    <w:rsid w:val="73D34BFC"/>
    <w:rsid w:val="73DE3A91"/>
    <w:rsid w:val="73ED2039"/>
    <w:rsid w:val="73EE56A5"/>
    <w:rsid w:val="73EF38FD"/>
    <w:rsid w:val="73F0330C"/>
    <w:rsid w:val="73F32AEF"/>
    <w:rsid w:val="73F67020"/>
    <w:rsid w:val="73FA341B"/>
    <w:rsid w:val="73FD5D1A"/>
    <w:rsid w:val="73FE0892"/>
    <w:rsid w:val="74041A9B"/>
    <w:rsid w:val="74094EF1"/>
    <w:rsid w:val="741058E6"/>
    <w:rsid w:val="74174AC0"/>
    <w:rsid w:val="74266606"/>
    <w:rsid w:val="7428537F"/>
    <w:rsid w:val="742A4F51"/>
    <w:rsid w:val="742E0291"/>
    <w:rsid w:val="743650DD"/>
    <w:rsid w:val="74366C4E"/>
    <w:rsid w:val="743B49BF"/>
    <w:rsid w:val="74412DD1"/>
    <w:rsid w:val="74486E9D"/>
    <w:rsid w:val="745438C1"/>
    <w:rsid w:val="74551A9A"/>
    <w:rsid w:val="745E0B69"/>
    <w:rsid w:val="74706653"/>
    <w:rsid w:val="74711ABD"/>
    <w:rsid w:val="74722623"/>
    <w:rsid w:val="74796563"/>
    <w:rsid w:val="7481427F"/>
    <w:rsid w:val="74823818"/>
    <w:rsid w:val="74894706"/>
    <w:rsid w:val="749731F1"/>
    <w:rsid w:val="74973F06"/>
    <w:rsid w:val="74984AE2"/>
    <w:rsid w:val="749F5342"/>
    <w:rsid w:val="74A25861"/>
    <w:rsid w:val="74A34EDB"/>
    <w:rsid w:val="74A567EA"/>
    <w:rsid w:val="74AA23F8"/>
    <w:rsid w:val="74B12104"/>
    <w:rsid w:val="74CB3BB8"/>
    <w:rsid w:val="74CF1090"/>
    <w:rsid w:val="74D27CD7"/>
    <w:rsid w:val="74E846D2"/>
    <w:rsid w:val="74EA493E"/>
    <w:rsid w:val="74EC3649"/>
    <w:rsid w:val="74F47961"/>
    <w:rsid w:val="74F66D62"/>
    <w:rsid w:val="75022872"/>
    <w:rsid w:val="750409AC"/>
    <w:rsid w:val="750605DD"/>
    <w:rsid w:val="75100F95"/>
    <w:rsid w:val="751D53B5"/>
    <w:rsid w:val="75210A76"/>
    <w:rsid w:val="752463F6"/>
    <w:rsid w:val="752661C0"/>
    <w:rsid w:val="753025F4"/>
    <w:rsid w:val="753241E4"/>
    <w:rsid w:val="753863E6"/>
    <w:rsid w:val="7543687A"/>
    <w:rsid w:val="754968E1"/>
    <w:rsid w:val="755E0141"/>
    <w:rsid w:val="75677706"/>
    <w:rsid w:val="756A030C"/>
    <w:rsid w:val="756D02D7"/>
    <w:rsid w:val="756E7519"/>
    <w:rsid w:val="75757B3A"/>
    <w:rsid w:val="757D1128"/>
    <w:rsid w:val="75837959"/>
    <w:rsid w:val="75881A70"/>
    <w:rsid w:val="758B48E1"/>
    <w:rsid w:val="758E3BD3"/>
    <w:rsid w:val="75910511"/>
    <w:rsid w:val="75914995"/>
    <w:rsid w:val="759F3BAF"/>
    <w:rsid w:val="75A63685"/>
    <w:rsid w:val="75BF42C2"/>
    <w:rsid w:val="75BF5FF1"/>
    <w:rsid w:val="75CB0561"/>
    <w:rsid w:val="75CF0236"/>
    <w:rsid w:val="75DF70AD"/>
    <w:rsid w:val="75E47E4A"/>
    <w:rsid w:val="75E81E02"/>
    <w:rsid w:val="75E85428"/>
    <w:rsid w:val="75EB75A0"/>
    <w:rsid w:val="75EE1640"/>
    <w:rsid w:val="75F27DAE"/>
    <w:rsid w:val="75F45C9F"/>
    <w:rsid w:val="75F66710"/>
    <w:rsid w:val="75FB15BB"/>
    <w:rsid w:val="76022E7C"/>
    <w:rsid w:val="7603019B"/>
    <w:rsid w:val="76063FBB"/>
    <w:rsid w:val="76071CA4"/>
    <w:rsid w:val="761A41DD"/>
    <w:rsid w:val="762B5F20"/>
    <w:rsid w:val="76361BC2"/>
    <w:rsid w:val="76363376"/>
    <w:rsid w:val="76441F86"/>
    <w:rsid w:val="76486984"/>
    <w:rsid w:val="7649074C"/>
    <w:rsid w:val="76505FFC"/>
    <w:rsid w:val="765B7B58"/>
    <w:rsid w:val="76665D8D"/>
    <w:rsid w:val="766F725C"/>
    <w:rsid w:val="76751699"/>
    <w:rsid w:val="76761CC2"/>
    <w:rsid w:val="76861730"/>
    <w:rsid w:val="76895A94"/>
    <w:rsid w:val="768D1317"/>
    <w:rsid w:val="76901BF3"/>
    <w:rsid w:val="76902B2D"/>
    <w:rsid w:val="769932B4"/>
    <w:rsid w:val="76AE527D"/>
    <w:rsid w:val="76B35B70"/>
    <w:rsid w:val="76C626D5"/>
    <w:rsid w:val="76C638A3"/>
    <w:rsid w:val="76CA7615"/>
    <w:rsid w:val="76CF551A"/>
    <w:rsid w:val="76D65823"/>
    <w:rsid w:val="76D7353C"/>
    <w:rsid w:val="76D84F33"/>
    <w:rsid w:val="76EB33BF"/>
    <w:rsid w:val="76F51895"/>
    <w:rsid w:val="76FA7691"/>
    <w:rsid w:val="76FC19CA"/>
    <w:rsid w:val="76FE2C65"/>
    <w:rsid w:val="770307D5"/>
    <w:rsid w:val="770A4DCB"/>
    <w:rsid w:val="771A63E8"/>
    <w:rsid w:val="77230EC1"/>
    <w:rsid w:val="77274DF3"/>
    <w:rsid w:val="77284A00"/>
    <w:rsid w:val="77385706"/>
    <w:rsid w:val="773C5ED0"/>
    <w:rsid w:val="774E3A48"/>
    <w:rsid w:val="77590010"/>
    <w:rsid w:val="775C11A3"/>
    <w:rsid w:val="77642B72"/>
    <w:rsid w:val="776F4764"/>
    <w:rsid w:val="777472EC"/>
    <w:rsid w:val="777979A3"/>
    <w:rsid w:val="77815320"/>
    <w:rsid w:val="77862521"/>
    <w:rsid w:val="77877690"/>
    <w:rsid w:val="77896739"/>
    <w:rsid w:val="778F67AC"/>
    <w:rsid w:val="7796756E"/>
    <w:rsid w:val="77967D8C"/>
    <w:rsid w:val="779805E7"/>
    <w:rsid w:val="779D1F7E"/>
    <w:rsid w:val="77A55164"/>
    <w:rsid w:val="77B24BF4"/>
    <w:rsid w:val="77B91806"/>
    <w:rsid w:val="77BE35C9"/>
    <w:rsid w:val="77C032FA"/>
    <w:rsid w:val="77C30B8B"/>
    <w:rsid w:val="77C50510"/>
    <w:rsid w:val="77C6629F"/>
    <w:rsid w:val="77D35537"/>
    <w:rsid w:val="77D62C8E"/>
    <w:rsid w:val="77EF0969"/>
    <w:rsid w:val="77FE3855"/>
    <w:rsid w:val="780776A1"/>
    <w:rsid w:val="78091B04"/>
    <w:rsid w:val="78106DFB"/>
    <w:rsid w:val="78111406"/>
    <w:rsid w:val="7812325B"/>
    <w:rsid w:val="78267E28"/>
    <w:rsid w:val="782B1630"/>
    <w:rsid w:val="782E7F8B"/>
    <w:rsid w:val="783134C2"/>
    <w:rsid w:val="783B5B24"/>
    <w:rsid w:val="784002DA"/>
    <w:rsid w:val="78400668"/>
    <w:rsid w:val="78465A43"/>
    <w:rsid w:val="785F1E12"/>
    <w:rsid w:val="786D39D3"/>
    <w:rsid w:val="789E74F1"/>
    <w:rsid w:val="789E782E"/>
    <w:rsid w:val="78A5760E"/>
    <w:rsid w:val="78A922CB"/>
    <w:rsid w:val="78B279E3"/>
    <w:rsid w:val="78B448E3"/>
    <w:rsid w:val="78C33F0A"/>
    <w:rsid w:val="78CF6711"/>
    <w:rsid w:val="78E626F4"/>
    <w:rsid w:val="78EB2CDF"/>
    <w:rsid w:val="78EC2E1F"/>
    <w:rsid w:val="78F25FA5"/>
    <w:rsid w:val="78F33005"/>
    <w:rsid w:val="78F42AE3"/>
    <w:rsid w:val="790A776A"/>
    <w:rsid w:val="79251045"/>
    <w:rsid w:val="792625A6"/>
    <w:rsid w:val="7935062A"/>
    <w:rsid w:val="7935144B"/>
    <w:rsid w:val="79383131"/>
    <w:rsid w:val="7942081E"/>
    <w:rsid w:val="79420CCC"/>
    <w:rsid w:val="794C6EBD"/>
    <w:rsid w:val="79576B62"/>
    <w:rsid w:val="79607F14"/>
    <w:rsid w:val="796D4C15"/>
    <w:rsid w:val="797E61EC"/>
    <w:rsid w:val="7982692B"/>
    <w:rsid w:val="798510B0"/>
    <w:rsid w:val="798A7532"/>
    <w:rsid w:val="798C2144"/>
    <w:rsid w:val="799175E8"/>
    <w:rsid w:val="799F10D8"/>
    <w:rsid w:val="79A77108"/>
    <w:rsid w:val="79A97314"/>
    <w:rsid w:val="79AF5C66"/>
    <w:rsid w:val="79B87E14"/>
    <w:rsid w:val="79B96C7E"/>
    <w:rsid w:val="79BA4C90"/>
    <w:rsid w:val="79CD39BC"/>
    <w:rsid w:val="79CF33A4"/>
    <w:rsid w:val="79D44EE2"/>
    <w:rsid w:val="79D81541"/>
    <w:rsid w:val="79D86415"/>
    <w:rsid w:val="79DD1FF8"/>
    <w:rsid w:val="79E0477B"/>
    <w:rsid w:val="79E04C46"/>
    <w:rsid w:val="79E32028"/>
    <w:rsid w:val="79EF2096"/>
    <w:rsid w:val="79F44DD3"/>
    <w:rsid w:val="7A02715A"/>
    <w:rsid w:val="7A0D4BE9"/>
    <w:rsid w:val="7A142585"/>
    <w:rsid w:val="7A202965"/>
    <w:rsid w:val="7A2174EA"/>
    <w:rsid w:val="7A234156"/>
    <w:rsid w:val="7A271519"/>
    <w:rsid w:val="7A316D40"/>
    <w:rsid w:val="7A383D0C"/>
    <w:rsid w:val="7A57428F"/>
    <w:rsid w:val="7A5965AE"/>
    <w:rsid w:val="7A6A0067"/>
    <w:rsid w:val="7A6E2B22"/>
    <w:rsid w:val="7A786CAC"/>
    <w:rsid w:val="7A7C4F57"/>
    <w:rsid w:val="7A8A720B"/>
    <w:rsid w:val="7A963374"/>
    <w:rsid w:val="7A980438"/>
    <w:rsid w:val="7AA01B81"/>
    <w:rsid w:val="7AAE60A6"/>
    <w:rsid w:val="7AB10E81"/>
    <w:rsid w:val="7AB54ADB"/>
    <w:rsid w:val="7AC44191"/>
    <w:rsid w:val="7ACA1B8C"/>
    <w:rsid w:val="7ACD0681"/>
    <w:rsid w:val="7AD33C0D"/>
    <w:rsid w:val="7AE3603E"/>
    <w:rsid w:val="7AE410AF"/>
    <w:rsid w:val="7AE85FA1"/>
    <w:rsid w:val="7B0862A6"/>
    <w:rsid w:val="7B1C6777"/>
    <w:rsid w:val="7B225025"/>
    <w:rsid w:val="7B2759E0"/>
    <w:rsid w:val="7B2A3B51"/>
    <w:rsid w:val="7B305ABB"/>
    <w:rsid w:val="7B3F3133"/>
    <w:rsid w:val="7B420E52"/>
    <w:rsid w:val="7B4757E1"/>
    <w:rsid w:val="7B4C7517"/>
    <w:rsid w:val="7B4D62CA"/>
    <w:rsid w:val="7B5058BD"/>
    <w:rsid w:val="7B59109B"/>
    <w:rsid w:val="7B612DCB"/>
    <w:rsid w:val="7B666469"/>
    <w:rsid w:val="7B6E2BB0"/>
    <w:rsid w:val="7B6E6F56"/>
    <w:rsid w:val="7B6F0B7D"/>
    <w:rsid w:val="7B7379ED"/>
    <w:rsid w:val="7B740FA4"/>
    <w:rsid w:val="7B8539A8"/>
    <w:rsid w:val="7B922CAC"/>
    <w:rsid w:val="7B933FA8"/>
    <w:rsid w:val="7B976D93"/>
    <w:rsid w:val="7B9954A3"/>
    <w:rsid w:val="7B9D673F"/>
    <w:rsid w:val="7BA22AD4"/>
    <w:rsid w:val="7BA36C58"/>
    <w:rsid w:val="7BAB77CD"/>
    <w:rsid w:val="7BAC3D4F"/>
    <w:rsid w:val="7BB16D3C"/>
    <w:rsid w:val="7BB961AC"/>
    <w:rsid w:val="7BC10B5B"/>
    <w:rsid w:val="7BCA6E86"/>
    <w:rsid w:val="7BCD1CAE"/>
    <w:rsid w:val="7BCE64BC"/>
    <w:rsid w:val="7BD01932"/>
    <w:rsid w:val="7BED16A7"/>
    <w:rsid w:val="7BF56DF0"/>
    <w:rsid w:val="7C2222CA"/>
    <w:rsid w:val="7C35697E"/>
    <w:rsid w:val="7C3919C2"/>
    <w:rsid w:val="7C436BF6"/>
    <w:rsid w:val="7C437D66"/>
    <w:rsid w:val="7C463E6C"/>
    <w:rsid w:val="7C551B8B"/>
    <w:rsid w:val="7C556A82"/>
    <w:rsid w:val="7C5A3084"/>
    <w:rsid w:val="7C6375DF"/>
    <w:rsid w:val="7C663F91"/>
    <w:rsid w:val="7C725D31"/>
    <w:rsid w:val="7C7F7469"/>
    <w:rsid w:val="7C8503D2"/>
    <w:rsid w:val="7C85352C"/>
    <w:rsid w:val="7C877CEE"/>
    <w:rsid w:val="7C9165A8"/>
    <w:rsid w:val="7C940FE6"/>
    <w:rsid w:val="7C94539D"/>
    <w:rsid w:val="7CA16A51"/>
    <w:rsid w:val="7CA272E0"/>
    <w:rsid w:val="7CA94510"/>
    <w:rsid w:val="7CAA1D09"/>
    <w:rsid w:val="7CAF0845"/>
    <w:rsid w:val="7CB247D5"/>
    <w:rsid w:val="7CB722BC"/>
    <w:rsid w:val="7CC06672"/>
    <w:rsid w:val="7CCF6EEA"/>
    <w:rsid w:val="7CD41743"/>
    <w:rsid w:val="7CD74C80"/>
    <w:rsid w:val="7CE56503"/>
    <w:rsid w:val="7CEE6D41"/>
    <w:rsid w:val="7CF37B77"/>
    <w:rsid w:val="7D0C30D5"/>
    <w:rsid w:val="7D195CA3"/>
    <w:rsid w:val="7D195EED"/>
    <w:rsid w:val="7D1A314C"/>
    <w:rsid w:val="7D240FE9"/>
    <w:rsid w:val="7D2739A2"/>
    <w:rsid w:val="7D330835"/>
    <w:rsid w:val="7D353C49"/>
    <w:rsid w:val="7D355C7A"/>
    <w:rsid w:val="7D3849C5"/>
    <w:rsid w:val="7D4F0808"/>
    <w:rsid w:val="7D544E12"/>
    <w:rsid w:val="7D54701A"/>
    <w:rsid w:val="7D635BF6"/>
    <w:rsid w:val="7D6A0484"/>
    <w:rsid w:val="7D6C2993"/>
    <w:rsid w:val="7D73454C"/>
    <w:rsid w:val="7D785165"/>
    <w:rsid w:val="7D7E4856"/>
    <w:rsid w:val="7D811B41"/>
    <w:rsid w:val="7D931643"/>
    <w:rsid w:val="7D987DF9"/>
    <w:rsid w:val="7D9B462C"/>
    <w:rsid w:val="7DA74073"/>
    <w:rsid w:val="7DAD1D4A"/>
    <w:rsid w:val="7DB220DB"/>
    <w:rsid w:val="7DB42E00"/>
    <w:rsid w:val="7DC40F22"/>
    <w:rsid w:val="7DC60B3D"/>
    <w:rsid w:val="7DD86E4B"/>
    <w:rsid w:val="7DDB6823"/>
    <w:rsid w:val="7DE65E67"/>
    <w:rsid w:val="7DE7785E"/>
    <w:rsid w:val="7DED3BB9"/>
    <w:rsid w:val="7DEF102D"/>
    <w:rsid w:val="7DF266F8"/>
    <w:rsid w:val="7DF307B4"/>
    <w:rsid w:val="7E0711E0"/>
    <w:rsid w:val="7E1307B5"/>
    <w:rsid w:val="7E16733F"/>
    <w:rsid w:val="7E1D253B"/>
    <w:rsid w:val="7E222685"/>
    <w:rsid w:val="7E230B68"/>
    <w:rsid w:val="7E3B55FE"/>
    <w:rsid w:val="7E462F13"/>
    <w:rsid w:val="7E4C4FA7"/>
    <w:rsid w:val="7E515B49"/>
    <w:rsid w:val="7E5358F1"/>
    <w:rsid w:val="7E5D2F5C"/>
    <w:rsid w:val="7E5D41E8"/>
    <w:rsid w:val="7E654529"/>
    <w:rsid w:val="7E766465"/>
    <w:rsid w:val="7E774537"/>
    <w:rsid w:val="7E7B3909"/>
    <w:rsid w:val="7E854367"/>
    <w:rsid w:val="7E875444"/>
    <w:rsid w:val="7E8F721F"/>
    <w:rsid w:val="7E93243A"/>
    <w:rsid w:val="7EA334F7"/>
    <w:rsid w:val="7EAB4F0C"/>
    <w:rsid w:val="7EAD4E8D"/>
    <w:rsid w:val="7EAD6448"/>
    <w:rsid w:val="7EB213EA"/>
    <w:rsid w:val="7EC03D33"/>
    <w:rsid w:val="7EC20939"/>
    <w:rsid w:val="7EC56F28"/>
    <w:rsid w:val="7EC7461D"/>
    <w:rsid w:val="7EC86F2A"/>
    <w:rsid w:val="7ECC2B3A"/>
    <w:rsid w:val="7EDA77C5"/>
    <w:rsid w:val="7EE90A31"/>
    <w:rsid w:val="7EFC770B"/>
    <w:rsid w:val="7EFE7D2C"/>
    <w:rsid w:val="7F027714"/>
    <w:rsid w:val="7F1754BF"/>
    <w:rsid w:val="7F1D6908"/>
    <w:rsid w:val="7F280A40"/>
    <w:rsid w:val="7F2843EE"/>
    <w:rsid w:val="7F315EAA"/>
    <w:rsid w:val="7F3573A8"/>
    <w:rsid w:val="7F3C6183"/>
    <w:rsid w:val="7F460C93"/>
    <w:rsid w:val="7F464F24"/>
    <w:rsid w:val="7F4C1CCD"/>
    <w:rsid w:val="7F5C67C3"/>
    <w:rsid w:val="7F663CCC"/>
    <w:rsid w:val="7F7076B8"/>
    <w:rsid w:val="7F8363AF"/>
    <w:rsid w:val="7F95358E"/>
    <w:rsid w:val="7FA62395"/>
    <w:rsid w:val="7FBB6FB5"/>
    <w:rsid w:val="7FC531A6"/>
    <w:rsid w:val="7FC56178"/>
    <w:rsid w:val="7FCA47CC"/>
    <w:rsid w:val="7FCD5AA6"/>
    <w:rsid w:val="7FCE3A05"/>
    <w:rsid w:val="7FD20317"/>
    <w:rsid w:val="7FDD79CE"/>
    <w:rsid w:val="7FDE0508"/>
    <w:rsid w:val="7FE40BCC"/>
    <w:rsid w:val="7FEF2153"/>
    <w:rsid w:val="7FF26F7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1" endarrow="open"/>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560" w:firstLineChars="200"/>
      <w:jc w:val="both"/>
    </w:pPr>
    <w:rPr>
      <w:rFonts w:ascii="Times New Roman" w:hAnsi="Times New Roman" w:eastAsia="宋体" w:cs="Times New Roman"/>
      <w:kern w:val="2"/>
      <w:sz w:val="28"/>
      <w:szCs w:val="22"/>
      <w:lang w:val="en-US" w:eastAsia="zh-CN" w:bidi="ar-SA"/>
    </w:rPr>
  </w:style>
  <w:style w:type="paragraph" w:styleId="4">
    <w:name w:val="heading 1"/>
    <w:basedOn w:val="1"/>
    <w:next w:val="1"/>
    <w:link w:val="23"/>
    <w:qFormat/>
    <w:uiPriority w:val="0"/>
    <w:pPr>
      <w:keepNext/>
      <w:tabs>
        <w:tab w:val="left" w:pos="1134"/>
      </w:tabs>
      <w:spacing w:line="360" w:lineRule="auto"/>
      <w:ind w:firstLine="0" w:firstLineChars="0"/>
      <w:jc w:val="left"/>
      <w:outlineLvl w:val="0"/>
    </w:pPr>
    <w:rPr>
      <w:rFonts w:hint="eastAsia" w:ascii="Times New Roman" w:hAnsi="Times New Roman"/>
      <w:b/>
      <w:sz w:val="32"/>
    </w:rPr>
  </w:style>
  <w:style w:type="paragraph" w:styleId="5">
    <w:name w:val="heading 2"/>
    <w:basedOn w:val="1"/>
    <w:next w:val="1"/>
    <w:qFormat/>
    <w:uiPriority w:val="0"/>
    <w:pPr>
      <w:keepNext/>
      <w:keepLines/>
      <w:numPr>
        <w:ilvl w:val="1"/>
        <w:numId w:val="1"/>
      </w:numPr>
      <w:adjustRightInd w:val="0"/>
      <w:ind w:firstLine="0" w:firstLineChars="0"/>
      <w:textAlignment w:val="baseline"/>
      <w:outlineLvl w:val="1"/>
    </w:pPr>
    <w:rPr>
      <w:rFonts w:ascii="Times New Roman" w:hAnsi="Times New Roman"/>
      <w:b/>
      <w:kern w:val="44"/>
      <w:sz w:val="30"/>
    </w:rPr>
  </w:style>
  <w:style w:type="paragraph" w:styleId="6">
    <w:name w:val="heading 3"/>
    <w:basedOn w:val="1"/>
    <w:next w:val="1"/>
    <w:link w:val="24"/>
    <w:qFormat/>
    <w:uiPriority w:val="0"/>
    <w:pPr>
      <w:keepNext/>
      <w:keepLines/>
      <w:adjustRightInd w:val="0"/>
      <w:spacing w:line="360" w:lineRule="auto"/>
      <w:ind w:firstLine="0" w:firstLineChars="0"/>
      <w:jc w:val="left"/>
      <w:textAlignment w:val="baseline"/>
      <w:outlineLvl w:val="2"/>
    </w:pPr>
    <w:rPr>
      <w:b/>
      <w:kern w:val="44"/>
      <w:szCs w:val="20"/>
    </w:rPr>
  </w:style>
  <w:style w:type="paragraph" w:styleId="7">
    <w:name w:val="heading 4"/>
    <w:basedOn w:val="1"/>
    <w:next w:val="1"/>
    <w:qFormat/>
    <w:uiPriority w:val="0"/>
    <w:pPr>
      <w:keepNext/>
      <w:numPr>
        <w:ilvl w:val="3"/>
        <w:numId w:val="2"/>
      </w:numPr>
      <w:tabs>
        <w:tab w:val="left" w:pos="830"/>
      </w:tabs>
      <w:spacing w:line="360" w:lineRule="auto"/>
      <w:ind w:left="0" w:firstLine="0" w:firstLineChars="0"/>
      <w:outlineLvl w:val="3"/>
    </w:pPr>
    <w:rPr>
      <w:rFonts w:ascii="Times New Roman" w:hAnsi="Times New Roman" w:eastAsia="宋体" w:cs="Times New Roman"/>
      <w:b/>
      <w:color w:val="000000"/>
      <w:kern w:val="0"/>
      <w:sz w:val="24"/>
      <w:szCs w:val="22"/>
    </w:rPr>
  </w:style>
  <w:style w:type="paragraph" w:styleId="8">
    <w:name w:val="heading 6"/>
    <w:basedOn w:val="1"/>
    <w:next w:val="1"/>
    <w:qFormat/>
    <w:uiPriority w:val="0"/>
    <w:pPr>
      <w:pBdr>
        <w:top w:val="none" w:color="auto" w:sz="0" w:space="0"/>
        <w:left w:val="none" w:color="auto" w:sz="0" w:space="0"/>
        <w:bottom w:val="none" w:color="auto" w:sz="0" w:space="0"/>
        <w:right w:val="none" w:color="auto" w:sz="0" w:space="0"/>
      </w:pBdr>
      <w:spacing w:before="0" w:beforeAutospacing="0" w:after="0" w:afterAutospacing="0" w:line="17" w:lineRule="atLeast"/>
      <w:ind w:left="0" w:right="0"/>
      <w:jc w:val="left"/>
      <w:outlineLvl w:val="5"/>
    </w:pPr>
    <w:rPr>
      <w:rFonts w:hint="eastAsia" w:ascii="宋体" w:hAnsi="宋体" w:eastAsia="宋体" w:cs="宋体"/>
      <w:b/>
      <w:color w:val="333333"/>
      <w:kern w:val="0"/>
      <w:sz w:val="18"/>
      <w:szCs w:val="18"/>
      <w:lang w:val="en-US" w:eastAsia="zh-CN" w:bidi="ar"/>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List Bullet 5"/>
    <w:basedOn w:val="1"/>
    <w:qFormat/>
    <w:uiPriority w:val="0"/>
    <w:pPr>
      <w:numPr>
        <w:ilvl w:val="0"/>
        <w:numId w:val="3"/>
      </w:numPr>
    </w:pPr>
  </w:style>
  <w:style w:type="paragraph" w:styleId="9">
    <w:name w:val="annotation text"/>
    <w:basedOn w:val="1"/>
    <w:link w:val="25"/>
    <w:qFormat/>
    <w:uiPriority w:val="0"/>
    <w:pPr>
      <w:jc w:val="left"/>
    </w:pPr>
  </w:style>
  <w:style w:type="paragraph" w:styleId="10">
    <w:name w:val="toc 3"/>
    <w:basedOn w:val="1"/>
    <w:next w:val="1"/>
    <w:qFormat/>
    <w:uiPriority w:val="0"/>
    <w:pPr>
      <w:ind w:left="840" w:leftChars="400"/>
    </w:pPr>
  </w:style>
  <w:style w:type="paragraph" w:styleId="11">
    <w:name w:val="Body Text Indent 2"/>
    <w:basedOn w:val="1"/>
    <w:qFormat/>
    <w:uiPriority w:val="0"/>
    <w:pPr>
      <w:keepNext w:val="0"/>
      <w:keepLines w:val="0"/>
      <w:widowControl w:val="0"/>
      <w:suppressLineNumbers w:val="0"/>
      <w:spacing w:before="0" w:beforeAutospacing="0" w:after="120" w:afterAutospacing="0" w:line="480" w:lineRule="auto"/>
      <w:ind w:left="420" w:leftChars="200" w:right="0"/>
      <w:jc w:val="both"/>
    </w:pPr>
    <w:rPr>
      <w:rFonts w:hint="default" w:ascii="Times New Roman" w:hAnsi="Times New Roman" w:eastAsia="宋体" w:cs="Times New Roman"/>
      <w:kern w:val="2"/>
      <w:sz w:val="21"/>
      <w:szCs w:val="24"/>
      <w:lang w:val="en-US" w:eastAsia="zh-CN" w:bidi="ar"/>
    </w:rPr>
  </w:style>
  <w:style w:type="paragraph" w:styleId="12">
    <w:name w:val="Balloon Text"/>
    <w:basedOn w:val="1"/>
    <w:link w:val="26"/>
    <w:qFormat/>
    <w:uiPriority w:val="0"/>
    <w:pPr>
      <w:spacing w:line="240" w:lineRule="auto"/>
    </w:pPr>
    <w:rPr>
      <w:sz w:val="18"/>
      <w:szCs w:val="18"/>
    </w:rPr>
  </w:style>
  <w:style w:type="paragraph" w:styleId="13">
    <w:name w:val="footer"/>
    <w:basedOn w:val="1"/>
    <w:qFormat/>
    <w:uiPriority w:val="0"/>
    <w:pPr>
      <w:tabs>
        <w:tab w:val="center" w:pos="4153"/>
        <w:tab w:val="right" w:pos="8306"/>
      </w:tabs>
      <w:snapToGrid w:val="0"/>
      <w:spacing w:line="240" w:lineRule="auto"/>
      <w:jc w:val="left"/>
    </w:pPr>
    <w:rPr>
      <w:rFonts w:ascii="Times New Roman" w:hAnsi="Times New Roman" w:eastAsia="宋体"/>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39"/>
    <w:pPr>
      <w:ind w:firstLine="0" w:firstLineChars="0"/>
    </w:pPr>
    <w:rPr>
      <w:rFonts w:ascii="Times New Roman" w:hAnsi="Times New Roman" w:eastAsia="宋体"/>
    </w:rPr>
  </w:style>
  <w:style w:type="paragraph" w:styleId="16">
    <w:name w:val="table of figures"/>
    <w:basedOn w:val="1"/>
    <w:next w:val="1"/>
    <w:qFormat/>
    <w:uiPriority w:val="0"/>
    <w:pPr>
      <w:ind w:leftChars="200" w:hanging="200" w:hangingChars="200"/>
    </w:pPr>
    <w:rPr>
      <w:szCs w:val="24"/>
    </w:rPr>
  </w:style>
  <w:style w:type="paragraph" w:styleId="17">
    <w:name w:val="toc 2"/>
    <w:basedOn w:val="1"/>
    <w:next w:val="1"/>
    <w:qFormat/>
    <w:uiPriority w:val="39"/>
    <w:pPr>
      <w:ind w:left="420" w:leftChars="200" w:firstLine="0" w:firstLineChars="0"/>
    </w:pPr>
    <w:rPr>
      <w:rFonts w:ascii="Times New Roman" w:hAnsi="Times New Roman" w:eastAsia="宋体"/>
    </w:rPr>
  </w:style>
  <w:style w:type="paragraph" w:styleId="18">
    <w:name w:val="annotation subject"/>
    <w:basedOn w:val="9"/>
    <w:next w:val="9"/>
    <w:link w:val="27"/>
    <w:qFormat/>
    <w:uiPriority w:val="0"/>
    <w:rPr>
      <w:b/>
      <w:bCs/>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annotation reference"/>
    <w:qFormat/>
    <w:uiPriority w:val="0"/>
    <w:rPr>
      <w:sz w:val="21"/>
      <w:szCs w:val="21"/>
    </w:rPr>
  </w:style>
  <w:style w:type="character" w:customStyle="1" w:styleId="23">
    <w:name w:val="标题 1 Char"/>
    <w:link w:val="4"/>
    <w:qFormat/>
    <w:uiPriority w:val="0"/>
    <w:rPr>
      <w:rFonts w:hint="eastAsia" w:ascii="Times New Roman" w:hAnsi="Times New Roman" w:eastAsia="宋体"/>
      <w:b/>
      <w:sz w:val="32"/>
    </w:rPr>
  </w:style>
  <w:style w:type="character" w:customStyle="1" w:styleId="24">
    <w:name w:val="标题 3 Char"/>
    <w:link w:val="6"/>
    <w:qFormat/>
    <w:uiPriority w:val="0"/>
    <w:rPr>
      <w:rFonts w:ascii="Times New Roman" w:hAnsi="Times New Roman" w:eastAsia="宋体"/>
      <w:b/>
      <w:kern w:val="44"/>
      <w:sz w:val="28"/>
    </w:rPr>
  </w:style>
  <w:style w:type="character" w:customStyle="1" w:styleId="25">
    <w:name w:val="批注文字 Char"/>
    <w:link w:val="9"/>
    <w:qFormat/>
    <w:uiPriority w:val="0"/>
    <w:rPr>
      <w:rFonts w:ascii="Times New Roman" w:hAnsi="Times New Roman"/>
      <w:kern w:val="2"/>
      <w:sz w:val="28"/>
      <w:szCs w:val="22"/>
    </w:rPr>
  </w:style>
  <w:style w:type="character" w:customStyle="1" w:styleId="26">
    <w:name w:val="批注框文本 Char"/>
    <w:link w:val="12"/>
    <w:qFormat/>
    <w:uiPriority w:val="0"/>
    <w:rPr>
      <w:rFonts w:ascii="Times New Roman" w:hAnsi="Times New Roman"/>
      <w:kern w:val="2"/>
      <w:sz w:val="18"/>
      <w:szCs w:val="18"/>
    </w:rPr>
  </w:style>
  <w:style w:type="character" w:customStyle="1" w:styleId="27">
    <w:name w:val="批注主题 Char"/>
    <w:link w:val="18"/>
    <w:qFormat/>
    <w:uiPriority w:val="0"/>
    <w:rPr>
      <w:rFonts w:ascii="Times New Roman" w:hAnsi="Times New Roman"/>
      <w:b/>
      <w:bCs/>
      <w:kern w:val="2"/>
      <w:sz w:val="28"/>
      <w:szCs w:val="22"/>
    </w:rPr>
  </w:style>
  <w:style w:type="paragraph" w:customStyle="1" w:styleId="28">
    <w:name w:val="图表"/>
    <w:basedOn w:val="1"/>
    <w:next w:val="1"/>
    <w:qFormat/>
    <w:uiPriority w:val="0"/>
    <w:pPr>
      <w:spacing w:line="240" w:lineRule="auto"/>
      <w:jc w:val="center"/>
    </w:pPr>
    <w:rPr>
      <w:b/>
      <w:sz w:val="24"/>
    </w:rPr>
  </w:style>
  <w:style w:type="paragraph" w:customStyle="1" w:styleId="29">
    <w:name w:val="表内文字"/>
    <w:basedOn w:val="1"/>
    <w:qFormat/>
    <w:uiPriority w:val="0"/>
    <w:pPr>
      <w:spacing w:line="320" w:lineRule="exact"/>
      <w:ind w:firstLine="0" w:firstLineChars="0"/>
      <w:jc w:val="center"/>
    </w:pPr>
    <w:rPr>
      <w:rFonts w:ascii="Times New Roman" w:hAnsi="Times New Roman" w:eastAsia="宋体"/>
      <w:sz w:val="21"/>
    </w:rPr>
  </w:style>
  <w:style w:type="table" w:customStyle="1" w:styleId="30">
    <w:name w:val="网格型1"/>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4" Type="http://schemas.microsoft.com/office/2011/relationships/people" Target="people.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6.png"/><Relationship Id="rId4" Type="http://schemas.microsoft.com/office/2011/relationships/commentsExtended" Target="commentsExtended.xml"/><Relationship Id="rId39" Type="http://schemas.openxmlformats.org/officeDocument/2006/relationships/image" Target="media/image15.jpeg"/><Relationship Id="rId38" Type="http://schemas.openxmlformats.org/officeDocument/2006/relationships/image" Target="media/image14.jpeg"/><Relationship Id="rId37" Type="http://schemas.openxmlformats.org/officeDocument/2006/relationships/image" Target="media/image13.jpeg"/><Relationship Id="rId36" Type="http://schemas.openxmlformats.org/officeDocument/2006/relationships/image" Target="media/image12.jpeg"/><Relationship Id="rId35" Type="http://schemas.openxmlformats.org/officeDocument/2006/relationships/image" Target="media/image11.jpeg"/><Relationship Id="rId34" Type="http://schemas.openxmlformats.org/officeDocument/2006/relationships/image" Target="media/image10.jpeg"/><Relationship Id="rId33" Type="http://schemas.openxmlformats.org/officeDocument/2006/relationships/image" Target="media/image9.jpeg"/><Relationship Id="rId32" Type="http://schemas.openxmlformats.org/officeDocument/2006/relationships/image" Target="media/image8.jpe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comments" Target="comments.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footer" Target="footer10.xml"/><Relationship Id="rId22" Type="http://schemas.openxmlformats.org/officeDocument/2006/relationships/header" Target="header7.xml"/><Relationship Id="rId21" Type="http://schemas.openxmlformats.org/officeDocument/2006/relationships/footer" Target="footer9.xml"/><Relationship Id="rId20" Type="http://schemas.openxmlformats.org/officeDocument/2006/relationships/header" Target="header6.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5.xml"/><Relationship Id="rId14" Type="http://schemas.openxmlformats.org/officeDocument/2006/relationships/footer" Target="footer4.xml"/><Relationship Id="rId13" Type="http://schemas.openxmlformats.org/officeDocument/2006/relationships/header" Target="header4.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IxMTI5NjI3NjQ5IiwKCSJHcm91cElkIiA6ICIyMDg3ODQyMDYiLAoJIkltYWdlIiA6ICJpVkJPUncwS0dnb0FBQUFOU1VoRVVnQUFCVDBBQUFHM0NBWUFBQUIyYWZHaEFBQUFDWEJJV1hNQUFBc1RBQUFMRXdFQW1wd1lBQUFnQUVsRVFWUjRuT3pkZVZ5VTFmNEg4TStaR1laTkVCUVUxRnhSU1ZLWUlUTnZpNXBhcGhhbFYwdC9MZVl0Uzh1MHhheXNybWJtdGRUTTBOTFM2N1c2THBsS2VyWE1lOVYySzJad3dRVkZVVFFGa1UwWW1PV1o4L3NEWndKbEYzaFlQdS9YaTVmelBNODU1L25PbkJsNTVzczV6d0d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JuN2Y4QnpkVnVqczBRTXNZQUFBQUFTVVZPUks1Q1lJST0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66</Pages>
  <Words>25541</Words>
  <Characters>30447</Characters>
  <Lines>297</Lines>
  <Paragraphs>83</Paragraphs>
  <TotalTime>16</TotalTime>
  <ScaleCrop>false</ScaleCrop>
  <LinksUpToDate>false</LinksUpToDate>
  <CharactersWithSpaces>30696</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2018-07-30T13:24:00Z</dcterms:created>
  <dc:creator>Administrator</dc:creator>
  <cp:lastModifiedBy>(･ิω･ิ)</cp:lastModifiedBy>
  <cp:lastPrinted>2018-12-21T09:08:00Z</cp:lastPrinted>
  <dcterms:modified xsi:type="dcterms:W3CDTF">2022-09-16T03:18:32Z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5F6044BD10C14375A47290A002439D68</vt:lpwstr>
  </property>
</Properties>
</file>