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41D4CD0">
      <w:pPr>
        <w:ind w:firstLine="720"/>
        <w:jc w:val="center"/>
        <w:rPr>
          <w:rFonts w:eastAsia="方正小标宋简体"/>
          <w:sz w:val="72"/>
          <w:szCs w:val="24"/>
        </w:rPr>
      </w:pPr>
    </w:p>
    <w:p w14:paraId="13189D0F">
      <w:pPr>
        <w:pStyle w:val="19"/>
        <w:ind w:firstLine="241"/>
        <w:rPr>
          <w:b/>
          <w:bCs/>
        </w:rPr>
      </w:pPr>
    </w:p>
    <w:p w14:paraId="105BAEDB">
      <w:pPr>
        <w:spacing w:after="163" w:afterLines="50" w:line="360" w:lineRule="auto"/>
        <w:ind w:firstLine="482"/>
        <w:jc w:val="center"/>
        <w:rPr>
          <w:b/>
          <w:bCs/>
          <w:sz w:val="48"/>
          <w:szCs w:val="48"/>
        </w:rPr>
      </w:pPr>
      <w:r>
        <w:rPr>
          <w:rFonts w:hint="eastAsia"/>
          <w:b/>
          <w:bCs/>
          <w:sz w:val="48"/>
          <w:szCs w:val="48"/>
        </w:rPr>
        <w:t>四川省金堂县资水河防洪治理工程（二期）建设项目</w:t>
      </w:r>
      <w:r>
        <w:rPr>
          <w:b/>
          <w:bCs/>
          <w:sz w:val="48"/>
          <w:szCs w:val="48"/>
        </w:rPr>
        <w:t>竣工环境保护验收调查报告表</w:t>
      </w:r>
    </w:p>
    <w:p w14:paraId="284FB98A">
      <w:pPr>
        <w:ind w:firstLine="320"/>
        <w:rPr>
          <w:sz w:val="32"/>
          <w:szCs w:val="24"/>
        </w:rPr>
      </w:pPr>
    </w:p>
    <w:p w14:paraId="158D9C88">
      <w:pPr>
        <w:pStyle w:val="19"/>
        <w:ind w:left="0" w:leftChars="0" w:firstLine="240"/>
      </w:pPr>
    </w:p>
    <w:p w14:paraId="3C4FA6B9">
      <w:pPr>
        <w:spacing w:line="720" w:lineRule="auto"/>
        <w:rPr>
          <w:b/>
          <w:bCs/>
          <w:sz w:val="36"/>
          <w:szCs w:val="36"/>
          <w:u w:val="single"/>
        </w:rPr>
      </w:pPr>
    </w:p>
    <w:p w14:paraId="5C00CE52">
      <w:pPr>
        <w:pStyle w:val="19"/>
      </w:pPr>
    </w:p>
    <w:p w14:paraId="3869620B">
      <w:pPr>
        <w:pStyle w:val="19"/>
      </w:pPr>
    </w:p>
    <w:p w14:paraId="56BBCCAA">
      <w:pPr>
        <w:spacing w:line="720" w:lineRule="auto"/>
        <w:ind w:firstLine="542" w:firstLineChars="150"/>
      </w:pPr>
      <w:r>
        <w:rPr>
          <w:rFonts w:hint="eastAsia"/>
          <w:b/>
          <w:sz w:val="36"/>
          <w:szCs w:val="36"/>
        </w:rPr>
        <w:t>建设</w:t>
      </w:r>
      <w:r>
        <w:rPr>
          <w:b/>
          <w:sz w:val="36"/>
          <w:szCs w:val="36"/>
        </w:rPr>
        <w:t>单位：</w:t>
      </w:r>
      <w:r>
        <w:rPr>
          <w:b/>
          <w:bCs/>
          <w:sz w:val="36"/>
          <w:szCs w:val="36"/>
          <w:u w:val="single"/>
        </w:rPr>
        <w:t xml:space="preserve"> </w:t>
      </w:r>
      <w:r>
        <w:rPr>
          <w:rFonts w:hint="eastAsia"/>
          <w:b/>
          <w:bCs/>
          <w:sz w:val="36"/>
          <w:szCs w:val="36"/>
          <w:u w:val="single"/>
        </w:rPr>
        <w:t>四川田岭涧生物科技发展有限公司</w:t>
      </w:r>
      <w:r>
        <w:rPr>
          <w:b/>
          <w:bCs/>
          <w:sz w:val="36"/>
          <w:szCs w:val="36"/>
          <w:u w:val="single"/>
        </w:rPr>
        <w:t xml:space="preserve">    </w:t>
      </w:r>
      <w:r>
        <w:rPr>
          <w:b/>
          <w:bCs/>
          <w:sz w:val="32"/>
          <w:szCs w:val="32"/>
          <w:u w:val="single"/>
        </w:rPr>
        <w:t xml:space="preserve"> </w:t>
      </w:r>
    </w:p>
    <w:p w14:paraId="1DA1990A">
      <w:pPr>
        <w:spacing w:line="720" w:lineRule="auto"/>
        <w:ind w:firstLine="542" w:firstLineChars="150"/>
      </w:pPr>
      <w:r>
        <w:rPr>
          <w:rFonts w:hint="eastAsia"/>
          <w:b/>
          <w:sz w:val="36"/>
          <w:szCs w:val="36"/>
        </w:rPr>
        <w:t>调查</w:t>
      </w:r>
      <w:r>
        <w:rPr>
          <w:b/>
          <w:sz w:val="36"/>
          <w:szCs w:val="36"/>
        </w:rPr>
        <w:t>单位：</w:t>
      </w:r>
      <w:r>
        <w:rPr>
          <w:b/>
          <w:bCs/>
          <w:sz w:val="36"/>
          <w:szCs w:val="36"/>
          <w:u w:val="single"/>
        </w:rPr>
        <w:t xml:space="preserve">  </w:t>
      </w:r>
      <w:r>
        <w:rPr>
          <w:rFonts w:hint="eastAsia"/>
          <w:b/>
          <w:bCs/>
          <w:sz w:val="36"/>
          <w:szCs w:val="36"/>
          <w:u w:val="single"/>
        </w:rPr>
        <w:t>成都花园水城环境科技有限公司</w:t>
      </w:r>
      <w:r>
        <w:rPr>
          <w:b/>
          <w:bCs/>
          <w:sz w:val="36"/>
          <w:szCs w:val="36"/>
          <w:u w:val="single"/>
        </w:rPr>
        <w:t xml:space="preserve">    </w:t>
      </w:r>
      <w:r>
        <w:rPr>
          <w:b/>
          <w:bCs/>
          <w:sz w:val="32"/>
          <w:szCs w:val="32"/>
          <w:u w:val="single"/>
        </w:rPr>
        <w:t xml:space="preserve"> </w:t>
      </w:r>
    </w:p>
    <w:p w14:paraId="5B78C9C1"/>
    <w:p w14:paraId="43E0E900"/>
    <w:p w14:paraId="26577074"/>
    <w:p w14:paraId="0381E89D"/>
    <w:p w14:paraId="4D4BCDF0">
      <w:pPr>
        <w:pStyle w:val="19"/>
      </w:pPr>
    </w:p>
    <w:p w14:paraId="56534D34">
      <w:pPr>
        <w:pStyle w:val="19"/>
      </w:pPr>
    </w:p>
    <w:p w14:paraId="29C573AD">
      <w:pPr>
        <w:jc w:val="center"/>
        <w:rPr>
          <w:sz w:val="32"/>
          <w:szCs w:val="32"/>
        </w:rPr>
      </w:pPr>
      <w:r>
        <w:rPr>
          <w:rFonts w:hint="eastAsia"/>
          <w:b/>
          <w:sz w:val="36"/>
          <w:szCs w:val="36"/>
        </w:rPr>
        <w:t>编制日期：</w:t>
      </w:r>
      <w:r>
        <w:rPr>
          <w:b/>
          <w:sz w:val="36"/>
          <w:szCs w:val="36"/>
        </w:rPr>
        <w:t>二〇二</w:t>
      </w:r>
      <w:r>
        <w:rPr>
          <w:rFonts w:hint="eastAsia"/>
          <w:b/>
          <w:sz w:val="36"/>
          <w:szCs w:val="36"/>
          <w:lang w:val="en-US" w:eastAsia="zh-CN"/>
        </w:rPr>
        <w:t>五</w:t>
      </w:r>
      <w:r>
        <w:rPr>
          <w:b/>
          <w:sz w:val="36"/>
          <w:szCs w:val="36"/>
        </w:rPr>
        <w:t>年</w:t>
      </w:r>
      <w:r>
        <w:rPr>
          <w:rFonts w:hint="eastAsia"/>
          <w:b/>
          <w:sz w:val="36"/>
          <w:szCs w:val="36"/>
          <w:lang w:val="en-US" w:eastAsia="zh-CN"/>
        </w:rPr>
        <w:t>十二</w:t>
      </w:r>
      <w:r>
        <w:rPr>
          <w:b/>
          <w:sz w:val="36"/>
          <w:szCs w:val="36"/>
        </w:rPr>
        <w:t>月</w:t>
      </w:r>
    </w:p>
    <w:p w14:paraId="1959044F">
      <w:pPr>
        <w:widowControl/>
        <w:jc w:val="left"/>
        <w:rPr>
          <w:b/>
          <w:sz w:val="36"/>
          <w:szCs w:val="24"/>
        </w:rPr>
      </w:pPr>
      <w:r>
        <w:rPr>
          <w:b/>
          <w:sz w:val="36"/>
          <w:szCs w:val="24"/>
        </w:rPr>
        <w:br w:type="page"/>
      </w:r>
    </w:p>
    <w:p w14:paraId="62D4EF9A">
      <w:pPr>
        <w:spacing w:before="163" w:beforeLines="50" w:after="326" w:afterLines="100" w:line="360" w:lineRule="auto"/>
        <w:ind w:firstLine="361"/>
        <w:jc w:val="center"/>
        <w:rPr>
          <w:b/>
          <w:sz w:val="36"/>
          <w:szCs w:val="24"/>
        </w:rPr>
        <w:sectPr>
          <w:pgSz w:w="11906" w:h="16838"/>
          <w:pgMar w:top="1440" w:right="1701" w:bottom="1440" w:left="1701" w:header="851" w:footer="992" w:gutter="0"/>
          <w:pgBorders>
            <w:top w:val="none" w:sz="0" w:space="0"/>
            <w:left w:val="none" w:sz="0" w:space="0"/>
            <w:bottom w:val="none" w:sz="0" w:space="0"/>
            <w:right w:val="none" w:sz="0" w:space="0"/>
          </w:pgBorders>
          <w:cols w:space="720" w:num="1"/>
          <w:docGrid w:type="lines" w:linePitch="326" w:charSpace="0"/>
        </w:sectPr>
      </w:pPr>
    </w:p>
    <w:p w14:paraId="465C37BA">
      <w:pPr>
        <w:pStyle w:val="19"/>
        <w:ind w:firstLine="240"/>
      </w:pPr>
    </w:p>
    <w:p w14:paraId="5AD2C1AC">
      <w:pPr>
        <w:pStyle w:val="19"/>
        <w:ind w:firstLine="240"/>
      </w:pPr>
    </w:p>
    <w:p w14:paraId="625CBAED">
      <w:pPr>
        <w:pStyle w:val="19"/>
        <w:ind w:firstLine="240"/>
      </w:pPr>
    </w:p>
    <w:p w14:paraId="1A7BEEF7">
      <w:pPr>
        <w:pStyle w:val="19"/>
        <w:ind w:firstLine="240"/>
      </w:pPr>
    </w:p>
    <w:p w14:paraId="3CE1D1D7">
      <w:pPr>
        <w:spacing w:line="360" w:lineRule="auto"/>
        <w:ind w:firstLine="240"/>
        <w:rPr>
          <w:sz w:val="24"/>
          <w:szCs w:val="24"/>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14:paraId="3E3BF069">
      <w:pPr>
        <w:spacing w:line="360" w:lineRule="auto"/>
        <w:ind w:firstLine="281"/>
        <w:outlineLvl w:val="0"/>
        <w:rPr>
          <w:b/>
          <w:sz w:val="28"/>
        </w:rPr>
      </w:pPr>
      <w:bookmarkStart w:id="0" w:name="_Toc11042"/>
      <w:r>
        <w:rPr>
          <w:b/>
          <w:sz w:val="28"/>
        </w:rPr>
        <w:t>表一、建设项目总体情况</w:t>
      </w:r>
      <w:bookmarkEnd w:id="0"/>
    </w:p>
    <w:tbl>
      <w:tblPr>
        <w:tblStyle w:val="33"/>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800"/>
        <w:gridCol w:w="970"/>
        <w:gridCol w:w="1365"/>
        <w:gridCol w:w="33"/>
        <w:gridCol w:w="645"/>
        <w:gridCol w:w="347"/>
        <w:gridCol w:w="82"/>
        <w:gridCol w:w="1052"/>
        <w:gridCol w:w="410"/>
        <w:gridCol w:w="198"/>
        <w:gridCol w:w="526"/>
        <w:gridCol w:w="24"/>
        <w:gridCol w:w="1166"/>
      </w:tblGrid>
      <w:tr w14:paraId="66277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00" w:type="dxa"/>
            <w:vAlign w:val="center"/>
          </w:tcPr>
          <w:p w14:paraId="1C82B4AD">
            <w:pPr>
              <w:jc w:val="center"/>
              <w:outlineLvl w:val="0"/>
              <w:rPr>
                <w:sz w:val="24"/>
                <w:szCs w:val="24"/>
              </w:rPr>
            </w:pPr>
            <w:bookmarkStart w:id="1" w:name="_Toc16380"/>
            <w:bookmarkStart w:id="2" w:name="_Toc165483336"/>
            <w:r>
              <w:rPr>
                <w:sz w:val="24"/>
                <w:szCs w:val="24"/>
              </w:rPr>
              <w:t>建设项目名称</w:t>
            </w:r>
            <w:bookmarkEnd w:id="1"/>
            <w:bookmarkEnd w:id="2"/>
          </w:p>
        </w:tc>
        <w:tc>
          <w:tcPr>
            <w:tcW w:w="6818" w:type="dxa"/>
            <w:gridSpan w:val="12"/>
            <w:vAlign w:val="center"/>
          </w:tcPr>
          <w:p w14:paraId="5D5A2417">
            <w:pPr>
              <w:jc w:val="center"/>
              <w:outlineLvl w:val="0"/>
              <w:rPr>
                <w:rFonts w:hint="eastAsia" w:eastAsia="宋体"/>
                <w:sz w:val="24"/>
                <w:szCs w:val="24"/>
                <w:lang w:eastAsia="zh-CN"/>
              </w:rPr>
            </w:pPr>
            <w:r>
              <w:rPr>
                <w:rFonts w:hint="eastAsia" w:eastAsia="宋体"/>
                <w:sz w:val="24"/>
                <w:szCs w:val="24"/>
                <w:lang w:eastAsia="zh-CN"/>
              </w:rPr>
              <w:t>四川省金堂县资水河防洪治理工程（二期）</w:t>
            </w:r>
          </w:p>
        </w:tc>
      </w:tr>
      <w:tr w14:paraId="04D3EF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00" w:type="dxa"/>
            <w:vAlign w:val="center"/>
          </w:tcPr>
          <w:p w14:paraId="143F9AB0">
            <w:pPr>
              <w:jc w:val="center"/>
              <w:outlineLvl w:val="0"/>
              <w:rPr>
                <w:sz w:val="24"/>
                <w:szCs w:val="24"/>
              </w:rPr>
            </w:pPr>
            <w:bookmarkStart w:id="3" w:name="_Toc21922"/>
            <w:bookmarkStart w:id="4" w:name="_Toc165483338"/>
            <w:r>
              <w:rPr>
                <w:sz w:val="24"/>
                <w:szCs w:val="24"/>
              </w:rPr>
              <w:t>建设单位</w:t>
            </w:r>
            <w:bookmarkEnd w:id="3"/>
            <w:bookmarkEnd w:id="4"/>
          </w:p>
        </w:tc>
        <w:tc>
          <w:tcPr>
            <w:tcW w:w="6818" w:type="dxa"/>
            <w:gridSpan w:val="12"/>
            <w:vAlign w:val="center"/>
          </w:tcPr>
          <w:p w14:paraId="671DFF31">
            <w:pPr>
              <w:jc w:val="center"/>
              <w:outlineLvl w:val="0"/>
              <w:rPr>
                <w:sz w:val="24"/>
                <w:szCs w:val="24"/>
              </w:rPr>
            </w:pPr>
            <w:r>
              <w:rPr>
                <w:rFonts w:hint="eastAsia"/>
                <w:sz w:val="24"/>
                <w:szCs w:val="24"/>
              </w:rPr>
              <w:t>四川田岭涧生物科技发展有限公司</w:t>
            </w:r>
          </w:p>
        </w:tc>
      </w:tr>
      <w:tr w14:paraId="027F6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00" w:type="dxa"/>
            <w:vAlign w:val="center"/>
          </w:tcPr>
          <w:p w14:paraId="51A7BA2D">
            <w:pPr>
              <w:jc w:val="center"/>
              <w:outlineLvl w:val="0"/>
              <w:rPr>
                <w:sz w:val="24"/>
                <w:szCs w:val="24"/>
              </w:rPr>
            </w:pPr>
            <w:bookmarkStart w:id="5" w:name="_Toc165483340"/>
            <w:bookmarkStart w:id="6" w:name="_Toc18272"/>
            <w:r>
              <w:rPr>
                <w:sz w:val="24"/>
                <w:szCs w:val="24"/>
              </w:rPr>
              <w:t>法人代表</w:t>
            </w:r>
            <w:bookmarkEnd w:id="5"/>
            <w:bookmarkEnd w:id="6"/>
          </w:p>
        </w:tc>
        <w:tc>
          <w:tcPr>
            <w:tcW w:w="2368" w:type="dxa"/>
            <w:gridSpan w:val="3"/>
            <w:vAlign w:val="center"/>
          </w:tcPr>
          <w:p w14:paraId="2A9E25D8">
            <w:pPr>
              <w:jc w:val="center"/>
              <w:outlineLvl w:val="0"/>
              <w:rPr>
                <w:rFonts w:hint="default" w:eastAsia="宋体"/>
                <w:sz w:val="24"/>
                <w:szCs w:val="24"/>
                <w:lang w:val="en-US" w:eastAsia="zh-CN"/>
              </w:rPr>
            </w:pPr>
            <w:r>
              <w:rPr>
                <w:rFonts w:hint="eastAsia"/>
                <w:sz w:val="24"/>
                <w:szCs w:val="24"/>
                <w:lang w:val="en-US" w:eastAsia="zh-CN"/>
              </w:rPr>
              <w:t>---</w:t>
            </w:r>
            <w:bookmarkStart w:id="177" w:name="_GoBack"/>
            <w:bookmarkEnd w:id="177"/>
          </w:p>
        </w:tc>
        <w:tc>
          <w:tcPr>
            <w:tcW w:w="2126" w:type="dxa"/>
            <w:gridSpan w:val="4"/>
            <w:vAlign w:val="center"/>
          </w:tcPr>
          <w:p w14:paraId="101E8C9D">
            <w:pPr>
              <w:jc w:val="center"/>
              <w:outlineLvl w:val="0"/>
              <w:rPr>
                <w:sz w:val="24"/>
                <w:szCs w:val="24"/>
              </w:rPr>
            </w:pPr>
            <w:bookmarkStart w:id="7" w:name="_Toc165483342"/>
            <w:bookmarkStart w:id="8" w:name="_Toc16308"/>
            <w:r>
              <w:rPr>
                <w:sz w:val="24"/>
                <w:szCs w:val="24"/>
              </w:rPr>
              <w:t>联系人</w:t>
            </w:r>
            <w:bookmarkEnd w:id="7"/>
            <w:bookmarkEnd w:id="8"/>
          </w:p>
        </w:tc>
        <w:tc>
          <w:tcPr>
            <w:tcW w:w="2324" w:type="dxa"/>
            <w:gridSpan w:val="5"/>
            <w:vAlign w:val="center"/>
          </w:tcPr>
          <w:p w14:paraId="7F051EE6">
            <w:pPr>
              <w:jc w:val="center"/>
              <w:outlineLvl w:val="0"/>
              <w:rPr>
                <w:rFonts w:hint="default" w:eastAsia="宋体"/>
                <w:sz w:val="24"/>
                <w:szCs w:val="24"/>
                <w:lang w:val="en-US" w:eastAsia="zh-CN"/>
              </w:rPr>
            </w:pPr>
            <w:r>
              <w:rPr>
                <w:rFonts w:hint="eastAsia"/>
                <w:sz w:val="24"/>
                <w:szCs w:val="24"/>
                <w:lang w:val="en-US" w:eastAsia="zh-CN"/>
              </w:rPr>
              <w:t>---</w:t>
            </w:r>
          </w:p>
        </w:tc>
      </w:tr>
      <w:tr w14:paraId="7C558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00" w:type="dxa"/>
            <w:vAlign w:val="center"/>
          </w:tcPr>
          <w:p w14:paraId="6BFD44A2">
            <w:pPr>
              <w:jc w:val="center"/>
              <w:outlineLvl w:val="0"/>
              <w:rPr>
                <w:sz w:val="24"/>
                <w:szCs w:val="24"/>
              </w:rPr>
            </w:pPr>
            <w:bookmarkStart w:id="9" w:name="_Toc7919"/>
            <w:bookmarkStart w:id="10" w:name="_Toc165483344"/>
            <w:r>
              <w:rPr>
                <w:sz w:val="24"/>
                <w:szCs w:val="24"/>
              </w:rPr>
              <w:t>通讯地址</w:t>
            </w:r>
            <w:bookmarkEnd w:id="9"/>
            <w:bookmarkEnd w:id="10"/>
          </w:p>
        </w:tc>
        <w:tc>
          <w:tcPr>
            <w:tcW w:w="6818" w:type="dxa"/>
            <w:gridSpan w:val="12"/>
            <w:vAlign w:val="center"/>
          </w:tcPr>
          <w:p w14:paraId="6E3EDA9C">
            <w:pPr>
              <w:jc w:val="center"/>
              <w:outlineLvl w:val="0"/>
              <w:rPr>
                <w:rFonts w:hint="default" w:eastAsia="宋体"/>
                <w:sz w:val="24"/>
                <w:szCs w:val="24"/>
                <w:lang w:val="en-US" w:eastAsia="zh-CN"/>
              </w:rPr>
            </w:pPr>
            <w:r>
              <w:rPr>
                <w:rFonts w:hint="default" w:eastAsia="宋体"/>
                <w:sz w:val="24"/>
                <w:szCs w:val="24"/>
                <w:lang w:val="en-US" w:eastAsia="zh-CN"/>
              </w:rPr>
              <w:t>四川省成都市金堂县竹篙镇竹富路466号食用菌产业园</w:t>
            </w:r>
          </w:p>
        </w:tc>
      </w:tr>
      <w:tr w14:paraId="175DF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00" w:type="dxa"/>
            <w:vAlign w:val="center"/>
          </w:tcPr>
          <w:p w14:paraId="786F3E73">
            <w:pPr>
              <w:jc w:val="center"/>
              <w:outlineLvl w:val="0"/>
              <w:rPr>
                <w:sz w:val="24"/>
                <w:szCs w:val="24"/>
              </w:rPr>
            </w:pPr>
            <w:bookmarkStart w:id="11" w:name="_Toc165483346"/>
            <w:bookmarkStart w:id="12" w:name="_Toc22758"/>
            <w:r>
              <w:rPr>
                <w:sz w:val="24"/>
                <w:szCs w:val="24"/>
              </w:rPr>
              <w:t>联系电话</w:t>
            </w:r>
            <w:bookmarkEnd w:id="11"/>
            <w:bookmarkEnd w:id="12"/>
          </w:p>
        </w:tc>
        <w:tc>
          <w:tcPr>
            <w:tcW w:w="2368" w:type="dxa"/>
            <w:gridSpan w:val="3"/>
            <w:vAlign w:val="center"/>
          </w:tcPr>
          <w:p w14:paraId="5EBBB158">
            <w:pPr>
              <w:jc w:val="center"/>
              <w:outlineLvl w:val="0"/>
              <w:rPr>
                <w:rFonts w:hint="default"/>
                <w:sz w:val="24"/>
                <w:szCs w:val="24"/>
                <w:lang w:val="en-US"/>
              </w:rPr>
            </w:pPr>
            <w:r>
              <w:rPr>
                <w:rFonts w:hint="eastAsia"/>
                <w:sz w:val="24"/>
                <w:szCs w:val="24"/>
                <w:lang w:val="en-US" w:eastAsia="zh-CN"/>
              </w:rPr>
              <w:t>--</w:t>
            </w:r>
          </w:p>
        </w:tc>
        <w:tc>
          <w:tcPr>
            <w:tcW w:w="992" w:type="dxa"/>
            <w:gridSpan w:val="2"/>
            <w:vAlign w:val="center"/>
          </w:tcPr>
          <w:p w14:paraId="6B6430AE">
            <w:pPr>
              <w:jc w:val="center"/>
              <w:outlineLvl w:val="0"/>
              <w:rPr>
                <w:sz w:val="24"/>
                <w:szCs w:val="24"/>
              </w:rPr>
            </w:pPr>
            <w:bookmarkStart w:id="13" w:name="_Toc14662"/>
            <w:r>
              <w:rPr>
                <w:rFonts w:hint="eastAsia"/>
                <w:sz w:val="24"/>
                <w:szCs w:val="24"/>
              </w:rPr>
              <w:t>传真</w:t>
            </w:r>
            <w:bookmarkEnd w:id="13"/>
          </w:p>
        </w:tc>
        <w:tc>
          <w:tcPr>
            <w:tcW w:w="1134" w:type="dxa"/>
            <w:gridSpan w:val="2"/>
            <w:vAlign w:val="center"/>
          </w:tcPr>
          <w:p w14:paraId="37241589">
            <w:pPr>
              <w:jc w:val="center"/>
              <w:outlineLvl w:val="0"/>
              <w:rPr>
                <w:sz w:val="24"/>
                <w:szCs w:val="24"/>
              </w:rPr>
            </w:pPr>
            <w:bookmarkStart w:id="14" w:name="_Toc8636"/>
            <w:r>
              <w:rPr>
                <w:rFonts w:hint="eastAsia"/>
                <w:sz w:val="24"/>
                <w:szCs w:val="24"/>
              </w:rPr>
              <w:t>无</w:t>
            </w:r>
            <w:bookmarkEnd w:id="14"/>
          </w:p>
        </w:tc>
        <w:tc>
          <w:tcPr>
            <w:tcW w:w="1134" w:type="dxa"/>
            <w:gridSpan w:val="3"/>
            <w:vAlign w:val="center"/>
          </w:tcPr>
          <w:p w14:paraId="618F68A4">
            <w:pPr>
              <w:jc w:val="center"/>
              <w:outlineLvl w:val="0"/>
              <w:rPr>
                <w:sz w:val="24"/>
                <w:szCs w:val="24"/>
              </w:rPr>
            </w:pPr>
            <w:bookmarkStart w:id="15" w:name="_Toc165483348"/>
            <w:bookmarkStart w:id="16" w:name="_Toc2922"/>
            <w:r>
              <w:rPr>
                <w:sz w:val="24"/>
                <w:szCs w:val="24"/>
              </w:rPr>
              <w:t>邮政编码</w:t>
            </w:r>
            <w:bookmarkEnd w:id="15"/>
            <w:bookmarkEnd w:id="16"/>
          </w:p>
        </w:tc>
        <w:tc>
          <w:tcPr>
            <w:tcW w:w="1190" w:type="dxa"/>
            <w:gridSpan w:val="2"/>
            <w:vAlign w:val="center"/>
          </w:tcPr>
          <w:p w14:paraId="55AE3617">
            <w:pPr>
              <w:jc w:val="center"/>
              <w:outlineLvl w:val="0"/>
              <w:rPr>
                <w:rFonts w:hint="default" w:eastAsia="宋体"/>
                <w:sz w:val="24"/>
                <w:szCs w:val="24"/>
                <w:lang w:val="en-US" w:eastAsia="zh-CN"/>
              </w:rPr>
            </w:pPr>
            <w:r>
              <w:rPr>
                <w:rFonts w:hint="default" w:eastAsia="宋体"/>
                <w:sz w:val="24"/>
                <w:szCs w:val="24"/>
                <w:lang w:val="en-US" w:eastAsia="zh-CN"/>
              </w:rPr>
              <w:t>610400</w:t>
            </w:r>
          </w:p>
        </w:tc>
      </w:tr>
      <w:tr w14:paraId="24305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00" w:type="dxa"/>
            <w:vAlign w:val="center"/>
          </w:tcPr>
          <w:p w14:paraId="0B5B35E8">
            <w:pPr>
              <w:jc w:val="center"/>
              <w:outlineLvl w:val="0"/>
              <w:rPr>
                <w:sz w:val="24"/>
                <w:szCs w:val="24"/>
              </w:rPr>
            </w:pPr>
            <w:bookmarkStart w:id="17" w:name="_Toc18905"/>
            <w:bookmarkStart w:id="18" w:name="_Toc165483350"/>
            <w:r>
              <w:rPr>
                <w:sz w:val="24"/>
                <w:szCs w:val="24"/>
              </w:rPr>
              <w:t>建设地点</w:t>
            </w:r>
            <w:bookmarkEnd w:id="17"/>
            <w:bookmarkEnd w:id="18"/>
          </w:p>
        </w:tc>
        <w:tc>
          <w:tcPr>
            <w:tcW w:w="6818" w:type="dxa"/>
            <w:gridSpan w:val="12"/>
            <w:vAlign w:val="center"/>
          </w:tcPr>
          <w:p w14:paraId="51938A60">
            <w:pPr>
              <w:jc w:val="center"/>
              <w:outlineLvl w:val="0"/>
              <w:rPr>
                <w:rFonts w:hint="eastAsia" w:eastAsia="宋体"/>
                <w:sz w:val="24"/>
                <w:szCs w:val="24"/>
                <w:lang w:eastAsia="zh-CN"/>
              </w:rPr>
            </w:pPr>
            <w:r>
              <w:rPr>
                <w:rFonts w:hint="eastAsia"/>
                <w:sz w:val="24"/>
                <w:szCs w:val="24"/>
              </w:rPr>
              <w:t>四川省成都市金堂县转龙镇和竹篙镇</w:t>
            </w:r>
          </w:p>
        </w:tc>
      </w:tr>
      <w:tr w14:paraId="61684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00" w:type="dxa"/>
            <w:vAlign w:val="center"/>
          </w:tcPr>
          <w:p w14:paraId="6D8EF115">
            <w:pPr>
              <w:jc w:val="center"/>
              <w:outlineLvl w:val="0"/>
              <w:rPr>
                <w:sz w:val="24"/>
                <w:szCs w:val="24"/>
              </w:rPr>
            </w:pPr>
            <w:bookmarkStart w:id="19" w:name="_Toc165483353"/>
            <w:bookmarkStart w:id="20" w:name="_Toc23266"/>
            <w:r>
              <w:rPr>
                <w:sz w:val="24"/>
                <w:szCs w:val="24"/>
              </w:rPr>
              <w:t>项目建设性质</w:t>
            </w:r>
            <w:bookmarkEnd w:id="19"/>
            <w:bookmarkEnd w:id="20"/>
          </w:p>
        </w:tc>
        <w:tc>
          <w:tcPr>
            <w:tcW w:w="2335" w:type="dxa"/>
            <w:gridSpan w:val="2"/>
            <w:vAlign w:val="center"/>
          </w:tcPr>
          <w:p w14:paraId="1FC3A87E">
            <w:pPr>
              <w:outlineLvl w:val="0"/>
              <w:rPr>
                <w:sz w:val="24"/>
                <w:szCs w:val="24"/>
              </w:rPr>
            </w:pPr>
            <w:bookmarkStart w:id="21" w:name="_Toc165483354"/>
            <w:bookmarkStart w:id="22" w:name="_Toc19297"/>
            <w:r>
              <w:rPr>
                <w:rFonts w:hint="eastAsia"/>
                <w:sz w:val="24"/>
                <w:szCs w:val="24"/>
                <w:lang w:eastAsia="zh-CN"/>
              </w:rPr>
              <w:t>☑</w:t>
            </w:r>
            <w:r>
              <w:rPr>
                <w:sz w:val="24"/>
                <w:szCs w:val="24"/>
              </w:rPr>
              <w:t>新建</w:t>
            </w:r>
            <w:r>
              <w:rPr>
                <w:rFonts w:hint="eastAsia"/>
                <w:sz w:val="24"/>
                <w:szCs w:val="24"/>
                <w:lang w:val="en-US" w:eastAsia="zh-CN"/>
              </w:rPr>
              <w:t xml:space="preserve">   </w:t>
            </w:r>
            <w:r>
              <w:rPr>
                <w:rFonts w:hint="eastAsia"/>
                <w:sz w:val="24"/>
                <w:szCs w:val="24"/>
                <w:lang w:eastAsia="zh-CN"/>
              </w:rPr>
              <w:t>□</w:t>
            </w:r>
            <w:r>
              <w:rPr>
                <w:rFonts w:hint="eastAsia"/>
                <w:sz w:val="24"/>
                <w:szCs w:val="24"/>
              </w:rPr>
              <w:t xml:space="preserve"> </w:t>
            </w:r>
            <w:r>
              <w:rPr>
                <w:sz w:val="24"/>
                <w:szCs w:val="24"/>
              </w:rPr>
              <w:t>改扩建</w:t>
            </w:r>
            <w:r>
              <w:rPr>
                <w:rFonts w:hint="eastAsia"/>
                <w:sz w:val="24"/>
                <w:szCs w:val="24"/>
                <w:lang w:val="en-US" w:eastAsia="zh-CN"/>
              </w:rPr>
              <w:t xml:space="preserve">  </w:t>
            </w:r>
            <w:r>
              <w:rPr>
                <w:sz w:val="24"/>
                <w:szCs w:val="24"/>
              </w:rPr>
              <w:t xml:space="preserve"> □技术改造</w:t>
            </w:r>
            <w:bookmarkEnd w:id="21"/>
            <w:bookmarkEnd w:id="22"/>
          </w:p>
        </w:tc>
        <w:tc>
          <w:tcPr>
            <w:tcW w:w="1025" w:type="dxa"/>
            <w:gridSpan w:val="3"/>
            <w:vAlign w:val="center"/>
          </w:tcPr>
          <w:p w14:paraId="3023B8F9">
            <w:pPr>
              <w:jc w:val="center"/>
              <w:outlineLvl w:val="0"/>
              <w:rPr>
                <w:sz w:val="24"/>
                <w:szCs w:val="24"/>
              </w:rPr>
            </w:pPr>
            <w:bookmarkStart w:id="23" w:name="_Toc165483355"/>
            <w:bookmarkStart w:id="24" w:name="_Toc19183"/>
            <w:r>
              <w:rPr>
                <w:sz w:val="24"/>
                <w:szCs w:val="24"/>
              </w:rPr>
              <w:t>行业类别</w:t>
            </w:r>
            <w:bookmarkEnd w:id="23"/>
            <w:bookmarkEnd w:id="24"/>
          </w:p>
        </w:tc>
        <w:tc>
          <w:tcPr>
            <w:tcW w:w="3458" w:type="dxa"/>
            <w:gridSpan w:val="7"/>
            <w:vAlign w:val="center"/>
          </w:tcPr>
          <w:p w14:paraId="3ED70F70">
            <w:pPr>
              <w:adjustRightInd w:val="0"/>
              <w:snapToGrid w:val="0"/>
              <w:jc w:val="center"/>
              <w:rPr>
                <w:sz w:val="24"/>
              </w:rPr>
            </w:pPr>
            <w:r>
              <w:rPr>
                <w:rFonts w:hint="eastAsia"/>
                <w:sz w:val="24"/>
              </w:rPr>
              <w:t>五十一、水利</w:t>
            </w:r>
          </w:p>
          <w:p w14:paraId="654CBCB5">
            <w:pPr>
              <w:adjustRightInd w:val="0"/>
              <w:snapToGrid w:val="0"/>
              <w:jc w:val="center"/>
              <w:rPr>
                <w:sz w:val="24"/>
              </w:rPr>
            </w:pPr>
            <w:r>
              <w:rPr>
                <w:rFonts w:hint="eastAsia"/>
                <w:sz w:val="24"/>
              </w:rPr>
              <w:t>127防洪除涝工程</w:t>
            </w:r>
            <w:r>
              <w:rPr>
                <w:sz w:val="24"/>
              </w:rPr>
              <w:t>—</w:t>
            </w:r>
            <w:r>
              <w:rPr>
                <w:rFonts w:hint="eastAsia"/>
                <w:sz w:val="24"/>
              </w:rPr>
              <w:t>其他（小型沟渠的护坡除外；城镇排涝河流水闸、排涝泵站除外）</w:t>
            </w:r>
          </w:p>
          <w:p w14:paraId="0B704510">
            <w:pPr>
              <w:jc w:val="center"/>
              <w:outlineLvl w:val="0"/>
              <w:rPr>
                <w:sz w:val="24"/>
                <w:szCs w:val="24"/>
              </w:rPr>
            </w:pPr>
            <w:r>
              <w:rPr>
                <w:rFonts w:hint="eastAsia"/>
                <w:sz w:val="24"/>
              </w:rPr>
              <w:t>128、河湖整治（不含农村塘堰、水渠）</w:t>
            </w:r>
            <w:r>
              <w:rPr>
                <w:sz w:val="24"/>
              </w:rPr>
              <w:t>—</w:t>
            </w:r>
            <w:r>
              <w:rPr>
                <w:rFonts w:hint="eastAsia"/>
                <w:sz w:val="24"/>
              </w:rPr>
              <w:t>其他</w:t>
            </w:r>
          </w:p>
        </w:tc>
      </w:tr>
      <w:tr w14:paraId="6551F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00" w:type="dxa"/>
            <w:vAlign w:val="center"/>
          </w:tcPr>
          <w:p w14:paraId="79C538DF">
            <w:pPr>
              <w:jc w:val="center"/>
              <w:outlineLvl w:val="0"/>
              <w:rPr>
                <w:sz w:val="24"/>
                <w:szCs w:val="24"/>
              </w:rPr>
            </w:pPr>
            <w:bookmarkStart w:id="25" w:name="_Toc165483357"/>
            <w:bookmarkStart w:id="26" w:name="_Toc14976"/>
            <w:r>
              <w:rPr>
                <w:sz w:val="24"/>
                <w:szCs w:val="24"/>
              </w:rPr>
              <w:t>环境影响</w:t>
            </w:r>
            <w:bookmarkEnd w:id="25"/>
            <w:bookmarkEnd w:id="26"/>
          </w:p>
          <w:p w14:paraId="1E23B67B">
            <w:pPr>
              <w:jc w:val="center"/>
              <w:outlineLvl w:val="0"/>
              <w:rPr>
                <w:sz w:val="24"/>
                <w:szCs w:val="24"/>
              </w:rPr>
            </w:pPr>
            <w:bookmarkStart w:id="27" w:name="_Toc165483358"/>
            <w:bookmarkStart w:id="28" w:name="_Toc15530"/>
            <w:r>
              <w:rPr>
                <w:sz w:val="24"/>
                <w:szCs w:val="24"/>
              </w:rPr>
              <w:t>报告表名称</w:t>
            </w:r>
            <w:bookmarkEnd w:id="27"/>
            <w:bookmarkEnd w:id="28"/>
          </w:p>
        </w:tc>
        <w:tc>
          <w:tcPr>
            <w:tcW w:w="6818" w:type="dxa"/>
            <w:gridSpan w:val="12"/>
            <w:vAlign w:val="center"/>
          </w:tcPr>
          <w:p w14:paraId="5B1C3CB6">
            <w:pPr>
              <w:jc w:val="center"/>
              <w:outlineLvl w:val="0"/>
              <w:rPr>
                <w:sz w:val="24"/>
                <w:szCs w:val="24"/>
              </w:rPr>
            </w:pPr>
            <w:bookmarkStart w:id="29" w:name="_Toc9454"/>
            <w:r>
              <w:rPr>
                <w:rFonts w:hint="eastAsia"/>
                <w:sz w:val="24"/>
                <w:szCs w:val="24"/>
              </w:rPr>
              <w:t>四川省金堂县资水河防洪治理工程（二期）环境影响报告表</w:t>
            </w:r>
            <w:bookmarkEnd w:id="29"/>
          </w:p>
        </w:tc>
      </w:tr>
      <w:tr w14:paraId="781F7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00" w:type="dxa"/>
            <w:vAlign w:val="center"/>
          </w:tcPr>
          <w:p w14:paraId="15512B19">
            <w:pPr>
              <w:jc w:val="center"/>
              <w:outlineLvl w:val="0"/>
              <w:rPr>
                <w:sz w:val="24"/>
                <w:szCs w:val="24"/>
              </w:rPr>
            </w:pPr>
            <w:bookmarkStart w:id="30" w:name="_Toc2186"/>
            <w:bookmarkStart w:id="31" w:name="_Toc165483360"/>
            <w:r>
              <w:rPr>
                <w:sz w:val="24"/>
                <w:szCs w:val="24"/>
              </w:rPr>
              <w:t>环境影响</w:t>
            </w:r>
            <w:bookmarkEnd w:id="30"/>
            <w:bookmarkEnd w:id="31"/>
          </w:p>
          <w:p w14:paraId="65EF1B12">
            <w:pPr>
              <w:jc w:val="center"/>
              <w:outlineLvl w:val="0"/>
              <w:rPr>
                <w:sz w:val="24"/>
                <w:szCs w:val="24"/>
              </w:rPr>
            </w:pPr>
            <w:bookmarkStart w:id="32" w:name="_Toc165483361"/>
            <w:bookmarkStart w:id="33" w:name="_Toc3691"/>
            <w:r>
              <w:rPr>
                <w:sz w:val="24"/>
                <w:szCs w:val="24"/>
              </w:rPr>
              <w:t>评价单位</w:t>
            </w:r>
            <w:bookmarkEnd w:id="32"/>
            <w:bookmarkEnd w:id="33"/>
          </w:p>
        </w:tc>
        <w:tc>
          <w:tcPr>
            <w:tcW w:w="6818" w:type="dxa"/>
            <w:gridSpan w:val="12"/>
            <w:vAlign w:val="center"/>
          </w:tcPr>
          <w:p w14:paraId="5CD60005">
            <w:pPr>
              <w:jc w:val="center"/>
              <w:rPr>
                <w:sz w:val="24"/>
                <w:szCs w:val="24"/>
              </w:rPr>
            </w:pPr>
            <w:r>
              <w:rPr>
                <w:rFonts w:hint="eastAsia"/>
                <w:sz w:val="24"/>
                <w:szCs w:val="24"/>
              </w:rPr>
              <w:t>成都花园水城环境科技有限公司</w:t>
            </w:r>
          </w:p>
        </w:tc>
      </w:tr>
      <w:tr w14:paraId="75844B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00" w:type="dxa"/>
            <w:vAlign w:val="center"/>
          </w:tcPr>
          <w:p w14:paraId="69491524">
            <w:pPr>
              <w:jc w:val="center"/>
              <w:outlineLvl w:val="0"/>
              <w:rPr>
                <w:sz w:val="24"/>
                <w:szCs w:val="24"/>
              </w:rPr>
            </w:pPr>
            <w:bookmarkStart w:id="34" w:name="_Toc165483362"/>
            <w:bookmarkStart w:id="35" w:name="_Toc6359"/>
            <w:r>
              <w:rPr>
                <w:sz w:val="24"/>
                <w:szCs w:val="24"/>
              </w:rPr>
              <w:t>初步设计单位</w:t>
            </w:r>
            <w:bookmarkEnd w:id="34"/>
            <w:bookmarkEnd w:id="35"/>
          </w:p>
        </w:tc>
        <w:tc>
          <w:tcPr>
            <w:tcW w:w="6818" w:type="dxa"/>
            <w:gridSpan w:val="12"/>
            <w:vAlign w:val="center"/>
          </w:tcPr>
          <w:p w14:paraId="33BD0562">
            <w:pPr>
              <w:jc w:val="center"/>
              <w:outlineLvl w:val="0"/>
              <w:rPr>
                <w:rFonts w:hint="default" w:eastAsia="宋体"/>
                <w:sz w:val="24"/>
                <w:szCs w:val="24"/>
                <w:lang w:val="en-US" w:eastAsia="zh-CN"/>
              </w:rPr>
            </w:pPr>
            <w:r>
              <w:rPr>
                <w:rFonts w:hint="default" w:eastAsia="宋体"/>
                <w:sz w:val="24"/>
                <w:szCs w:val="24"/>
                <w:lang w:val="en-US" w:eastAsia="zh-CN"/>
              </w:rPr>
              <w:t>中国电建集团华东勘测设计研究院有限公司</w:t>
            </w:r>
          </w:p>
        </w:tc>
      </w:tr>
      <w:tr w14:paraId="4C0B6A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00" w:type="dxa"/>
            <w:vAlign w:val="center"/>
          </w:tcPr>
          <w:p w14:paraId="6F4CACB7">
            <w:pPr>
              <w:jc w:val="center"/>
              <w:outlineLvl w:val="0"/>
              <w:rPr>
                <w:sz w:val="24"/>
                <w:szCs w:val="24"/>
              </w:rPr>
            </w:pPr>
            <w:bookmarkStart w:id="36" w:name="_Toc165483364"/>
            <w:bookmarkStart w:id="37" w:name="_Toc4278"/>
            <w:r>
              <w:rPr>
                <w:sz w:val="24"/>
                <w:szCs w:val="24"/>
              </w:rPr>
              <w:t>环境影响</w:t>
            </w:r>
            <w:bookmarkEnd w:id="36"/>
            <w:bookmarkEnd w:id="37"/>
          </w:p>
          <w:p w14:paraId="6B8AD8A5">
            <w:pPr>
              <w:jc w:val="center"/>
              <w:outlineLvl w:val="0"/>
              <w:rPr>
                <w:sz w:val="24"/>
                <w:szCs w:val="24"/>
              </w:rPr>
            </w:pPr>
            <w:bookmarkStart w:id="38" w:name="_Toc165483365"/>
            <w:bookmarkStart w:id="39" w:name="_Toc23653"/>
            <w:r>
              <w:rPr>
                <w:sz w:val="24"/>
                <w:szCs w:val="24"/>
              </w:rPr>
              <w:t>评价审批部门</w:t>
            </w:r>
            <w:bookmarkEnd w:id="38"/>
            <w:bookmarkEnd w:id="39"/>
          </w:p>
        </w:tc>
        <w:tc>
          <w:tcPr>
            <w:tcW w:w="2335" w:type="dxa"/>
            <w:gridSpan w:val="2"/>
            <w:vAlign w:val="center"/>
          </w:tcPr>
          <w:p w14:paraId="48A62EFF">
            <w:pPr>
              <w:jc w:val="center"/>
              <w:outlineLvl w:val="0"/>
              <w:rPr>
                <w:rFonts w:hint="default" w:eastAsia="宋体"/>
                <w:sz w:val="24"/>
                <w:szCs w:val="24"/>
                <w:lang w:val="en-US" w:eastAsia="zh-CN"/>
              </w:rPr>
            </w:pPr>
            <w:bookmarkStart w:id="40" w:name="_Toc20149"/>
            <w:r>
              <w:rPr>
                <w:rFonts w:hint="eastAsia"/>
                <w:sz w:val="24"/>
                <w:szCs w:val="24"/>
                <w:lang w:val="en-US" w:eastAsia="zh-CN"/>
              </w:rPr>
              <w:t>成都市金堂生态环境局</w:t>
            </w:r>
            <w:bookmarkEnd w:id="40"/>
          </w:p>
        </w:tc>
        <w:tc>
          <w:tcPr>
            <w:tcW w:w="678" w:type="dxa"/>
            <w:gridSpan w:val="2"/>
            <w:vAlign w:val="center"/>
          </w:tcPr>
          <w:p w14:paraId="2A65CC9F">
            <w:pPr>
              <w:jc w:val="center"/>
              <w:outlineLvl w:val="0"/>
              <w:rPr>
                <w:sz w:val="24"/>
                <w:szCs w:val="24"/>
              </w:rPr>
            </w:pPr>
            <w:bookmarkStart w:id="41" w:name="_Toc24599"/>
            <w:bookmarkStart w:id="42" w:name="_Toc165483367"/>
            <w:r>
              <w:rPr>
                <w:sz w:val="24"/>
                <w:szCs w:val="24"/>
              </w:rPr>
              <w:t>文号</w:t>
            </w:r>
            <w:bookmarkEnd w:id="41"/>
            <w:bookmarkEnd w:id="42"/>
          </w:p>
        </w:tc>
        <w:tc>
          <w:tcPr>
            <w:tcW w:w="1891" w:type="dxa"/>
            <w:gridSpan w:val="4"/>
            <w:vAlign w:val="center"/>
          </w:tcPr>
          <w:p w14:paraId="1E67BD64">
            <w:pPr>
              <w:jc w:val="center"/>
              <w:outlineLvl w:val="0"/>
              <w:rPr>
                <w:sz w:val="24"/>
                <w:szCs w:val="24"/>
              </w:rPr>
            </w:pPr>
            <w:bookmarkStart w:id="43" w:name="_Toc165483368"/>
            <w:bookmarkStart w:id="44" w:name="_Toc31149"/>
            <w:r>
              <w:rPr>
                <w:rFonts w:hint="eastAsia"/>
                <w:sz w:val="24"/>
                <w:szCs w:val="24"/>
                <w:lang w:val="en-US" w:eastAsia="zh-CN"/>
              </w:rPr>
              <w:t>金环评审</w:t>
            </w:r>
            <w:r>
              <w:rPr>
                <w:sz w:val="24"/>
                <w:szCs w:val="24"/>
              </w:rPr>
              <w:t>﹝202</w:t>
            </w:r>
            <w:r>
              <w:rPr>
                <w:rFonts w:hint="eastAsia"/>
                <w:sz w:val="24"/>
                <w:szCs w:val="24"/>
                <w:lang w:val="en-US" w:eastAsia="zh-CN"/>
              </w:rPr>
              <w:t>1</w:t>
            </w:r>
            <w:r>
              <w:rPr>
                <w:sz w:val="24"/>
                <w:szCs w:val="24"/>
              </w:rPr>
              <w:t>﹞</w:t>
            </w:r>
            <w:r>
              <w:rPr>
                <w:rFonts w:hint="eastAsia"/>
                <w:sz w:val="24"/>
                <w:szCs w:val="24"/>
                <w:lang w:val="en-US" w:eastAsia="zh-CN"/>
              </w:rPr>
              <w:t>31</w:t>
            </w:r>
            <w:r>
              <w:rPr>
                <w:sz w:val="24"/>
                <w:szCs w:val="24"/>
              </w:rPr>
              <w:t>号</w:t>
            </w:r>
            <w:bookmarkEnd w:id="43"/>
            <w:bookmarkEnd w:id="44"/>
          </w:p>
        </w:tc>
        <w:tc>
          <w:tcPr>
            <w:tcW w:w="748" w:type="dxa"/>
            <w:gridSpan w:val="3"/>
            <w:vAlign w:val="center"/>
          </w:tcPr>
          <w:p w14:paraId="0CD95FB3">
            <w:pPr>
              <w:jc w:val="center"/>
              <w:outlineLvl w:val="0"/>
              <w:rPr>
                <w:sz w:val="24"/>
                <w:szCs w:val="24"/>
              </w:rPr>
            </w:pPr>
            <w:bookmarkStart w:id="45" w:name="_Toc28588"/>
            <w:bookmarkStart w:id="46" w:name="_Toc165483369"/>
            <w:r>
              <w:rPr>
                <w:sz w:val="24"/>
                <w:szCs w:val="24"/>
              </w:rPr>
              <w:t>时间</w:t>
            </w:r>
            <w:bookmarkEnd w:id="45"/>
            <w:bookmarkEnd w:id="46"/>
          </w:p>
        </w:tc>
        <w:tc>
          <w:tcPr>
            <w:tcW w:w="1166" w:type="dxa"/>
            <w:vAlign w:val="center"/>
          </w:tcPr>
          <w:p w14:paraId="0A391C9D">
            <w:pPr>
              <w:jc w:val="center"/>
              <w:outlineLvl w:val="0"/>
              <w:rPr>
                <w:rFonts w:hint="default"/>
                <w:sz w:val="24"/>
                <w:szCs w:val="24"/>
                <w:lang w:val="en-US"/>
              </w:rPr>
            </w:pPr>
            <w:bookmarkStart w:id="47" w:name="_Toc165483370"/>
            <w:bookmarkStart w:id="48" w:name="_Toc412"/>
            <w:r>
              <w:rPr>
                <w:sz w:val="24"/>
                <w:szCs w:val="24"/>
              </w:rPr>
              <w:t>202</w:t>
            </w:r>
            <w:r>
              <w:rPr>
                <w:rFonts w:hint="eastAsia"/>
                <w:sz w:val="24"/>
                <w:szCs w:val="24"/>
                <w:lang w:val="en-US" w:eastAsia="zh-CN"/>
              </w:rPr>
              <w:t>1</w:t>
            </w:r>
            <w:r>
              <w:rPr>
                <w:sz w:val="24"/>
                <w:szCs w:val="24"/>
              </w:rPr>
              <w:t>.</w:t>
            </w:r>
            <w:bookmarkEnd w:id="47"/>
            <w:bookmarkEnd w:id="48"/>
            <w:r>
              <w:rPr>
                <w:rFonts w:hint="eastAsia"/>
                <w:sz w:val="24"/>
                <w:szCs w:val="24"/>
                <w:lang w:val="en-US" w:eastAsia="zh-CN"/>
              </w:rPr>
              <w:t>12.2</w:t>
            </w:r>
          </w:p>
        </w:tc>
      </w:tr>
      <w:tr w14:paraId="63C79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00" w:type="dxa"/>
            <w:vAlign w:val="center"/>
          </w:tcPr>
          <w:p w14:paraId="60918CB6">
            <w:pPr>
              <w:jc w:val="center"/>
              <w:outlineLvl w:val="0"/>
              <w:rPr>
                <w:sz w:val="24"/>
                <w:szCs w:val="24"/>
              </w:rPr>
            </w:pPr>
            <w:bookmarkStart w:id="49" w:name="_Toc165483379"/>
            <w:bookmarkStart w:id="50" w:name="_Toc14395"/>
            <w:r>
              <w:rPr>
                <w:sz w:val="24"/>
                <w:szCs w:val="24"/>
              </w:rPr>
              <w:t>初步设计</w:t>
            </w:r>
            <w:bookmarkEnd w:id="49"/>
            <w:bookmarkEnd w:id="50"/>
          </w:p>
          <w:p w14:paraId="4AD00A6B">
            <w:pPr>
              <w:jc w:val="center"/>
              <w:outlineLvl w:val="0"/>
              <w:rPr>
                <w:sz w:val="24"/>
                <w:szCs w:val="24"/>
              </w:rPr>
            </w:pPr>
            <w:bookmarkStart w:id="51" w:name="_Toc16300"/>
            <w:bookmarkStart w:id="52" w:name="_Toc165483380"/>
            <w:r>
              <w:rPr>
                <w:sz w:val="24"/>
                <w:szCs w:val="24"/>
              </w:rPr>
              <w:t>审批部门</w:t>
            </w:r>
            <w:bookmarkEnd w:id="51"/>
            <w:bookmarkEnd w:id="52"/>
          </w:p>
        </w:tc>
        <w:tc>
          <w:tcPr>
            <w:tcW w:w="2335" w:type="dxa"/>
            <w:gridSpan w:val="2"/>
            <w:shd w:val="clear" w:color="auto" w:fill="auto"/>
            <w:vAlign w:val="center"/>
          </w:tcPr>
          <w:p w14:paraId="2A2C7EB8">
            <w:pPr>
              <w:jc w:val="center"/>
              <w:outlineLvl w:val="0"/>
              <w:rPr>
                <w:rFonts w:hint="default" w:ascii="Times New Roman" w:hAnsi="Times New Roman" w:eastAsia="宋体" w:cs="Times New Roman"/>
                <w:kern w:val="2"/>
                <w:sz w:val="24"/>
                <w:szCs w:val="24"/>
                <w:lang w:val="en-US" w:eastAsia="zh-CN" w:bidi="ar-SA"/>
              </w:rPr>
            </w:pPr>
            <w:r>
              <w:rPr>
                <w:rFonts w:hint="eastAsia"/>
                <w:sz w:val="24"/>
                <w:szCs w:val="24"/>
                <w:lang w:val="en-US" w:eastAsia="zh-CN"/>
              </w:rPr>
              <w:t>金堂县水务局</w:t>
            </w:r>
          </w:p>
        </w:tc>
        <w:tc>
          <w:tcPr>
            <w:tcW w:w="678" w:type="dxa"/>
            <w:gridSpan w:val="2"/>
            <w:shd w:val="clear" w:color="auto" w:fill="auto"/>
            <w:vAlign w:val="center"/>
          </w:tcPr>
          <w:p w14:paraId="08061624">
            <w:pPr>
              <w:jc w:val="center"/>
              <w:outlineLvl w:val="0"/>
              <w:rPr>
                <w:rFonts w:ascii="Times New Roman" w:hAnsi="Times New Roman" w:eastAsia="宋体" w:cs="Times New Roman"/>
                <w:kern w:val="2"/>
                <w:sz w:val="24"/>
                <w:szCs w:val="24"/>
                <w:lang w:val="en-US" w:eastAsia="zh-CN" w:bidi="ar-SA"/>
              </w:rPr>
            </w:pPr>
            <w:bookmarkStart w:id="53" w:name="_Toc10431"/>
            <w:r>
              <w:rPr>
                <w:sz w:val="24"/>
                <w:szCs w:val="24"/>
              </w:rPr>
              <w:t>文号</w:t>
            </w:r>
            <w:bookmarkEnd w:id="53"/>
          </w:p>
        </w:tc>
        <w:tc>
          <w:tcPr>
            <w:tcW w:w="1891" w:type="dxa"/>
            <w:gridSpan w:val="4"/>
            <w:shd w:val="clear" w:color="auto" w:fill="auto"/>
            <w:vAlign w:val="center"/>
          </w:tcPr>
          <w:p w14:paraId="6C8C0684">
            <w:pPr>
              <w:jc w:val="center"/>
              <w:outlineLvl w:val="0"/>
              <w:rPr>
                <w:rFonts w:ascii="Times New Roman" w:hAnsi="Times New Roman" w:eastAsia="宋体" w:cs="Times New Roman"/>
                <w:kern w:val="2"/>
                <w:sz w:val="24"/>
                <w:szCs w:val="24"/>
                <w:lang w:val="en-US" w:eastAsia="zh-CN" w:bidi="ar-SA"/>
              </w:rPr>
            </w:pPr>
            <w:bookmarkStart w:id="54" w:name="_Toc14268"/>
            <w:r>
              <w:rPr>
                <w:rFonts w:hint="eastAsia"/>
                <w:sz w:val="24"/>
                <w:szCs w:val="24"/>
                <w:lang w:val="en-US" w:eastAsia="zh-CN"/>
              </w:rPr>
              <w:t>金堂水务发</w:t>
            </w:r>
            <w:r>
              <w:rPr>
                <w:sz w:val="24"/>
                <w:szCs w:val="24"/>
              </w:rPr>
              <w:t>﹝202</w:t>
            </w:r>
            <w:r>
              <w:rPr>
                <w:rFonts w:hint="eastAsia"/>
                <w:sz w:val="24"/>
                <w:szCs w:val="24"/>
                <w:lang w:val="en-US" w:eastAsia="zh-CN"/>
              </w:rPr>
              <w:t>1</w:t>
            </w:r>
            <w:r>
              <w:rPr>
                <w:sz w:val="24"/>
                <w:szCs w:val="24"/>
              </w:rPr>
              <w:t>﹞</w:t>
            </w:r>
            <w:r>
              <w:rPr>
                <w:rFonts w:hint="eastAsia"/>
                <w:sz w:val="24"/>
                <w:szCs w:val="24"/>
                <w:lang w:val="en-US" w:eastAsia="zh-CN"/>
              </w:rPr>
              <w:t>133</w:t>
            </w:r>
            <w:r>
              <w:rPr>
                <w:sz w:val="24"/>
                <w:szCs w:val="24"/>
              </w:rPr>
              <w:t>号</w:t>
            </w:r>
            <w:bookmarkEnd w:id="54"/>
          </w:p>
        </w:tc>
        <w:tc>
          <w:tcPr>
            <w:tcW w:w="748" w:type="dxa"/>
            <w:gridSpan w:val="3"/>
            <w:shd w:val="clear" w:color="auto" w:fill="auto"/>
            <w:vAlign w:val="center"/>
          </w:tcPr>
          <w:p w14:paraId="52E2F2EF">
            <w:pPr>
              <w:jc w:val="center"/>
              <w:outlineLvl w:val="0"/>
              <w:rPr>
                <w:rFonts w:ascii="Times New Roman" w:hAnsi="Times New Roman" w:eastAsia="宋体" w:cs="Times New Roman"/>
                <w:kern w:val="2"/>
                <w:sz w:val="24"/>
                <w:szCs w:val="24"/>
                <w:lang w:val="en-US" w:eastAsia="zh-CN" w:bidi="ar-SA"/>
              </w:rPr>
            </w:pPr>
            <w:bookmarkStart w:id="55" w:name="_Toc23495"/>
            <w:r>
              <w:rPr>
                <w:sz w:val="24"/>
                <w:szCs w:val="24"/>
              </w:rPr>
              <w:t>时间</w:t>
            </w:r>
            <w:bookmarkEnd w:id="55"/>
          </w:p>
        </w:tc>
        <w:tc>
          <w:tcPr>
            <w:tcW w:w="1166" w:type="dxa"/>
            <w:shd w:val="clear" w:color="auto" w:fill="auto"/>
            <w:vAlign w:val="center"/>
          </w:tcPr>
          <w:p w14:paraId="678E93C3">
            <w:pPr>
              <w:jc w:val="center"/>
              <w:outlineLvl w:val="0"/>
              <w:rPr>
                <w:rFonts w:hint="default" w:ascii="Times New Roman" w:hAnsi="Times New Roman" w:eastAsia="宋体" w:cs="Times New Roman"/>
                <w:kern w:val="2"/>
                <w:sz w:val="24"/>
                <w:szCs w:val="24"/>
                <w:lang w:val="en-US" w:eastAsia="zh-CN" w:bidi="ar-SA"/>
              </w:rPr>
            </w:pPr>
            <w:bookmarkStart w:id="56" w:name="_Toc32595"/>
            <w:r>
              <w:rPr>
                <w:sz w:val="24"/>
                <w:szCs w:val="24"/>
              </w:rPr>
              <w:t>202</w:t>
            </w:r>
            <w:r>
              <w:rPr>
                <w:rFonts w:hint="eastAsia"/>
                <w:sz w:val="24"/>
                <w:szCs w:val="24"/>
                <w:lang w:val="en-US" w:eastAsia="zh-CN"/>
              </w:rPr>
              <w:t>1</w:t>
            </w:r>
            <w:r>
              <w:rPr>
                <w:sz w:val="24"/>
                <w:szCs w:val="24"/>
              </w:rPr>
              <w:t>.</w:t>
            </w:r>
            <w:bookmarkEnd w:id="56"/>
            <w:r>
              <w:rPr>
                <w:rFonts w:hint="eastAsia"/>
                <w:sz w:val="24"/>
                <w:szCs w:val="24"/>
                <w:lang w:val="en-US" w:eastAsia="zh-CN"/>
              </w:rPr>
              <w:t>8.30</w:t>
            </w:r>
          </w:p>
        </w:tc>
      </w:tr>
      <w:tr w14:paraId="42494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00" w:type="dxa"/>
            <w:vAlign w:val="center"/>
          </w:tcPr>
          <w:p w14:paraId="7A11D1A9">
            <w:pPr>
              <w:jc w:val="center"/>
              <w:outlineLvl w:val="0"/>
              <w:rPr>
                <w:sz w:val="24"/>
                <w:szCs w:val="24"/>
              </w:rPr>
            </w:pPr>
            <w:bookmarkStart w:id="57" w:name="_Toc165483383"/>
            <w:bookmarkStart w:id="58" w:name="_Toc7576"/>
            <w:r>
              <w:rPr>
                <w:sz w:val="24"/>
                <w:szCs w:val="24"/>
              </w:rPr>
              <w:t>环境保护设施</w:t>
            </w:r>
            <w:bookmarkEnd w:id="57"/>
            <w:bookmarkEnd w:id="58"/>
          </w:p>
          <w:p w14:paraId="18A5307D">
            <w:pPr>
              <w:jc w:val="center"/>
              <w:outlineLvl w:val="0"/>
              <w:rPr>
                <w:sz w:val="24"/>
                <w:szCs w:val="24"/>
              </w:rPr>
            </w:pPr>
            <w:bookmarkStart w:id="59" w:name="_Toc165483384"/>
            <w:bookmarkStart w:id="60" w:name="_Toc16447"/>
            <w:r>
              <w:rPr>
                <w:sz w:val="24"/>
                <w:szCs w:val="24"/>
              </w:rPr>
              <w:t>设计单位</w:t>
            </w:r>
            <w:bookmarkEnd w:id="59"/>
            <w:bookmarkEnd w:id="60"/>
          </w:p>
        </w:tc>
        <w:tc>
          <w:tcPr>
            <w:tcW w:w="6818" w:type="dxa"/>
            <w:gridSpan w:val="12"/>
            <w:vAlign w:val="center"/>
          </w:tcPr>
          <w:p w14:paraId="1441FB10">
            <w:pPr>
              <w:jc w:val="center"/>
              <w:outlineLvl w:val="0"/>
              <w:rPr>
                <w:rFonts w:hint="default" w:eastAsia="宋体"/>
                <w:sz w:val="24"/>
                <w:szCs w:val="24"/>
                <w:lang w:val="en-US" w:eastAsia="zh-CN"/>
              </w:rPr>
            </w:pPr>
            <w:r>
              <w:rPr>
                <w:rFonts w:hint="default" w:eastAsia="宋体"/>
                <w:sz w:val="24"/>
                <w:szCs w:val="24"/>
                <w:lang w:val="en-US" w:eastAsia="zh-CN"/>
              </w:rPr>
              <w:t>中国电建集团华东勘测设计研究院有限公司</w:t>
            </w:r>
          </w:p>
        </w:tc>
      </w:tr>
      <w:tr w14:paraId="758245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00" w:type="dxa"/>
            <w:vAlign w:val="center"/>
          </w:tcPr>
          <w:p w14:paraId="10E2AAFF">
            <w:pPr>
              <w:jc w:val="center"/>
              <w:outlineLvl w:val="0"/>
              <w:rPr>
                <w:sz w:val="24"/>
                <w:szCs w:val="24"/>
              </w:rPr>
            </w:pPr>
            <w:bookmarkStart w:id="61" w:name="_Toc28324"/>
            <w:bookmarkStart w:id="62" w:name="_Toc165483385"/>
            <w:r>
              <w:rPr>
                <w:sz w:val="24"/>
                <w:szCs w:val="24"/>
              </w:rPr>
              <w:t>环境保护</w:t>
            </w:r>
            <w:bookmarkEnd w:id="61"/>
            <w:bookmarkEnd w:id="62"/>
          </w:p>
          <w:p w14:paraId="62C6BA46">
            <w:pPr>
              <w:jc w:val="center"/>
              <w:outlineLvl w:val="0"/>
              <w:rPr>
                <w:sz w:val="24"/>
                <w:szCs w:val="24"/>
              </w:rPr>
            </w:pPr>
            <w:bookmarkStart w:id="63" w:name="_Toc165483386"/>
            <w:bookmarkStart w:id="64" w:name="_Toc17910"/>
            <w:r>
              <w:rPr>
                <w:sz w:val="24"/>
                <w:szCs w:val="24"/>
              </w:rPr>
              <w:t>设施施工单位</w:t>
            </w:r>
            <w:bookmarkEnd w:id="63"/>
            <w:bookmarkEnd w:id="64"/>
          </w:p>
        </w:tc>
        <w:tc>
          <w:tcPr>
            <w:tcW w:w="6818" w:type="dxa"/>
            <w:gridSpan w:val="12"/>
            <w:vAlign w:val="center"/>
          </w:tcPr>
          <w:p w14:paraId="7CE4EDC3">
            <w:pPr>
              <w:jc w:val="center"/>
              <w:outlineLvl w:val="0"/>
              <w:rPr>
                <w:rFonts w:hint="default" w:eastAsia="宋体"/>
                <w:sz w:val="24"/>
                <w:szCs w:val="24"/>
                <w:lang w:val="en-US" w:eastAsia="zh-CN"/>
              </w:rPr>
            </w:pPr>
            <w:r>
              <w:rPr>
                <w:rFonts w:hint="default" w:eastAsia="宋体"/>
                <w:sz w:val="24"/>
                <w:szCs w:val="24"/>
                <w:lang w:val="en-US" w:eastAsia="zh-CN"/>
              </w:rPr>
              <w:t>三匠亚兴建设有限公司</w:t>
            </w:r>
          </w:p>
        </w:tc>
      </w:tr>
      <w:tr w14:paraId="5E73B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00" w:type="dxa"/>
            <w:vAlign w:val="center"/>
          </w:tcPr>
          <w:p w14:paraId="21C376A4">
            <w:pPr>
              <w:jc w:val="center"/>
              <w:outlineLvl w:val="0"/>
              <w:rPr>
                <w:sz w:val="24"/>
                <w:szCs w:val="24"/>
              </w:rPr>
            </w:pPr>
            <w:bookmarkStart w:id="65" w:name="_Toc165483387"/>
            <w:bookmarkStart w:id="66" w:name="_Toc3875"/>
            <w:r>
              <w:rPr>
                <w:sz w:val="24"/>
                <w:szCs w:val="24"/>
              </w:rPr>
              <w:t>监理单位</w:t>
            </w:r>
            <w:bookmarkEnd w:id="65"/>
            <w:bookmarkEnd w:id="66"/>
          </w:p>
        </w:tc>
        <w:tc>
          <w:tcPr>
            <w:tcW w:w="6818" w:type="dxa"/>
            <w:gridSpan w:val="12"/>
            <w:vAlign w:val="center"/>
          </w:tcPr>
          <w:p w14:paraId="62AB3DEE">
            <w:pPr>
              <w:jc w:val="center"/>
              <w:outlineLvl w:val="0"/>
              <w:rPr>
                <w:rFonts w:hint="default" w:eastAsia="宋体"/>
                <w:sz w:val="24"/>
                <w:szCs w:val="24"/>
                <w:lang w:val="en-US" w:eastAsia="zh-CN"/>
              </w:rPr>
            </w:pPr>
            <w:r>
              <w:rPr>
                <w:rFonts w:hint="default" w:eastAsia="宋体"/>
                <w:sz w:val="24"/>
                <w:szCs w:val="24"/>
                <w:lang w:val="en-US" w:eastAsia="zh-CN"/>
              </w:rPr>
              <w:t>四川创江水利工程技术有限公司</w:t>
            </w:r>
          </w:p>
        </w:tc>
      </w:tr>
      <w:tr w14:paraId="07264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00" w:type="dxa"/>
            <w:vAlign w:val="center"/>
          </w:tcPr>
          <w:p w14:paraId="17534E92">
            <w:pPr>
              <w:jc w:val="center"/>
              <w:outlineLvl w:val="0"/>
              <w:rPr>
                <w:sz w:val="24"/>
                <w:szCs w:val="24"/>
              </w:rPr>
            </w:pPr>
            <w:bookmarkStart w:id="67" w:name="_Toc29881"/>
            <w:bookmarkStart w:id="68" w:name="_Toc165483389"/>
            <w:r>
              <w:rPr>
                <w:sz w:val="24"/>
                <w:szCs w:val="24"/>
              </w:rPr>
              <w:t>环境保护</w:t>
            </w:r>
            <w:bookmarkEnd w:id="67"/>
            <w:bookmarkEnd w:id="68"/>
          </w:p>
          <w:p w14:paraId="71F9E830">
            <w:pPr>
              <w:jc w:val="center"/>
              <w:outlineLvl w:val="0"/>
              <w:rPr>
                <w:sz w:val="24"/>
                <w:szCs w:val="24"/>
              </w:rPr>
            </w:pPr>
            <w:bookmarkStart w:id="69" w:name="_Toc31679"/>
            <w:bookmarkStart w:id="70" w:name="_Toc165483390"/>
            <w:r>
              <w:rPr>
                <w:sz w:val="24"/>
                <w:szCs w:val="24"/>
              </w:rPr>
              <w:t>设施监测单位</w:t>
            </w:r>
            <w:bookmarkEnd w:id="69"/>
            <w:bookmarkEnd w:id="70"/>
          </w:p>
        </w:tc>
        <w:tc>
          <w:tcPr>
            <w:tcW w:w="6818" w:type="dxa"/>
            <w:gridSpan w:val="12"/>
            <w:vAlign w:val="center"/>
          </w:tcPr>
          <w:p w14:paraId="1B4D7FA3">
            <w:pPr>
              <w:jc w:val="center"/>
              <w:outlineLvl w:val="0"/>
              <w:rPr>
                <w:rFonts w:hint="default" w:eastAsia="宋体"/>
                <w:sz w:val="24"/>
                <w:szCs w:val="24"/>
                <w:lang w:val="en-US" w:eastAsia="zh-CN"/>
              </w:rPr>
            </w:pPr>
            <w:r>
              <w:rPr>
                <w:rFonts w:hint="eastAsia"/>
                <w:sz w:val="24"/>
                <w:szCs w:val="24"/>
                <w:lang w:val="en-US" w:eastAsia="zh-CN"/>
              </w:rPr>
              <w:t>--</w:t>
            </w:r>
          </w:p>
        </w:tc>
      </w:tr>
      <w:tr w14:paraId="4AFCB1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00" w:type="dxa"/>
            <w:vAlign w:val="center"/>
          </w:tcPr>
          <w:p w14:paraId="63D719C3">
            <w:pPr>
              <w:jc w:val="center"/>
              <w:outlineLvl w:val="0"/>
              <w:rPr>
                <w:sz w:val="24"/>
                <w:szCs w:val="24"/>
              </w:rPr>
            </w:pPr>
            <w:bookmarkStart w:id="71" w:name="_Toc3201"/>
            <w:bookmarkStart w:id="72" w:name="_Toc165483392"/>
            <w:r>
              <w:rPr>
                <w:sz w:val="24"/>
                <w:szCs w:val="24"/>
              </w:rPr>
              <w:t>投资总概算</w:t>
            </w:r>
            <w:bookmarkEnd w:id="71"/>
            <w:bookmarkEnd w:id="72"/>
          </w:p>
          <w:p w14:paraId="4E0435EA">
            <w:pPr>
              <w:jc w:val="center"/>
              <w:outlineLvl w:val="0"/>
              <w:rPr>
                <w:sz w:val="24"/>
                <w:szCs w:val="24"/>
              </w:rPr>
            </w:pPr>
            <w:bookmarkStart w:id="73" w:name="_Toc165483393"/>
            <w:bookmarkStart w:id="74" w:name="_Toc12636"/>
            <w:r>
              <w:rPr>
                <w:sz w:val="24"/>
                <w:szCs w:val="24"/>
              </w:rPr>
              <w:t>（万元）</w:t>
            </w:r>
            <w:bookmarkEnd w:id="73"/>
            <w:bookmarkEnd w:id="74"/>
          </w:p>
        </w:tc>
        <w:tc>
          <w:tcPr>
            <w:tcW w:w="970" w:type="dxa"/>
            <w:vAlign w:val="center"/>
          </w:tcPr>
          <w:p w14:paraId="12953750">
            <w:pPr>
              <w:jc w:val="center"/>
              <w:outlineLvl w:val="0"/>
              <w:rPr>
                <w:color w:val="auto"/>
                <w:sz w:val="24"/>
                <w:szCs w:val="24"/>
              </w:rPr>
            </w:pPr>
            <w:r>
              <w:rPr>
                <w:rFonts w:hint="eastAsia"/>
                <w:color w:val="auto"/>
                <w:sz w:val="24"/>
                <w:szCs w:val="24"/>
              </w:rPr>
              <w:t>6131.82</w:t>
            </w:r>
          </w:p>
        </w:tc>
        <w:tc>
          <w:tcPr>
            <w:tcW w:w="1365" w:type="dxa"/>
            <w:vAlign w:val="center"/>
          </w:tcPr>
          <w:p w14:paraId="0177C1B9">
            <w:pPr>
              <w:jc w:val="center"/>
              <w:outlineLvl w:val="0"/>
              <w:rPr>
                <w:color w:val="auto"/>
                <w:sz w:val="24"/>
                <w:szCs w:val="24"/>
              </w:rPr>
            </w:pPr>
            <w:bookmarkStart w:id="75" w:name="_Toc165483395"/>
            <w:bookmarkStart w:id="76" w:name="_Toc29951"/>
            <w:r>
              <w:rPr>
                <w:color w:val="auto"/>
                <w:sz w:val="24"/>
                <w:szCs w:val="24"/>
              </w:rPr>
              <w:t>环保投资（万元）</w:t>
            </w:r>
            <w:bookmarkEnd w:id="75"/>
            <w:bookmarkEnd w:id="76"/>
          </w:p>
        </w:tc>
        <w:tc>
          <w:tcPr>
            <w:tcW w:w="1107" w:type="dxa"/>
            <w:gridSpan w:val="4"/>
            <w:vAlign w:val="center"/>
          </w:tcPr>
          <w:p w14:paraId="6A4F7886">
            <w:pPr>
              <w:jc w:val="center"/>
              <w:outlineLvl w:val="0"/>
              <w:rPr>
                <w:color w:val="auto"/>
                <w:sz w:val="24"/>
                <w:szCs w:val="24"/>
              </w:rPr>
            </w:pPr>
            <w:r>
              <w:rPr>
                <w:rFonts w:hint="eastAsia"/>
                <w:color w:val="auto"/>
                <w:sz w:val="24"/>
                <w:szCs w:val="24"/>
              </w:rPr>
              <w:t>31</w:t>
            </w:r>
          </w:p>
        </w:tc>
        <w:tc>
          <w:tcPr>
            <w:tcW w:w="1660" w:type="dxa"/>
            <w:gridSpan w:val="3"/>
            <w:vAlign w:val="center"/>
          </w:tcPr>
          <w:p w14:paraId="05CF8DDE">
            <w:pPr>
              <w:jc w:val="center"/>
              <w:outlineLvl w:val="0"/>
              <w:rPr>
                <w:color w:val="auto"/>
                <w:sz w:val="24"/>
                <w:szCs w:val="24"/>
              </w:rPr>
            </w:pPr>
            <w:bookmarkStart w:id="77" w:name="_Toc165483397"/>
            <w:bookmarkStart w:id="78" w:name="_Toc7871"/>
            <w:r>
              <w:rPr>
                <w:color w:val="auto"/>
                <w:sz w:val="24"/>
                <w:szCs w:val="24"/>
              </w:rPr>
              <w:t>环保投资占总投资比例</w:t>
            </w:r>
            <w:bookmarkEnd w:id="77"/>
            <w:bookmarkEnd w:id="78"/>
          </w:p>
        </w:tc>
        <w:tc>
          <w:tcPr>
            <w:tcW w:w="1716" w:type="dxa"/>
            <w:gridSpan w:val="3"/>
            <w:vAlign w:val="center"/>
          </w:tcPr>
          <w:p w14:paraId="06822CC8">
            <w:pPr>
              <w:jc w:val="center"/>
              <w:outlineLvl w:val="0"/>
              <w:rPr>
                <w:color w:val="auto"/>
                <w:sz w:val="24"/>
                <w:szCs w:val="24"/>
              </w:rPr>
            </w:pPr>
            <w:bookmarkStart w:id="79" w:name="_Toc165483398"/>
            <w:bookmarkStart w:id="80" w:name="_Toc11309"/>
            <w:r>
              <w:rPr>
                <w:rFonts w:hint="eastAsia"/>
                <w:color w:val="auto"/>
                <w:sz w:val="24"/>
                <w:szCs w:val="24"/>
              </w:rPr>
              <w:t>0.5</w:t>
            </w:r>
            <w:r>
              <w:rPr>
                <w:color w:val="auto"/>
                <w:sz w:val="24"/>
                <w:szCs w:val="24"/>
              </w:rPr>
              <w:t>%</w:t>
            </w:r>
            <w:bookmarkEnd w:id="79"/>
            <w:bookmarkEnd w:id="80"/>
          </w:p>
        </w:tc>
      </w:tr>
      <w:tr w14:paraId="240FD5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00" w:type="dxa"/>
            <w:vAlign w:val="center"/>
          </w:tcPr>
          <w:p w14:paraId="5B3DC157">
            <w:pPr>
              <w:jc w:val="center"/>
              <w:outlineLvl w:val="0"/>
              <w:rPr>
                <w:sz w:val="24"/>
                <w:szCs w:val="24"/>
              </w:rPr>
            </w:pPr>
            <w:bookmarkStart w:id="81" w:name="_Toc165483399"/>
            <w:bookmarkStart w:id="82" w:name="_Toc3094"/>
            <w:r>
              <w:rPr>
                <w:rFonts w:hint="eastAsia"/>
                <w:sz w:val="24"/>
                <w:szCs w:val="24"/>
                <w:lang w:val="en-US" w:eastAsia="zh-CN"/>
              </w:rPr>
              <w:t>实际</w:t>
            </w:r>
            <w:r>
              <w:rPr>
                <w:sz w:val="24"/>
                <w:szCs w:val="24"/>
              </w:rPr>
              <w:t>总投资</w:t>
            </w:r>
            <w:bookmarkEnd w:id="81"/>
            <w:bookmarkEnd w:id="82"/>
          </w:p>
          <w:p w14:paraId="6B2F0576">
            <w:pPr>
              <w:jc w:val="center"/>
              <w:outlineLvl w:val="0"/>
              <w:rPr>
                <w:sz w:val="24"/>
                <w:szCs w:val="24"/>
              </w:rPr>
            </w:pPr>
            <w:bookmarkStart w:id="83" w:name="_Toc21170"/>
            <w:bookmarkStart w:id="84" w:name="_Toc165483400"/>
            <w:r>
              <w:rPr>
                <w:sz w:val="24"/>
                <w:szCs w:val="24"/>
              </w:rPr>
              <w:t>（万元）</w:t>
            </w:r>
            <w:bookmarkEnd w:id="83"/>
            <w:bookmarkEnd w:id="84"/>
          </w:p>
        </w:tc>
        <w:tc>
          <w:tcPr>
            <w:tcW w:w="970" w:type="dxa"/>
            <w:vAlign w:val="center"/>
          </w:tcPr>
          <w:p w14:paraId="05F17E6D">
            <w:pPr>
              <w:jc w:val="center"/>
              <w:outlineLvl w:val="0"/>
              <w:rPr>
                <w:rFonts w:hint="default" w:eastAsia="宋体"/>
                <w:color w:val="auto"/>
                <w:sz w:val="24"/>
                <w:szCs w:val="24"/>
                <w:lang w:val="en-US" w:eastAsia="zh-CN"/>
              </w:rPr>
            </w:pPr>
            <w:r>
              <w:rPr>
                <w:rFonts w:hint="eastAsia"/>
                <w:color w:val="auto"/>
                <w:sz w:val="24"/>
                <w:szCs w:val="24"/>
              </w:rPr>
              <w:t>6131.82</w:t>
            </w:r>
          </w:p>
        </w:tc>
        <w:tc>
          <w:tcPr>
            <w:tcW w:w="1365" w:type="dxa"/>
            <w:vAlign w:val="center"/>
          </w:tcPr>
          <w:p w14:paraId="1C8BC722">
            <w:pPr>
              <w:jc w:val="center"/>
              <w:outlineLvl w:val="0"/>
              <w:rPr>
                <w:color w:val="auto"/>
                <w:sz w:val="24"/>
                <w:szCs w:val="24"/>
              </w:rPr>
            </w:pPr>
            <w:bookmarkStart w:id="85" w:name="_Toc165483402"/>
            <w:bookmarkStart w:id="86" w:name="_Toc8186"/>
            <w:r>
              <w:rPr>
                <w:color w:val="auto"/>
                <w:sz w:val="24"/>
                <w:szCs w:val="24"/>
              </w:rPr>
              <w:t>环保投资（万元）</w:t>
            </w:r>
            <w:bookmarkEnd w:id="85"/>
            <w:bookmarkEnd w:id="86"/>
          </w:p>
        </w:tc>
        <w:tc>
          <w:tcPr>
            <w:tcW w:w="1107" w:type="dxa"/>
            <w:gridSpan w:val="4"/>
            <w:vAlign w:val="center"/>
          </w:tcPr>
          <w:p w14:paraId="39632B49">
            <w:pPr>
              <w:jc w:val="center"/>
              <w:outlineLvl w:val="0"/>
              <w:rPr>
                <w:rFonts w:hint="default" w:eastAsia="宋体"/>
                <w:color w:val="auto"/>
                <w:sz w:val="24"/>
                <w:szCs w:val="24"/>
                <w:lang w:val="en-US" w:eastAsia="zh-CN"/>
              </w:rPr>
            </w:pPr>
            <w:r>
              <w:rPr>
                <w:rFonts w:hint="eastAsia"/>
                <w:color w:val="auto"/>
                <w:sz w:val="24"/>
                <w:szCs w:val="24"/>
              </w:rPr>
              <w:t>31</w:t>
            </w:r>
          </w:p>
        </w:tc>
        <w:tc>
          <w:tcPr>
            <w:tcW w:w="1660" w:type="dxa"/>
            <w:gridSpan w:val="3"/>
            <w:vAlign w:val="center"/>
          </w:tcPr>
          <w:p w14:paraId="2C805162">
            <w:pPr>
              <w:jc w:val="center"/>
              <w:outlineLvl w:val="0"/>
              <w:rPr>
                <w:color w:val="auto"/>
                <w:sz w:val="24"/>
                <w:szCs w:val="24"/>
              </w:rPr>
            </w:pPr>
            <w:bookmarkStart w:id="87" w:name="_Toc165483404"/>
            <w:bookmarkStart w:id="88" w:name="_Toc31030"/>
            <w:r>
              <w:rPr>
                <w:color w:val="auto"/>
                <w:sz w:val="24"/>
                <w:szCs w:val="24"/>
              </w:rPr>
              <w:t>环保投资占总投资比例</w:t>
            </w:r>
            <w:bookmarkEnd w:id="87"/>
            <w:bookmarkEnd w:id="88"/>
          </w:p>
        </w:tc>
        <w:tc>
          <w:tcPr>
            <w:tcW w:w="1716" w:type="dxa"/>
            <w:gridSpan w:val="3"/>
            <w:vAlign w:val="center"/>
          </w:tcPr>
          <w:p w14:paraId="51BEE97A">
            <w:pPr>
              <w:jc w:val="center"/>
              <w:outlineLvl w:val="0"/>
              <w:rPr>
                <w:color w:val="auto"/>
                <w:sz w:val="24"/>
                <w:szCs w:val="24"/>
              </w:rPr>
            </w:pPr>
            <w:r>
              <w:rPr>
                <w:rFonts w:hint="eastAsia"/>
                <w:color w:val="auto"/>
                <w:sz w:val="24"/>
                <w:szCs w:val="24"/>
              </w:rPr>
              <w:t>0.5</w:t>
            </w:r>
            <w:r>
              <w:rPr>
                <w:color w:val="auto"/>
                <w:sz w:val="24"/>
                <w:szCs w:val="24"/>
              </w:rPr>
              <w:t>%</w:t>
            </w:r>
          </w:p>
        </w:tc>
      </w:tr>
      <w:tr w14:paraId="148F6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00" w:type="dxa"/>
            <w:vAlign w:val="center"/>
          </w:tcPr>
          <w:p w14:paraId="500120BA">
            <w:pPr>
              <w:jc w:val="center"/>
              <w:outlineLvl w:val="0"/>
              <w:rPr>
                <w:rFonts w:hint="default" w:eastAsia="宋体"/>
                <w:sz w:val="24"/>
                <w:szCs w:val="24"/>
                <w:lang w:val="en-US" w:eastAsia="zh-CN"/>
              </w:rPr>
            </w:pPr>
            <w:bookmarkStart w:id="89" w:name="_Toc14932"/>
            <w:r>
              <w:rPr>
                <w:rFonts w:hint="eastAsia"/>
                <w:sz w:val="24"/>
                <w:szCs w:val="24"/>
                <w:lang w:val="en-US" w:eastAsia="zh-CN"/>
              </w:rPr>
              <w:t>设计</w:t>
            </w:r>
            <w:bookmarkEnd w:id="89"/>
            <w:r>
              <w:rPr>
                <w:rFonts w:hint="eastAsia"/>
                <w:sz w:val="24"/>
                <w:szCs w:val="24"/>
                <w:lang w:val="en-US" w:eastAsia="zh-CN"/>
              </w:rPr>
              <w:t>规模</w:t>
            </w:r>
          </w:p>
        </w:tc>
        <w:tc>
          <w:tcPr>
            <w:tcW w:w="2335" w:type="dxa"/>
            <w:gridSpan w:val="2"/>
            <w:vAlign w:val="center"/>
          </w:tcPr>
          <w:p w14:paraId="56516D1D">
            <w:pPr>
              <w:jc w:val="center"/>
              <w:outlineLvl w:val="0"/>
              <w:rPr>
                <w:sz w:val="24"/>
                <w:szCs w:val="24"/>
              </w:rPr>
            </w:pPr>
            <w:bookmarkStart w:id="90" w:name="_Toc165483408"/>
            <w:bookmarkStart w:id="91" w:name="_Toc7994"/>
            <w:r>
              <w:rPr>
                <w:sz w:val="24"/>
                <w:szCs w:val="24"/>
              </w:rPr>
              <w:t>见表四</w:t>
            </w:r>
            <w:bookmarkEnd w:id="90"/>
            <w:bookmarkEnd w:id="91"/>
          </w:p>
        </w:tc>
        <w:tc>
          <w:tcPr>
            <w:tcW w:w="2767" w:type="dxa"/>
            <w:gridSpan w:val="7"/>
            <w:vAlign w:val="center"/>
          </w:tcPr>
          <w:p w14:paraId="0CD3E0CF">
            <w:pPr>
              <w:jc w:val="center"/>
              <w:outlineLvl w:val="0"/>
              <w:rPr>
                <w:color w:val="auto"/>
                <w:sz w:val="24"/>
                <w:szCs w:val="24"/>
              </w:rPr>
            </w:pPr>
            <w:bookmarkStart w:id="92" w:name="_Toc29939"/>
            <w:bookmarkStart w:id="93" w:name="_Toc165483409"/>
            <w:r>
              <w:rPr>
                <w:rFonts w:hint="eastAsia"/>
                <w:color w:val="auto"/>
                <w:sz w:val="24"/>
                <w:szCs w:val="24"/>
              </w:rPr>
              <w:t>项目</w:t>
            </w:r>
            <w:r>
              <w:rPr>
                <w:color w:val="auto"/>
                <w:sz w:val="24"/>
                <w:szCs w:val="24"/>
              </w:rPr>
              <w:t>开工日期</w:t>
            </w:r>
            <w:bookmarkEnd w:id="92"/>
            <w:bookmarkEnd w:id="93"/>
          </w:p>
        </w:tc>
        <w:tc>
          <w:tcPr>
            <w:tcW w:w="1716" w:type="dxa"/>
            <w:gridSpan w:val="3"/>
            <w:vAlign w:val="center"/>
          </w:tcPr>
          <w:p w14:paraId="37640E8F">
            <w:pPr>
              <w:jc w:val="center"/>
              <w:outlineLvl w:val="0"/>
              <w:rPr>
                <w:rFonts w:hint="default" w:eastAsia="宋体"/>
                <w:color w:val="auto"/>
                <w:sz w:val="24"/>
                <w:szCs w:val="24"/>
                <w:lang w:val="en-US" w:eastAsia="zh-CN"/>
              </w:rPr>
            </w:pPr>
            <w:bookmarkStart w:id="94" w:name="_Toc22458"/>
            <w:r>
              <w:rPr>
                <w:rFonts w:hint="eastAsia"/>
                <w:color w:val="auto"/>
                <w:sz w:val="24"/>
                <w:szCs w:val="24"/>
              </w:rPr>
              <w:t>202</w:t>
            </w:r>
            <w:bookmarkEnd w:id="94"/>
            <w:r>
              <w:rPr>
                <w:rFonts w:hint="eastAsia"/>
                <w:color w:val="auto"/>
                <w:sz w:val="24"/>
                <w:szCs w:val="24"/>
                <w:lang w:val="en-US" w:eastAsia="zh-CN"/>
              </w:rPr>
              <w:t>2.2</w:t>
            </w:r>
          </w:p>
        </w:tc>
      </w:tr>
      <w:tr w14:paraId="3EFF6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00" w:type="dxa"/>
            <w:vAlign w:val="center"/>
          </w:tcPr>
          <w:p w14:paraId="53C1939B">
            <w:pPr>
              <w:jc w:val="center"/>
              <w:outlineLvl w:val="0"/>
              <w:rPr>
                <w:rFonts w:hint="default" w:eastAsia="宋体"/>
                <w:sz w:val="24"/>
                <w:szCs w:val="24"/>
                <w:lang w:val="en-US" w:eastAsia="zh-CN"/>
              </w:rPr>
            </w:pPr>
            <w:bookmarkStart w:id="95" w:name="_Toc28674"/>
            <w:r>
              <w:rPr>
                <w:rFonts w:hint="eastAsia"/>
                <w:sz w:val="24"/>
                <w:szCs w:val="24"/>
                <w:lang w:val="en-US" w:eastAsia="zh-CN"/>
              </w:rPr>
              <w:t>实际</w:t>
            </w:r>
            <w:bookmarkEnd w:id="95"/>
            <w:r>
              <w:rPr>
                <w:rFonts w:hint="eastAsia"/>
                <w:sz w:val="24"/>
                <w:szCs w:val="24"/>
                <w:lang w:val="en-US" w:eastAsia="zh-CN"/>
              </w:rPr>
              <w:t>规模</w:t>
            </w:r>
          </w:p>
        </w:tc>
        <w:tc>
          <w:tcPr>
            <w:tcW w:w="2335" w:type="dxa"/>
            <w:gridSpan w:val="2"/>
            <w:vAlign w:val="center"/>
          </w:tcPr>
          <w:p w14:paraId="44487C1F">
            <w:pPr>
              <w:jc w:val="center"/>
              <w:outlineLvl w:val="0"/>
              <w:rPr>
                <w:sz w:val="24"/>
                <w:szCs w:val="24"/>
              </w:rPr>
            </w:pPr>
            <w:bookmarkStart w:id="96" w:name="_Toc165483413"/>
            <w:bookmarkStart w:id="97" w:name="_Toc24575"/>
            <w:r>
              <w:rPr>
                <w:sz w:val="24"/>
                <w:szCs w:val="24"/>
              </w:rPr>
              <w:t>见表四</w:t>
            </w:r>
            <w:bookmarkEnd w:id="96"/>
            <w:bookmarkEnd w:id="97"/>
          </w:p>
        </w:tc>
        <w:tc>
          <w:tcPr>
            <w:tcW w:w="2767" w:type="dxa"/>
            <w:gridSpan w:val="7"/>
            <w:vAlign w:val="center"/>
          </w:tcPr>
          <w:p w14:paraId="2BCE90CC">
            <w:pPr>
              <w:jc w:val="center"/>
              <w:outlineLvl w:val="0"/>
              <w:rPr>
                <w:rFonts w:hint="default" w:eastAsia="宋体"/>
                <w:color w:val="auto"/>
                <w:sz w:val="24"/>
                <w:szCs w:val="24"/>
                <w:lang w:val="en-US" w:eastAsia="zh-CN"/>
              </w:rPr>
            </w:pPr>
            <w:bookmarkStart w:id="98" w:name="_Toc13693"/>
            <w:r>
              <w:rPr>
                <w:rFonts w:hint="eastAsia"/>
                <w:color w:val="auto"/>
                <w:sz w:val="24"/>
                <w:szCs w:val="24"/>
                <w:lang w:val="en-US" w:eastAsia="zh-CN"/>
              </w:rPr>
              <w:t>投入运行日期</w:t>
            </w:r>
            <w:bookmarkEnd w:id="98"/>
          </w:p>
        </w:tc>
        <w:tc>
          <w:tcPr>
            <w:tcW w:w="1716" w:type="dxa"/>
            <w:gridSpan w:val="3"/>
            <w:vAlign w:val="center"/>
          </w:tcPr>
          <w:p w14:paraId="2E95AC4A">
            <w:pPr>
              <w:jc w:val="center"/>
              <w:outlineLvl w:val="0"/>
              <w:rPr>
                <w:rFonts w:hint="default" w:eastAsia="宋体"/>
                <w:color w:val="auto"/>
                <w:sz w:val="24"/>
                <w:szCs w:val="24"/>
                <w:lang w:val="en-US" w:eastAsia="zh-CN"/>
              </w:rPr>
            </w:pPr>
            <w:bookmarkStart w:id="99" w:name="_Toc5328"/>
            <w:bookmarkStart w:id="100" w:name="_Toc165483415"/>
            <w:r>
              <w:rPr>
                <w:color w:val="auto"/>
                <w:sz w:val="24"/>
                <w:szCs w:val="24"/>
              </w:rPr>
              <w:t>202</w:t>
            </w:r>
            <w:bookmarkEnd w:id="99"/>
            <w:bookmarkEnd w:id="100"/>
            <w:r>
              <w:rPr>
                <w:rFonts w:hint="eastAsia"/>
                <w:color w:val="auto"/>
                <w:sz w:val="24"/>
                <w:szCs w:val="24"/>
                <w:lang w:val="en-US" w:eastAsia="zh-CN"/>
              </w:rPr>
              <w:t>3.4</w:t>
            </w:r>
          </w:p>
        </w:tc>
      </w:tr>
      <w:tr w14:paraId="44CBB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00" w:type="dxa"/>
            <w:vAlign w:val="center"/>
          </w:tcPr>
          <w:p w14:paraId="66F81284">
            <w:pPr>
              <w:ind w:firstLine="240"/>
              <w:jc w:val="center"/>
              <w:outlineLvl w:val="0"/>
              <w:rPr>
                <w:sz w:val="24"/>
                <w:szCs w:val="24"/>
              </w:rPr>
            </w:pPr>
            <w:bookmarkStart w:id="101" w:name="_Toc165483416"/>
            <w:bookmarkStart w:id="102" w:name="_Toc9951"/>
            <w:r>
              <w:rPr>
                <w:sz w:val="24"/>
                <w:szCs w:val="24"/>
              </w:rPr>
              <w:t>项目建设</w:t>
            </w:r>
            <w:bookmarkEnd w:id="101"/>
            <w:bookmarkEnd w:id="102"/>
          </w:p>
          <w:p w14:paraId="55EB44F8">
            <w:pPr>
              <w:ind w:firstLine="240"/>
              <w:jc w:val="center"/>
              <w:outlineLvl w:val="0"/>
              <w:rPr>
                <w:sz w:val="24"/>
                <w:szCs w:val="24"/>
              </w:rPr>
            </w:pPr>
            <w:bookmarkStart w:id="103" w:name="_Toc12872"/>
            <w:bookmarkStart w:id="104" w:name="_Toc165483417"/>
            <w:r>
              <w:rPr>
                <w:sz w:val="24"/>
                <w:szCs w:val="24"/>
              </w:rPr>
              <w:t>过程简述</w:t>
            </w:r>
            <w:bookmarkEnd w:id="103"/>
            <w:bookmarkEnd w:id="104"/>
          </w:p>
        </w:tc>
        <w:tc>
          <w:tcPr>
            <w:tcW w:w="6818" w:type="dxa"/>
            <w:gridSpan w:val="12"/>
            <w:vAlign w:val="center"/>
          </w:tcPr>
          <w:p w14:paraId="5ED9BB29">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jc w:val="left"/>
              <w:textAlignment w:val="auto"/>
              <w:outlineLvl w:val="0"/>
              <w:rPr>
                <w:b/>
                <w:sz w:val="24"/>
                <w:szCs w:val="24"/>
              </w:rPr>
            </w:pPr>
            <w:bookmarkStart w:id="105" w:name="_Toc5692"/>
            <w:bookmarkStart w:id="106" w:name="_Toc165483418"/>
            <w:r>
              <w:rPr>
                <w:rFonts w:hint="eastAsia"/>
                <w:b/>
                <w:sz w:val="24"/>
                <w:szCs w:val="24"/>
              </w:rPr>
              <w:t>1、项目建设过程简述</w:t>
            </w:r>
            <w:bookmarkEnd w:id="105"/>
          </w:p>
          <w:p w14:paraId="3DC1B0F7">
            <w:pPr>
              <w:spacing w:line="360" w:lineRule="auto"/>
              <w:ind w:firstLine="480" w:firstLineChars="200"/>
              <w:jc w:val="left"/>
              <w:outlineLvl w:val="0"/>
              <w:rPr>
                <w:sz w:val="24"/>
              </w:rPr>
            </w:pPr>
            <w:bookmarkStart w:id="107" w:name="_Toc14086"/>
            <w:r>
              <w:rPr>
                <w:rFonts w:hint="eastAsia"/>
                <w:sz w:val="24"/>
              </w:rPr>
              <w:t>2021年7月21日，项目取得了《金堂县发展和改革局关于四川省金堂县资水河防洪治理工程（二期）可行性研究报告（代项目建议书）的批复》（金堂发改投资</w:t>
            </w:r>
            <w:r>
              <w:rPr>
                <w:bCs/>
                <w:sz w:val="24"/>
              </w:rPr>
              <w:t>﹝20</w:t>
            </w:r>
            <w:r>
              <w:rPr>
                <w:rFonts w:hint="eastAsia"/>
                <w:bCs/>
                <w:sz w:val="24"/>
              </w:rPr>
              <w:t>2</w:t>
            </w:r>
            <w:r>
              <w:rPr>
                <w:rFonts w:hint="eastAsia"/>
                <w:bCs/>
                <w:sz w:val="24"/>
                <w:lang w:val="en-US" w:eastAsia="zh-CN"/>
              </w:rPr>
              <w:t>1</w:t>
            </w:r>
            <w:r>
              <w:rPr>
                <w:bCs/>
                <w:sz w:val="24"/>
              </w:rPr>
              <w:t>﹞</w:t>
            </w:r>
            <w:r>
              <w:rPr>
                <w:rFonts w:hint="eastAsia"/>
                <w:sz w:val="24"/>
              </w:rPr>
              <w:t>38号）</w:t>
            </w:r>
            <w:r>
              <w:rPr>
                <w:sz w:val="24"/>
              </w:rPr>
              <w:t>；</w:t>
            </w:r>
            <w:bookmarkEnd w:id="106"/>
            <w:bookmarkEnd w:id="107"/>
          </w:p>
          <w:p w14:paraId="4AAEC986">
            <w:pPr>
              <w:spacing w:line="360" w:lineRule="auto"/>
              <w:ind w:firstLine="480" w:firstLineChars="200"/>
              <w:jc w:val="left"/>
              <w:outlineLvl w:val="0"/>
              <w:rPr>
                <w:rFonts w:hint="default" w:eastAsia="宋体"/>
                <w:sz w:val="24"/>
                <w:lang w:val="en-US" w:eastAsia="zh-CN"/>
              </w:rPr>
            </w:pPr>
            <w:bookmarkStart w:id="108" w:name="_Toc4390"/>
            <w:r>
              <w:rPr>
                <w:rFonts w:hint="eastAsia"/>
                <w:sz w:val="24"/>
                <w:lang w:val="en-US" w:eastAsia="zh-CN"/>
              </w:rPr>
              <w:t>2021年8月30日，项目取得《金堂县水务局关于＜四川省金堂县资水河防洪治理工程（二期）初步设计＞的批复》（金堂水务发</w:t>
            </w:r>
            <w:r>
              <w:rPr>
                <w:bCs/>
                <w:sz w:val="24"/>
              </w:rPr>
              <w:t>﹝20</w:t>
            </w:r>
            <w:r>
              <w:rPr>
                <w:rFonts w:hint="eastAsia"/>
                <w:bCs/>
                <w:sz w:val="24"/>
              </w:rPr>
              <w:t>2</w:t>
            </w:r>
            <w:r>
              <w:rPr>
                <w:rFonts w:hint="eastAsia"/>
                <w:bCs/>
                <w:sz w:val="24"/>
                <w:lang w:val="en-US" w:eastAsia="zh-CN"/>
              </w:rPr>
              <w:t>1</w:t>
            </w:r>
            <w:r>
              <w:rPr>
                <w:bCs/>
                <w:sz w:val="24"/>
              </w:rPr>
              <w:t>﹞</w:t>
            </w:r>
            <w:r>
              <w:rPr>
                <w:rFonts w:hint="eastAsia"/>
                <w:sz w:val="24"/>
                <w:lang w:val="en-US" w:eastAsia="zh-CN"/>
              </w:rPr>
              <w:t>133号）。</w:t>
            </w:r>
            <w:bookmarkEnd w:id="108"/>
          </w:p>
          <w:p w14:paraId="657FE2DE">
            <w:pPr>
              <w:spacing w:line="360" w:lineRule="auto"/>
              <w:ind w:firstLine="480" w:firstLineChars="200"/>
              <w:jc w:val="left"/>
              <w:outlineLvl w:val="0"/>
              <w:rPr>
                <w:sz w:val="24"/>
              </w:rPr>
            </w:pPr>
            <w:bookmarkStart w:id="109" w:name="_Toc165483420"/>
            <w:bookmarkStart w:id="110" w:name="_Toc13259"/>
            <w:r>
              <w:rPr>
                <w:sz w:val="24"/>
              </w:rPr>
              <w:t>202</w:t>
            </w:r>
            <w:r>
              <w:rPr>
                <w:rFonts w:hint="eastAsia"/>
                <w:sz w:val="24"/>
                <w:lang w:val="en-US" w:eastAsia="zh-CN"/>
              </w:rPr>
              <w:t>1</w:t>
            </w:r>
            <w:r>
              <w:rPr>
                <w:sz w:val="24"/>
              </w:rPr>
              <w:t>年</w:t>
            </w:r>
            <w:r>
              <w:rPr>
                <w:rFonts w:hint="eastAsia"/>
                <w:sz w:val="24"/>
                <w:lang w:val="en-US" w:eastAsia="zh-CN"/>
              </w:rPr>
              <w:t>12</w:t>
            </w:r>
            <w:r>
              <w:rPr>
                <w:sz w:val="24"/>
              </w:rPr>
              <w:t>月</w:t>
            </w:r>
            <w:r>
              <w:rPr>
                <w:rFonts w:hint="eastAsia"/>
                <w:sz w:val="24"/>
                <w:lang w:val="en-US" w:eastAsia="zh-CN"/>
              </w:rPr>
              <w:t>2</w:t>
            </w:r>
            <w:r>
              <w:rPr>
                <w:sz w:val="24"/>
              </w:rPr>
              <w:t>日</w:t>
            </w:r>
            <w:r>
              <w:rPr>
                <w:rFonts w:hint="eastAsia"/>
                <w:sz w:val="24"/>
              </w:rPr>
              <w:t>，</w:t>
            </w:r>
            <w:r>
              <w:rPr>
                <w:sz w:val="24"/>
              </w:rPr>
              <w:t>取得</w:t>
            </w:r>
            <w:r>
              <w:rPr>
                <w:rFonts w:hint="eastAsia"/>
                <w:sz w:val="24"/>
                <w:lang w:val="en-US" w:eastAsia="zh-CN"/>
              </w:rPr>
              <w:t>成都市金堂</w:t>
            </w:r>
            <w:r>
              <w:rPr>
                <w:sz w:val="24"/>
              </w:rPr>
              <w:t>生态环境局出具的关于该项目环评批复（</w:t>
            </w:r>
            <w:r>
              <w:rPr>
                <w:rFonts w:hint="eastAsia"/>
                <w:sz w:val="24"/>
              </w:rPr>
              <w:t>金环评审﹝2021﹞31号</w:t>
            </w:r>
            <w:r>
              <w:rPr>
                <w:sz w:val="24"/>
              </w:rPr>
              <w:t>）</w:t>
            </w:r>
            <w:r>
              <w:rPr>
                <w:rFonts w:hint="eastAsia"/>
                <w:sz w:val="24"/>
              </w:rPr>
              <w:t>，由成都花园水城环境科技有限公司</w:t>
            </w:r>
            <w:r>
              <w:rPr>
                <w:sz w:val="24"/>
              </w:rPr>
              <w:t>编制完成《</w:t>
            </w:r>
            <w:r>
              <w:rPr>
                <w:rFonts w:hint="eastAsia"/>
                <w:sz w:val="24"/>
              </w:rPr>
              <w:t>四川省金堂县资水河防洪治理工程（二期）</w:t>
            </w:r>
            <w:r>
              <w:rPr>
                <w:sz w:val="24"/>
              </w:rPr>
              <w:t>环境影响报告表》</w:t>
            </w:r>
            <w:bookmarkEnd w:id="109"/>
            <w:r>
              <w:rPr>
                <w:rFonts w:hint="eastAsia"/>
                <w:sz w:val="24"/>
              </w:rPr>
              <w:t>。</w:t>
            </w:r>
            <w:bookmarkEnd w:id="110"/>
          </w:p>
          <w:p w14:paraId="51122AA2">
            <w:pPr>
              <w:spacing w:line="360" w:lineRule="auto"/>
              <w:ind w:firstLine="480" w:firstLineChars="200"/>
              <w:jc w:val="left"/>
              <w:outlineLvl w:val="0"/>
              <w:rPr>
                <w:bCs/>
                <w:color w:val="auto"/>
                <w:sz w:val="24"/>
                <w:szCs w:val="24"/>
              </w:rPr>
            </w:pPr>
            <w:bookmarkStart w:id="111" w:name="_Toc17306"/>
            <w:bookmarkStart w:id="112" w:name="_Toc165483422"/>
            <w:r>
              <w:rPr>
                <w:bCs/>
                <w:color w:val="auto"/>
                <w:sz w:val="24"/>
                <w:szCs w:val="24"/>
              </w:rPr>
              <w:t>项目</w:t>
            </w:r>
            <w:r>
              <w:rPr>
                <w:rFonts w:hint="eastAsia"/>
                <w:bCs/>
                <w:color w:val="auto"/>
                <w:sz w:val="24"/>
                <w:szCs w:val="24"/>
              </w:rPr>
              <w:t>于202</w:t>
            </w:r>
            <w:r>
              <w:rPr>
                <w:rFonts w:hint="eastAsia"/>
                <w:bCs/>
                <w:color w:val="auto"/>
                <w:sz w:val="24"/>
                <w:szCs w:val="24"/>
                <w:lang w:val="en-US" w:eastAsia="zh-CN"/>
              </w:rPr>
              <w:t>2</w:t>
            </w:r>
            <w:r>
              <w:rPr>
                <w:rFonts w:hint="eastAsia"/>
                <w:bCs/>
                <w:color w:val="auto"/>
                <w:sz w:val="24"/>
                <w:szCs w:val="24"/>
              </w:rPr>
              <w:t>年</w:t>
            </w:r>
            <w:r>
              <w:rPr>
                <w:rFonts w:hint="eastAsia"/>
                <w:bCs/>
                <w:color w:val="auto"/>
                <w:sz w:val="24"/>
                <w:szCs w:val="24"/>
                <w:lang w:val="en-US" w:eastAsia="zh-CN"/>
              </w:rPr>
              <w:t>2</w:t>
            </w:r>
            <w:r>
              <w:rPr>
                <w:rFonts w:hint="eastAsia"/>
                <w:bCs/>
                <w:color w:val="auto"/>
                <w:sz w:val="24"/>
                <w:szCs w:val="24"/>
              </w:rPr>
              <w:t>月</w:t>
            </w:r>
            <w:r>
              <w:rPr>
                <w:bCs/>
                <w:color w:val="auto"/>
                <w:sz w:val="24"/>
                <w:szCs w:val="24"/>
              </w:rPr>
              <w:t>开工，</w:t>
            </w:r>
            <w:r>
              <w:rPr>
                <w:color w:val="auto"/>
                <w:sz w:val="24"/>
                <w:szCs w:val="24"/>
              </w:rPr>
              <w:t>202</w:t>
            </w:r>
            <w:r>
              <w:rPr>
                <w:rFonts w:hint="eastAsia"/>
                <w:color w:val="auto"/>
                <w:sz w:val="24"/>
                <w:szCs w:val="24"/>
                <w:lang w:val="en-US" w:eastAsia="zh-CN"/>
              </w:rPr>
              <w:t>3</w:t>
            </w:r>
            <w:r>
              <w:rPr>
                <w:color w:val="auto"/>
                <w:sz w:val="24"/>
                <w:szCs w:val="24"/>
              </w:rPr>
              <w:t>年</w:t>
            </w:r>
            <w:r>
              <w:rPr>
                <w:rFonts w:hint="eastAsia"/>
                <w:color w:val="auto"/>
                <w:sz w:val="24"/>
                <w:szCs w:val="24"/>
                <w:lang w:val="en-US" w:eastAsia="zh-CN"/>
              </w:rPr>
              <w:t>4</w:t>
            </w:r>
            <w:r>
              <w:rPr>
                <w:color w:val="auto"/>
                <w:sz w:val="24"/>
                <w:szCs w:val="24"/>
              </w:rPr>
              <w:t>月</w:t>
            </w:r>
            <w:r>
              <w:rPr>
                <w:bCs/>
                <w:color w:val="auto"/>
                <w:sz w:val="24"/>
                <w:szCs w:val="24"/>
              </w:rPr>
              <w:t>投入调试日期</w:t>
            </w:r>
            <w:r>
              <w:rPr>
                <w:rFonts w:hint="eastAsia"/>
                <w:bCs/>
                <w:color w:val="auto"/>
                <w:sz w:val="24"/>
                <w:szCs w:val="24"/>
              </w:rPr>
              <w:t>，项目施工过程中四川创江水利工程技术有限公司对工程进行了全程监理。</w:t>
            </w:r>
            <w:bookmarkEnd w:id="111"/>
          </w:p>
          <w:bookmarkEnd w:id="112"/>
          <w:p w14:paraId="22C6E435">
            <w:pPr>
              <w:spacing w:line="360" w:lineRule="auto"/>
              <w:ind w:firstLine="482" w:firstLineChars="200"/>
              <w:jc w:val="left"/>
              <w:outlineLvl w:val="0"/>
              <w:rPr>
                <w:b/>
                <w:bCs/>
                <w:sz w:val="24"/>
                <w:szCs w:val="22"/>
              </w:rPr>
            </w:pPr>
            <w:bookmarkStart w:id="113" w:name="_Toc19948"/>
            <w:bookmarkStart w:id="114" w:name="_Toc165483423"/>
            <w:r>
              <w:rPr>
                <w:rFonts w:hint="eastAsia"/>
                <w:b/>
                <w:bCs/>
                <w:sz w:val="24"/>
                <w:szCs w:val="22"/>
              </w:rPr>
              <w:t>2、验收规模</w:t>
            </w:r>
            <w:bookmarkEnd w:id="113"/>
          </w:p>
          <w:p w14:paraId="047D72F4">
            <w:pPr>
              <w:spacing w:line="360" w:lineRule="auto"/>
              <w:ind w:firstLine="480" w:firstLineChars="200"/>
              <w:jc w:val="left"/>
              <w:outlineLvl w:val="0"/>
              <w:rPr>
                <w:rFonts w:hint="eastAsia"/>
                <w:bCs/>
                <w:sz w:val="24"/>
                <w:szCs w:val="24"/>
              </w:rPr>
            </w:pPr>
            <w:bookmarkStart w:id="115" w:name="_Toc4452"/>
            <w:r>
              <w:rPr>
                <w:rFonts w:hint="eastAsia"/>
                <w:bCs/>
                <w:sz w:val="24"/>
                <w:szCs w:val="24"/>
                <w:lang w:val="en-US" w:eastAsia="zh-CN"/>
              </w:rPr>
              <w:t>与环评相比治理河道一致，护岸长度有所变化</w:t>
            </w:r>
            <w:r>
              <w:rPr>
                <w:rFonts w:hint="eastAsia"/>
                <w:bCs/>
                <w:sz w:val="24"/>
                <w:szCs w:val="24"/>
              </w:rPr>
              <w:t>。</w:t>
            </w:r>
            <w:bookmarkEnd w:id="115"/>
          </w:p>
          <w:p w14:paraId="04C6A98A">
            <w:pPr>
              <w:spacing w:line="360" w:lineRule="auto"/>
              <w:ind w:firstLine="482" w:firstLineChars="200"/>
              <w:jc w:val="left"/>
              <w:outlineLvl w:val="0"/>
              <w:rPr>
                <w:rFonts w:hint="eastAsia"/>
                <w:bCs/>
                <w:sz w:val="24"/>
                <w:szCs w:val="24"/>
                <w:lang w:val="en-US" w:eastAsia="zh-CN"/>
              </w:rPr>
            </w:pPr>
            <w:bookmarkStart w:id="116" w:name="_Toc12446"/>
            <w:r>
              <w:rPr>
                <w:rFonts w:hint="eastAsia"/>
                <w:b/>
                <w:bCs w:val="0"/>
                <w:sz w:val="24"/>
                <w:szCs w:val="24"/>
                <w:lang w:val="en-US" w:eastAsia="zh-CN"/>
              </w:rPr>
              <w:t>验收实际建设规模如下</w:t>
            </w:r>
            <w:r>
              <w:rPr>
                <w:rFonts w:hint="eastAsia"/>
                <w:bCs/>
                <w:sz w:val="24"/>
                <w:szCs w:val="24"/>
                <w:lang w:val="en-US" w:eastAsia="zh-CN"/>
              </w:rPr>
              <w:t>：</w:t>
            </w:r>
          </w:p>
          <w:p w14:paraId="3EF35207">
            <w:pPr>
              <w:spacing w:line="360" w:lineRule="auto"/>
              <w:ind w:firstLine="480" w:firstLineChars="200"/>
              <w:jc w:val="left"/>
              <w:outlineLvl w:val="0"/>
              <w:rPr>
                <w:rFonts w:hint="eastAsia"/>
                <w:sz w:val="24"/>
                <w:szCs w:val="22"/>
              </w:rPr>
            </w:pPr>
            <w:r>
              <w:rPr>
                <w:rFonts w:hint="eastAsia"/>
                <w:bCs/>
                <w:sz w:val="24"/>
                <w:szCs w:val="24"/>
                <w:lang w:val="en-US" w:eastAsia="zh-CN"/>
              </w:rPr>
              <w:t>新建护岸12110m（转龙镇6999m，竹篙镇5111m；共计17段）；水生态修复工程包括：新建浅水区滨河湿地3.16hm²，新建四处生态湿地节点（分为彭家沟生态湿地节点、资水河大桥生态湿地节点、神仙桥生态湿地节点、三绕生态湿地节点，主要内容包括梯田湿地11.17hm²，垛田湿地3.99hm²，生态隔离带1.45hm²，游步道2.3km）</w:t>
            </w:r>
            <w:r>
              <w:rPr>
                <w:rFonts w:hint="eastAsia"/>
                <w:sz w:val="24"/>
                <w:szCs w:val="22"/>
              </w:rPr>
              <w:t>。</w:t>
            </w:r>
            <w:bookmarkEnd w:id="116"/>
          </w:p>
          <w:p w14:paraId="21C2AF4C">
            <w:pPr>
              <w:spacing w:line="360" w:lineRule="auto"/>
              <w:ind w:firstLine="480" w:firstLineChars="200"/>
              <w:jc w:val="left"/>
              <w:outlineLvl w:val="0"/>
              <w:rPr>
                <w:rFonts w:hint="eastAsia" w:eastAsia="宋体"/>
                <w:lang w:eastAsia="zh-CN"/>
              </w:rPr>
            </w:pPr>
            <w:r>
              <w:rPr>
                <w:rFonts w:hint="eastAsia"/>
                <w:sz w:val="24"/>
                <w:szCs w:val="22"/>
              </w:rPr>
              <w:t>本工程为护岸工程，不设防洪标准，排涝设计洪水标准为5年一遇。护岸工程级别为5级，主要建筑物按5级设计，次要建筑物按5级设计，临时建筑物按5级设计</w:t>
            </w:r>
            <w:bookmarkEnd w:id="114"/>
            <w:r>
              <w:rPr>
                <w:rFonts w:hint="eastAsia"/>
                <w:sz w:val="24"/>
                <w:szCs w:val="22"/>
                <w:lang w:eastAsia="zh-CN"/>
              </w:rPr>
              <w:t>。</w:t>
            </w:r>
          </w:p>
        </w:tc>
      </w:tr>
      <w:tr w14:paraId="3AC81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1800" w:type="dxa"/>
            <w:vAlign w:val="center"/>
          </w:tcPr>
          <w:p w14:paraId="53B35507">
            <w:pPr>
              <w:ind w:firstLine="240"/>
              <w:jc w:val="center"/>
              <w:outlineLvl w:val="0"/>
              <w:rPr>
                <w:rFonts w:hint="default" w:eastAsia="宋体"/>
                <w:sz w:val="24"/>
                <w:szCs w:val="24"/>
                <w:lang w:val="en-US" w:eastAsia="zh-CN"/>
              </w:rPr>
            </w:pPr>
            <w:bookmarkStart w:id="117" w:name="_Toc992"/>
            <w:r>
              <w:rPr>
                <w:rFonts w:hint="eastAsia"/>
                <w:sz w:val="24"/>
                <w:szCs w:val="24"/>
                <w:lang w:val="en-US" w:eastAsia="zh-CN"/>
              </w:rPr>
              <w:t>验收调查依据</w:t>
            </w:r>
            <w:bookmarkEnd w:id="117"/>
          </w:p>
        </w:tc>
        <w:tc>
          <w:tcPr>
            <w:tcW w:w="6818" w:type="dxa"/>
            <w:gridSpan w:val="12"/>
            <w:vAlign w:val="center"/>
          </w:tcPr>
          <w:p w14:paraId="40FA532E">
            <w:pPr>
              <w:pStyle w:val="19"/>
              <w:keepNext w:val="0"/>
              <w:keepLines w:val="0"/>
              <w:pageBreakBefore w:val="0"/>
              <w:widowControl w:val="0"/>
              <w:numPr>
                <w:ilvl w:val="0"/>
                <w:numId w:val="1"/>
              </w:numPr>
              <w:kinsoku/>
              <w:wordWrap/>
              <w:overflowPunct/>
              <w:topLinePunct w:val="0"/>
              <w:autoSpaceDE/>
              <w:autoSpaceDN/>
              <w:bidi w:val="0"/>
              <w:adjustRightInd/>
              <w:snapToGrid/>
              <w:spacing w:after="0" w:line="360" w:lineRule="auto"/>
              <w:ind w:left="0" w:leftChars="0" w:firstLine="480" w:firstLineChars="200"/>
              <w:textAlignment w:val="auto"/>
              <w:rPr>
                <w:rFonts w:hint="eastAsia"/>
                <w:lang w:eastAsia="zh-CN"/>
              </w:rPr>
            </w:pPr>
            <w:r>
              <w:rPr>
                <w:rFonts w:hint="eastAsia"/>
              </w:rPr>
              <w:t>《建设项目环境保护管理条例》（中华人民共和国国务院令第682 号，2017 年10 月1 日施行）</w:t>
            </w:r>
            <w:r>
              <w:rPr>
                <w:rFonts w:hint="eastAsia"/>
                <w:lang w:eastAsia="zh-CN"/>
              </w:rPr>
              <w:t>；</w:t>
            </w:r>
          </w:p>
          <w:p w14:paraId="003D59E8">
            <w:pPr>
              <w:pStyle w:val="19"/>
              <w:keepNext w:val="0"/>
              <w:keepLines w:val="0"/>
              <w:pageBreakBefore w:val="0"/>
              <w:widowControl w:val="0"/>
              <w:numPr>
                <w:ilvl w:val="0"/>
                <w:numId w:val="1"/>
              </w:numPr>
              <w:kinsoku/>
              <w:wordWrap/>
              <w:overflowPunct/>
              <w:topLinePunct w:val="0"/>
              <w:autoSpaceDE/>
              <w:autoSpaceDN/>
              <w:bidi w:val="0"/>
              <w:adjustRightInd/>
              <w:snapToGrid/>
              <w:spacing w:after="0" w:line="360" w:lineRule="auto"/>
              <w:ind w:left="0" w:leftChars="0" w:firstLine="480" w:firstLineChars="200"/>
              <w:textAlignment w:val="auto"/>
              <w:rPr>
                <w:rFonts w:hint="eastAsia"/>
              </w:rPr>
            </w:pPr>
            <w:r>
              <w:rPr>
                <w:rFonts w:hint="eastAsia"/>
              </w:rPr>
              <w:t>《建设项目竣工环境保护验收管理办法》（国家环保总局令第13 号）；</w:t>
            </w:r>
          </w:p>
          <w:p w14:paraId="0B96C715">
            <w:pPr>
              <w:pStyle w:val="19"/>
              <w:keepNext w:val="0"/>
              <w:keepLines w:val="0"/>
              <w:pageBreakBefore w:val="0"/>
              <w:widowControl w:val="0"/>
              <w:numPr>
                <w:ilvl w:val="0"/>
                <w:numId w:val="1"/>
              </w:numPr>
              <w:kinsoku/>
              <w:wordWrap/>
              <w:overflowPunct/>
              <w:topLinePunct w:val="0"/>
              <w:autoSpaceDE/>
              <w:autoSpaceDN/>
              <w:bidi w:val="0"/>
              <w:adjustRightInd/>
              <w:snapToGrid/>
              <w:spacing w:after="0" w:line="360" w:lineRule="auto"/>
              <w:ind w:left="0" w:leftChars="0" w:firstLine="480" w:firstLineChars="200"/>
              <w:textAlignment w:val="auto"/>
              <w:rPr>
                <w:rFonts w:hint="eastAsia"/>
              </w:rPr>
            </w:pPr>
            <w:r>
              <w:rPr>
                <w:rFonts w:hint="eastAsia"/>
              </w:rPr>
              <w:t>《关于建设项目环境保护验收适用标准有关问题的复函》（国家环境保护总局环函[2002]222 号，2022 年8 月21 日）；</w:t>
            </w:r>
          </w:p>
          <w:p w14:paraId="5334E0F9">
            <w:pPr>
              <w:pStyle w:val="19"/>
              <w:keepNext w:val="0"/>
              <w:keepLines w:val="0"/>
              <w:pageBreakBefore w:val="0"/>
              <w:widowControl w:val="0"/>
              <w:numPr>
                <w:ilvl w:val="0"/>
                <w:numId w:val="1"/>
              </w:numPr>
              <w:kinsoku/>
              <w:wordWrap/>
              <w:overflowPunct/>
              <w:topLinePunct w:val="0"/>
              <w:autoSpaceDE/>
              <w:autoSpaceDN/>
              <w:bidi w:val="0"/>
              <w:adjustRightInd/>
              <w:snapToGrid/>
              <w:spacing w:after="0" w:line="360" w:lineRule="auto"/>
              <w:ind w:left="0" w:leftChars="0" w:firstLine="480" w:firstLineChars="200"/>
              <w:textAlignment w:val="auto"/>
              <w:rPr>
                <w:rFonts w:hint="eastAsia"/>
              </w:rPr>
            </w:pPr>
            <w:r>
              <w:rPr>
                <w:rFonts w:hint="eastAsia"/>
              </w:rPr>
              <w:t>《关于依法加强环境影响评价管理防范环境风险的通知》（四川省环境保护局，川环发[2006]01 号）；</w:t>
            </w:r>
          </w:p>
          <w:p w14:paraId="7C2042E7">
            <w:pPr>
              <w:pStyle w:val="19"/>
              <w:keepNext w:val="0"/>
              <w:keepLines w:val="0"/>
              <w:pageBreakBefore w:val="0"/>
              <w:widowControl w:val="0"/>
              <w:numPr>
                <w:ilvl w:val="0"/>
                <w:numId w:val="1"/>
              </w:numPr>
              <w:kinsoku/>
              <w:wordWrap/>
              <w:overflowPunct/>
              <w:topLinePunct w:val="0"/>
              <w:autoSpaceDE/>
              <w:autoSpaceDN/>
              <w:bidi w:val="0"/>
              <w:adjustRightInd/>
              <w:snapToGrid/>
              <w:spacing w:after="0" w:line="360" w:lineRule="auto"/>
              <w:ind w:left="0" w:leftChars="0" w:firstLine="480" w:firstLineChars="200"/>
              <w:textAlignment w:val="auto"/>
              <w:rPr>
                <w:rFonts w:hint="eastAsia"/>
              </w:rPr>
            </w:pPr>
            <w:r>
              <w:rPr>
                <w:rFonts w:hint="eastAsia"/>
              </w:rPr>
              <w:t>《关于进一步加强建设项目竣工环境保护验收监测（调查）工作的通知》（四川省环境保护局，川环发[2006]61 号）；</w:t>
            </w:r>
          </w:p>
          <w:p w14:paraId="3564F84E">
            <w:pPr>
              <w:pStyle w:val="19"/>
              <w:keepNext w:val="0"/>
              <w:keepLines w:val="0"/>
              <w:pageBreakBefore w:val="0"/>
              <w:widowControl w:val="0"/>
              <w:numPr>
                <w:ilvl w:val="0"/>
                <w:numId w:val="1"/>
              </w:numPr>
              <w:kinsoku/>
              <w:wordWrap/>
              <w:overflowPunct/>
              <w:topLinePunct w:val="0"/>
              <w:autoSpaceDE/>
              <w:autoSpaceDN/>
              <w:bidi w:val="0"/>
              <w:adjustRightInd/>
              <w:snapToGrid/>
              <w:spacing w:after="0" w:line="360" w:lineRule="auto"/>
              <w:ind w:left="0" w:leftChars="0" w:firstLine="480" w:firstLineChars="200"/>
              <w:textAlignment w:val="auto"/>
              <w:rPr>
                <w:rFonts w:hint="eastAsia"/>
              </w:rPr>
            </w:pPr>
            <w:r>
              <w:rPr>
                <w:rFonts w:hint="eastAsia"/>
              </w:rPr>
              <w:t>《建设项目竣工环境保护验收技术规范生态影响类》（HJ/T394-2007）（原国家环境保护局）；</w:t>
            </w:r>
          </w:p>
          <w:p w14:paraId="22266D15">
            <w:pPr>
              <w:pStyle w:val="19"/>
              <w:keepNext w:val="0"/>
              <w:keepLines w:val="0"/>
              <w:pageBreakBefore w:val="0"/>
              <w:widowControl w:val="0"/>
              <w:numPr>
                <w:ilvl w:val="0"/>
                <w:numId w:val="1"/>
              </w:numPr>
              <w:kinsoku/>
              <w:wordWrap/>
              <w:overflowPunct/>
              <w:topLinePunct w:val="0"/>
              <w:autoSpaceDE/>
              <w:autoSpaceDN/>
              <w:bidi w:val="0"/>
              <w:adjustRightInd/>
              <w:snapToGrid/>
              <w:spacing w:after="0" w:line="360" w:lineRule="auto"/>
              <w:ind w:left="0" w:leftChars="0" w:firstLine="480" w:firstLineChars="200"/>
              <w:textAlignment w:val="auto"/>
              <w:rPr>
                <w:rFonts w:hint="eastAsia"/>
              </w:rPr>
            </w:pPr>
            <w:r>
              <w:rPr>
                <w:rFonts w:hint="eastAsia"/>
              </w:rPr>
              <w:t>《建设项目竣工环境保护验收暂行办法》（国家环境保护部国环规环评〔2017〕4 号，2017 年11 月22 日）；</w:t>
            </w:r>
          </w:p>
          <w:p w14:paraId="0B0A3B09">
            <w:pPr>
              <w:pStyle w:val="19"/>
              <w:keepNext w:val="0"/>
              <w:keepLines w:val="0"/>
              <w:pageBreakBefore w:val="0"/>
              <w:widowControl w:val="0"/>
              <w:numPr>
                <w:ilvl w:val="0"/>
                <w:numId w:val="1"/>
              </w:numPr>
              <w:kinsoku/>
              <w:wordWrap/>
              <w:overflowPunct/>
              <w:topLinePunct w:val="0"/>
              <w:autoSpaceDE/>
              <w:autoSpaceDN/>
              <w:bidi w:val="0"/>
              <w:adjustRightInd/>
              <w:snapToGrid/>
              <w:spacing w:after="0" w:line="360" w:lineRule="auto"/>
              <w:ind w:left="0" w:leftChars="0" w:firstLine="480" w:firstLineChars="200"/>
              <w:textAlignment w:val="auto"/>
              <w:rPr>
                <w:rFonts w:hint="eastAsia"/>
              </w:rPr>
            </w:pPr>
            <w:r>
              <w:rPr>
                <w:rFonts w:hint="eastAsia"/>
              </w:rPr>
              <w:t>《四川省金堂县资水河防洪治理工程</w:t>
            </w:r>
            <w:r>
              <w:rPr>
                <w:rFonts w:hint="eastAsia"/>
                <w:lang w:eastAsia="zh-CN"/>
              </w:rPr>
              <w:t>（</w:t>
            </w:r>
            <w:r>
              <w:rPr>
                <w:rFonts w:hint="eastAsia"/>
                <w:lang w:val="en-US" w:eastAsia="zh-CN"/>
              </w:rPr>
              <w:t>二期</w:t>
            </w:r>
            <w:r>
              <w:rPr>
                <w:rFonts w:hint="eastAsia"/>
                <w:lang w:eastAsia="zh-CN"/>
              </w:rPr>
              <w:t>）</w:t>
            </w:r>
            <w:r>
              <w:rPr>
                <w:rFonts w:hint="eastAsia"/>
              </w:rPr>
              <w:t>环境影响报告表》（成都花园水城环境科技有限公司，20</w:t>
            </w:r>
            <w:r>
              <w:rPr>
                <w:rFonts w:hint="eastAsia"/>
                <w:lang w:val="en-US" w:eastAsia="zh-CN"/>
              </w:rPr>
              <w:t>21.12</w:t>
            </w:r>
            <w:r>
              <w:rPr>
                <w:rFonts w:hint="eastAsia"/>
              </w:rPr>
              <w:t>）；</w:t>
            </w:r>
          </w:p>
          <w:p w14:paraId="232EF21A">
            <w:pPr>
              <w:pStyle w:val="19"/>
              <w:keepNext w:val="0"/>
              <w:keepLines w:val="0"/>
              <w:pageBreakBefore w:val="0"/>
              <w:widowControl w:val="0"/>
              <w:numPr>
                <w:ilvl w:val="0"/>
                <w:numId w:val="1"/>
              </w:numPr>
              <w:kinsoku/>
              <w:wordWrap/>
              <w:overflowPunct/>
              <w:topLinePunct w:val="0"/>
              <w:autoSpaceDE/>
              <w:autoSpaceDN/>
              <w:bidi w:val="0"/>
              <w:adjustRightInd/>
              <w:snapToGrid/>
              <w:spacing w:after="0" w:line="360" w:lineRule="auto"/>
              <w:ind w:left="0" w:leftChars="0" w:firstLine="480" w:firstLineChars="200"/>
              <w:textAlignment w:val="auto"/>
            </w:pPr>
            <w:r>
              <w:rPr>
                <w:rFonts w:hint="eastAsia"/>
                <w:lang w:val="en-US" w:eastAsia="zh-CN"/>
              </w:rPr>
              <w:t>成都市金堂生态环境局《</w:t>
            </w:r>
            <w:r>
              <w:rPr>
                <w:rFonts w:hint="eastAsia"/>
              </w:rPr>
              <w:t>四川省金堂县资水河防洪治理工程</w:t>
            </w:r>
            <w:r>
              <w:rPr>
                <w:rFonts w:hint="eastAsia"/>
                <w:lang w:eastAsia="zh-CN"/>
              </w:rPr>
              <w:t>（</w:t>
            </w:r>
            <w:r>
              <w:rPr>
                <w:rFonts w:hint="eastAsia"/>
                <w:lang w:val="en-US" w:eastAsia="zh-CN"/>
              </w:rPr>
              <w:t>二期</w:t>
            </w:r>
            <w:r>
              <w:rPr>
                <w:rFonts w:hint="eastAsia"/>
                <w:lang w:eastAsia="zh-CN"/>
              </w:rPr>
              <w:t>）</w:t>
            </w:r>
            <w:r>
              <w:rPr>
                <w:rFonts w:hint="eastAsia"/>
              </w:rPr>
              <w:t>环境影响报告表</w:t>
            </w:r>
            <w:r>
              <w:rPr>
                <w:rFonts w:hint="eastAsia"/>
                <w:lang w:val="en-US" w:eastAsia="zh-CN"/>
              </w:rPr>
              <w:t>的审查批复</w:t>
            </w:r>
            <w:r>
              <w:rPr>
                <w:rFonts w:hint="eastAsia"/>
              </w:rPr>
              <w:t>》（</w:t>
            </w:r>
            <w:r>
              <w:rPr>
                <w:rFonts w:hint="eastAsia"/>
                <w:lang w:val="en-US" w:eastAsia="zh-CN"/>
              </w:rPr>
              <w:t>金环评审</w:t>
            </w:r>
            <w:r>
              <w:rPr>
                <w:rFonts w:hint="eastAsia"/>
              </w:rPr>
              <w:t>[20</w:t>
            </w:r>
            <w:r>
              <w:rPr>
                <w:rFonts w:hint="eastAsia"/>
                <w:lang w:val="en-US" w:eastAsia="zh-CN"/>
              </w:rPr>
              <w:t>21</w:t>
            </w:r>
            <w:r>
              <w:rPr>
                <w:rFonts w:hint="eastAsia"/>
              </w:rPr>
              <w:t>]</w:t>
            </w:r>
            <w:r>
              <w:rPr>
                <w:rFonts w:hint="eastAsia"/>
                <w:lang w:val="en-US" w:eastAsia="zh-CN"/>
              </w:rPr>
              <w:t>31</w:t>
            </w:r>
            <w:r>
              <w:rPr>
                <w:rFonts w:hint="eastAsia"/>
              </w:rPr>
              <w:t>号）</w:t>
            </w:r>
            <w:r>
              <w:rPr>
                <w:rFonts w:hint="eastAsia"/>
                <w:lang w:eastAsia="zh-CN"/>
              </w:rPr>
              <w:t>。</w:t>
            </w:r>
          </w:p>
          <w:p w14:paraId="37FD4179">
            <w:pPr>
              <w:pStyle w:val="19"/>
              <w:keepNext w:val="0"/>
              <w:keepLines w:val="0"/>
              <w:pageBreakBefore w:val="0"/>
              <w:widowControl w:val="0"/>
              <w:numPr>
                <w:ilvl w:val="0"/>
                <w:numId w:val="0"/>
              </w:numPr>
              <w:kinsoku/>
              <w:wordWrap/>
              <w:overflowPunct/>
              <w:topLinePunct w:val="0"/>
              <w:autoSpaceDE/>
              <w:autoSpaceDN/>
              <w:bidi w:val="0"/>
              <w:adjustRightInd/>
              <w:snapToGrid/>
              <w:spacing w:after="0" w:line="360" w:lineRule="auto"/>
              <w:jc w:val="both"/>
              <w:textAlignment w:val="auto"/>
              <w:rPr>
                <w:rFonts w:hint="eastAsia"/>
                <w:lang w:eastAsia="zh-CN"/>
              </w:rPr>
            </w:pPr>
          </w:p>
          <w:p w14:paraId="2E1C1CC7">
            <w:pPr>
              <w:pStyle w:val="19"/>
              <w:keepNext w:val="0"/>
              <w:keepLines w:val="0"/>
              <w:pageBreakBefore w:val="0"/>
              <w:widowControl w:val="0"/>
              <w:numPr>
                <w:ilvl w:val="0"/>
                <w:numId w:val="0"/>
              </w:numPr>
              <w:kinsoku/>
              <w:wordWrap/>
              <w:overflowPunct/>
              <w:topLinePunct w:val="0"/>
              <w:autoSpaceDE/>
              <w:autoSpaceDN/>
              <w:bidi w:val="0"/>
              <w:adjustRightInd/>
              <w:snapToGrid/>
              <w:spacing w:after="0" w:line="360" w:lineRule="auto"/>
              <w:jc w:val="both"/>
              <w:textAlignment w:val="auto"/>
              <w:rPr>
                <w:rFonts w:hint="eastAsia"/>
                <w:lang w:eastAsia="zh-CN"/>
              </w:rPr>
            </w:pPr>
          </w:p>
          <w:p w14:paraId="46CE9435">
            <w:pPr>
              <w:rPr>
                <w:rFonts w:hint="eastAsia"/>
                <w:lang w:eastAsia="zh-CN"/>
              </w:rPr>
            </w:pPr>
          </w:p>
          <w:p w14:paraId="45559B70">
            <w:pPr>
              <w:rPr>
                <w:rFonts w:hint="eastAsia"/>
                <w:lang w:eastAsia="zh-CN"/>
              </w:rPr>
            </w:pPr>
          </w:p>
          <w:p w14:paraId="683A1551">
            <w:pPr>
              <w:rPr>
                <w:rFonts w:hint="eastAsia"/>
                <w:lang w:eastAsia="zh-CN"/>
              </w:rPr>
            </w:pPr>
          </w:p>
          <w:p w14:paraId="3F730458">
            <w:pPr>
              <w:rPr>
                <w:rFonts w:hint="eastAsia"/>
                <w:lang w:eastAsia="zh-CN"/>
              </w:rPr>
            </w:pPr>
          </w:p>
          <w:p w14:paraId="15A912AC">
            <w:pPr>
              <w:rPr>
                <w:rFonts w:hint="eastAsia"/>
                <w:lang w:eastAsia="zh-CN"/>
              </w:rPr>
            </w:pPr>
          </w:p>
          <w:p w14:paraId="134696AD">
            <w:pPr>
              <w:rPr>
                <w:rFonts w:hint="eastAsia"/>
                <w:lang w:eastAsia="zh-CN"/>
              </w:rPr>
            </w:pPr>
          </w:p>
          <w:p w14:paraId="3F01117B">
            <w:pPr>
              <w:rPr>
                <w:rFonts w:hint="eastAsia"/>
                <w:lang w:eastAsia="zh-CN"/>
              </w:rPr>
            </w:pPr>
          </w:p>
          <w:p w14:paraId="45EEEE7D">
            <w:pPr>
              <w:rPr>
                <w:rFonts w:hint="eastAsia"/>
                <w:lang w:eastAsia="zh-CN"/>
              </w:rPr>
            </w:pPr>
          </w:p>
          <w:p w14:paraId="36FA3727">
            <w:pPr>
              <w:rPr>
                <w:rFonts w:hint="eastAsia"/>
                <w:lang w:eastAsia="zh-CN"/>
              </w:rPr>
            </w:pPr>
          </w:p>
          <w:p w14:paraId="2608AD6C">
            <w:pPr>
              <w:rPr>
                <w:rFonts w:hint="eastAsia"/>
                <w:lang w:eastAsia="zh-CN"/>
              </w:rPr>
            </w:pPr>
          </w:p>
          <w:p w14:paraId="5922C426">
            <w:pPr>
              <w:rPr>
                <w:rFonts w:hint="eastAsia"/>
                <w:lang w:eastAsia="zh-CN"/>
              </w:rPr>
            </w:pPr>
          </w:p>
          <w:p w14:paraId="5E26E5A1">
            <w:pPr>
              <w:rPr>
                <w:rFonts w:hint="eastAsia"/>
                <w:lang w:eastAsia="zh-CN"/>
              </w:rPr>
            </w:pPr>
          </w:p>
          <w:p w14:paraId="48A8520C">
            <w:pPr>
              <w:rPr>
                <w:rFonts w:hint="eastAsia"/>
                <w:lang w:eastAsia="zh-CN"/>
              </w:rPr>
            </w:pPr>
          </w:p>
          <w:p w14:paraId="22D6AD8D">
            <w:pPr>
              <w:rPr>
                <w:rFonts w:hint="eastAsia"/>
                <w:lang w:eastAsia="zh-CN"/>
              </w:rPr>
            </w:pPr>
          </w:p>
          <w:p w14:paraId="584C07C6">
            <w:pPr>
              <w:rPr>
                <w:rFonts w:hint="eastAsia"/>
                <w:lang w:eastAsia="zh-CN"/>
              </w:rPr>
            </w:pPr>
          </w:p>
          <w:p w14:paraId="65FF4B15">
            <w:pPr>
              <w:rPr>
                <w:rFonts w:hint="eastAsia"/>
                <w:lang w:eastAsia="zh-CN"/>
              </w:rPr>
            </w:pPr>
          </w:p>
          <w:p w14:paraId="3117654C">
            <w:pPr>
              <w:rPr>
                <w:rFonts w:hint="eastAsia"/>
                <w:lang w:eastAsia="zh-CN"/>
              </w:rPr>
            </w:pPr>
          </w:p>
          <w:p w14:paraId="3358E405">
            <w:pPr>
              <w:rPr>
                <w:rFonts w:hint="eastAsia"/>
                <w:lang w:eastAsia="zh-CN"/>
              </w:rPr>
            </w:pPr>
          </w:p>
          <w:p w14:paraId="71A8AB38">
            <w:pPr>
              <w:rPr>
                <w:rFonts w:hint="eastAsia"/>
                <w:lang w:eastAsia="zh-CN"/>
              </w:rPr>
            </w:pPr>
          </w:p>
          <w:p w14:paraId="04C02CB8">
            <w:pPr>
              <w:rPr>
                <w:rFonts w:hint="eastAsia"/>
                <w:lang w:eastAsia="zh-CN"/>
              </w:rPr>
            </w:pPr>
          </w:p>
          <w:p w14:paraId="7918173F">
            <w:pPr>
              <w:rPr>
                <w:rFonts w:hint="eastAsia"/>
                <w:lang w:eastAsia="zh-CN"/>
              </w:rPr>
            </w:pPr>
          </w:p>
          <w:p w14:paraId="57A3C62C">
            <w:pPr>
              <w:rPr>
                <w:rFonts w:hint="eastAsia"/>
                <w:lang w:eastAsia="zh-CN"/>
              </w:rPr>
            </w:pPr>
          </w:p>
          <w:p w14:paraId="7633788C">
            <w:pPr>
              <w:rPr>
                <w:rFonts w:hint="eastAsia"/>
                <w:lang w:eastAsia="zh-CN"/>
              </w:rPr>
            </w:pPr>
          </w:p>
          <w:p w14:paraId="7F9BDD1B">
            <w:pPr>
              <w:rPr>
                <w:rFonts w:hint="eastAsia"/>
                <w:lang w:eastAsia="zh-CN"/>
              </w:rPr>
            </w:pPr>
          </w:p>
          <w:p w14:paraId="4246B672">
            <w:pPr>
              <w:rPr>
                <w:rFonts w:hint="eastAsia"/>
                <w:lang w:eastAsia="zh-CN"/>
              </w:rPr>
            </w:pPr>
          </w:p>
          <w:p w14:paraId="4F435B50">
            <w:pPr>
              <w:rPr>
                <w:rFonts w:hint="eastAsia"/>
                <w:lang w:eastAsia="zh-CN"/>
              </w:rPr>
            </w:pPr>
          </w:p>
        </w:tc>
      </w:tr>
    </w:tbl>
    <w:p w14:paraId="5728BE8E">
      <w:pPr>
        <w:spacing w:line="360" w:lineRule="auto"/>
        <w:ind w:firstLine="281"/>
        <w:outlineLvl w:val="0"/>
        <w:rPr>
          <w:b/>
          <w:sz w:val="28"/>
        </w:rPr>
      </w:pPr>
      <w:bookmarkStart w:id="118" w:name="_Toc11496"/>
      <w:r>
        <w:rPr>
          <w:b/>
          <w:sz w:val="28"/>
        </w:rPr>
        <w:t>表二、调查范围、环境监测因子、敏感目标、调查重点</w:t>
      </w:r>
      <w:bookmarkEnd w:id="118"/>
    </w:p>
    <w:tbl>
      <w:tblPr>
        <w:tblStyle w:val="33"/>
        <w:tblW w:w="87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7"/>
        <w:gridCol w:w="8073"/>
      </w:tblGrid>
      <w:tr w14:paraId="686E1D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4" w:hRule="atLeast"/>
        </w:trPr>
        <w:tc>
          <w:tcPr>
            <w:tcW w:w="647" w:type="dxa"/>
            <w:vAlign w:val="center"/>
          </w:tcPr>
          <w:p w14:paraId="2809F09A">
            <w:pPr>
              <w:pStyle w:val="19"/>
              <w:ind w:left="0" w:leftChars="0" w:firstLine="0" w:firstLineChars="0"/>
              <w:rPr>
                <w:rFonts w:hint="default" w:eastAsia="宋体"/>
                <w:b/>
                <w:bCs/>
                <w:sz w:val="24"/>
                <w:szCs w:val="24"/>
                <w:lang w:val="en-US" w:eastAsia="zh-CN"/>
              </w:rPr>
            </w:pPr>
            <w:r>
              <w:rPr>
                <w:rFonts w:hint="eastAsia"/>
                <w:b/>
                <w:bCs/>
                <w:sz w:val="24"/>
                <w:szCs w:val="24"/>
                <w:lang w:val="en-US" w:eastAsia="zh-CN"/>
              </w:rPr>
              <w:t>调查范围</w:t>
            </w:r>
          </w:p>
        </w:tc>
        <w:tc>
          <w:tcPr>
            <w:tcW w:w="8073" w:type="dxa"/>
            <w:vAlign w:val="center"/>
          </w:tcPr>
          <w:p w14:paraId="0133E036">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textAlignment w:val="auto"/>
              <w:outlineLvl w:val="0"/>
              <w:rPr>
                <w:b/>
                <w:sz w:val="24"/>
                <w:szCs w:val="24"/>
              </w:rPr>
            </w:pPr>
            <w:bookmarkStart w:id="119" w:name="_Toc19049"/>
            <w:bookmarkStart w:id="120" w:name="_Toc165483426"/>
            <w:r>
              <w:rPr>
                <w:rFonts w:hint="eastAsia"/>
                <w:sz w:val="24"/>
              </w:rPr>
              <w:t>根据《建设项目竣工环境保护验收技术规范生态影响类》（HJ/T394-2007），原则上与环境影响评价文件的范围一致，当工程实际建设内容发生变更或环境影响评价文件未能全面反映出工程建设的实际生态影响和其他环境影响时，根据工程实际的变动情况以及环境影响的实际情况，结合现场踏勘情况对调查范围进行有针对性的</w:t>
            </w:r>
            <w:r>
              <w:rPr>
                <w:rFonts w:hint="eastAsia"/>
                <w:sz w:val="24"/>
                <w:lang w:val="en-US" w:eastAsia="zh-CN"/>
              </w:rPr>
              <w:t>调整</w:t>
            </w:r>
            <w:r>
              <w:rPr>
                <w:rFonts w:hint="eastAsia"/>
                <w:sz w:val="24"/>
                <w:lang w:eastAsia="zh-CN"/>
              </w:rPr>
              <w:t>。</w:t>
            </w:r>
            <w:r>
              <w:rPr>
                <w:rFonts w:ascii="宋体" w:hAnsi="宋体" w:eastAsia="宋体" w:cs="宋体"/>
                <w:sz w:val="24"/>
                <w:szCs w:val="24"/>
              </w:rPr>
              <w:t>结合现场踏勘情况对调查范围进行适当的调整</w:t>
            </w:r>
            <w:r>
              <w:rPr>
                <w:sz w:val="24"/>
              </w:rPr>
              <w:t>，确定本工程竣工环保验收调查范围</w:t>
            </w:r>
            <w:r>
              <w:rPr>
                <w:rFonts w:hint="eastAsia"/>
                <w:sz w:val="24"/>
                <w:lang w:eastAsia="zh-CN"/>
              </w:rPr>
              <w:t>：</w:t>
            </w:r>
            <w:bookmarkEnd w:id="119"/>
            <w:bookmarkEnd w:id="120"/>
          </w:p>
          <w:p w14:paraId="4554C403">
            <w:pPr>
              <w:keepNext w:val="0"/>
              <w:keepLines w:val="0"/>
              <w:pageBreakBefore w:val="0"/>
              <w:widowControl w:val="0"/>
              <w:kinsoku/>
              <w:wordWrap/>
              <w:overflowPunct/>
              <w:topLinePunct w:val="0"/>
              <w:autoSpaceDE/>
              <w:autoSpaceDN/>
              <w:bidi w:val="0"/>
              <w:adjustRightInd/>
              <w:snapToGrid/>
              <w:spacing w:before="157" w:beforeLines="50"/>
              <w:ind w:firstLine="210"/>
              <w:jc w:val="center"/>
              <w:textAlignment w:val="auto"/>
              <w:rPr>
                <w:b/>
                <w:bCs/>
              </w:rPr>
            </w:pPr>
            <w:r>
              <w:rPr>
                <w:b/>
                <w:bCs/>
              </w:rPr>
              <w:t>表2-1   调查范围一览表</w:t>
            </w:r>
          </w:p>
          <w:tbl>
            <w:tblPr>
              <w:tblStyle w:val="33"/>
              <w:tblW w:w="4998"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24"/>
              <w:gridCol w:w="1193"/>
              <w:gridCol w:w="5537"/>
            </w:tblGrid>
            <w:tr w14:paraId="3BDC125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tcBorders>
                    <w:tl2br w:val="nil"/>
                    <w:tr2bl w:val="nil"/>
                  </w:tcBorders>
                  <w:vAlign w:val="center"/>
                </w:tcPr>
                <w:p w14:paraId="3467E99C">
                  <w:pPr>
                    <w:jc w:val="center"/>
                    <w:rPr>
                      <w:szCs w:val="21"/>
                    </w:rPr>
                  </w:pPr>
                  <w:r>
                    <w:rPr>
                      <w:szCs w:val="21"/>
                    </w:rPr>
                    <w:t>项目名称</w:t>
                  </w:r>
                </w:p>
              </w:tc>
              <w:tc>
                <w:tcPr>
                  <w:tcW w:w="759" w:type="pct"/>
                  <w:tcBorders>
                    <w:tl2br w:val="nil"/>
                    <w:tr2bl w:val="nil"/>
                  </w:tcBorders>
                  <w:vAlign w:val="center"/>
                </w:tcPr>
                <w:p w14:paraId="5BDA1C8B">
                  <w:pPr>
                    <w:jc w:val="center"/>
                    <w:rPr>
                      <w:szCs w:val="21"/>
                    </w:rPr>
                  </w:pPr>
                  <w:r>
                    <w:rPr>
                      <w:szCs w:val="21"/>
                    </w:rPr>
                    <w:t>调查因子</w:t>
                  </w:r>
                </w:p>
              </w:tc>
              <w:tc>
                <w:tcPr>
                  <w:tcW w:w="3524" w:type="pct"/>
                  <w:tcBorders>
                    <w:tl2br w:val="nil"/>
                    <w:tr2bl w:val="nil"/>
                  </w:tcBorders>
                  <w:vAlign w:val="center"/>
                </w:tcPr>
                <w:p w14:paraId="46952416">
                  <w:pPr>
                    <w:jc w:val="center"/>
                    <w:rPr>
                      <w:szCs w:val="21"/>
                    </w:rPr>
                  </w:pPr>
                  <w:r>
                    <w:rPr>
                      <w:szCs w:val="21"/>
                    </w:rPr>
                    <w:t>调查范围</w:t>
                  </w:r>
                </w:p>
              </w:tc>
            </w:tr>
            <w:tr w14:paraId="27EB0F7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715" w:type="pct"/>
                  <w:vMerge w:val="restart"/>
                  <w:tcBorders>
                    <w:tl2br w:val="nil"/>
                    <w:tr2bl w:val="nil"/>
                  </w:tcBorders>
                  <w:vAlign w:val="center"/>
                </w:tcPr>
                <w:p w14:paraId="51A9E3F5">
                  <w:pPr>
                    <w:jc w:val="center"/>
                    <w:rPr>
                      <w:szCs w:val="21"/>
                    </w:rPr>
                  </w:pPr>
                  <w:r>
                    <w:rPr>
                      <w:rFonts w:hint="eastAsia"/>
                      <w:szCs w:val="21"/>
                    </w:rPr>
                    <w:t>四川省金堂县资水河防洪治理工程（二期）</w:t>
                  </w:r>
                </w:p>
              </w:tc>
              <w:tc>
                <w:tcPr>
                  <w:tcW w:w="759" w:type="pct"/>
                  <w:tcBorders>
                    <w:tl2br w:val="nil"/>
                    <w:tr2bl w:val="nil"/>
                  </w:tcBorders>
                  <w:vAlign w:val="center"/>
                </w:tcPr>
                <w:p w14:paraId="3362A121">
                  <w:pPr>
                    <w:jc w:val="center"/>
                    <w:rPr>
                      <w:rFonts w:hint="default" w:eastAsia="宋体"/>
                      <w:szCs w:val="21"/>
                      <w:lang w:val="en-US" w:eastAsia="zh-CN"/>
                    </w:rPr>
                  </w:pPr>
                  <w:r>
                    <w:rPr>
                      <w:rFonts w:hint="eastAsia"/>
                      <w:szCs w:val="21"/>
                      <w:lang w:val="en-US" w:eastAsia="zh-CN"/>
                    </w:rPr>
                    <w:t>大气</w:t>
                  </w:r>
                </w:p>
              </w:tc>
              <w:tc>
                <w:tcPr>
                  <w:tcW w:w="3524" w:type="pct"/>
                  <w:tcBorders>
                    <w:tl2br w:val="nil"/>
                    <w:tr2bl w:val="nil"/>
                  </w:tcBorders>
                  <w:vAlign w:val="center"/>
                </w:tcPr>
                <w:p w14:paraId="053D8C76">
                  <w:pPr>
                    <w:jc w:val="center"/>
                    <w:rPr>
                      <w:szCs w:val="21"/>
                    </w:rPr>
                  </w:pPr>
                  <w:r>
                    <w:rPr>
                      <w:rFonts w:hint="eastAsia"/>
                      <w:szCs w:val="21"/>
                      <w:lang w:val="en-US" w:eastAsia="zh-CN"/>
                    </w:rPr>
                    <w:t>项目营运期无废气排放。工程区周边500m范围，重点调查范围内的环境空气敏感点环境质量状况。项目不涉及自然保护区、风景名胜区等敏感区。</w:t>
                  </w:r>
                </w:p>
              </w:tc>
            </w:tr>
            <w:tr w14:paraId="0C3969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715" w:type="pct"/>
                  <w:vMerge w:val="continue"/>
                  <w:tcBorders>
                    <w:tl2br w:val="nil"/>
                    <w:tr2bl w:val="nil"/>
                  </w:tcBorders>
                  <w:vAlign w:val="center"/>
                </w:tcPr>
                <w:p w14:paraId="427B17E8">
                  <w:pPr>
                    <w:jc w:val="center"/>
                    <w:rPr>
                      <w:szCs w:val="21"/>
                    </w:rPr>
                  </w:pPr>
                </w:p>
              </w:tc>
              <w:tc>
                <w:tcPr>
                  <w:tcW w:w="759" w:type="pct"/>
                  <w:tcBorders>
                    <w:tl2br w:val="nil"/>
                    <w:tr2bl w:val="nil"/>
                  </w:tcBorders>
                  <w:vAlign w:val="center"/>
                </w:tcPr>
                <w:p w14:paraId="78DD8544">
                  <w:pPr>
                    <w:jc w:val="center"/>
                    <w:rPr>
                      <w:szCs w:val="21"/>
                    </w:rPr>
                  </w:pPr>
                  <w:r>
                    <w:rPr>
                      <w:szCs w:val="21"/>
                    </w:rPr>
                    <w:t>噪声</w:t>
                  </w:r>
                </w:p>
              </w:tc>
              <w:tc>
                <w:tcPr>
                  <w:tcW w:w="3524" w:type="pct"/>
                  <w:tcBorders>
                    <w:tl2br w:val="nil"/>
                    <w:tr2bl w:val="nil"/>
                  </w:tcBorders>
                  <w:vAlign w:val="center"/>
                </w:tcPr>
                <w:p w14:paraId="706BACF6">
                  <w:pPr>
                    <w:jc w:val="center"/>
                    <w:rPr>
                      <w:rFonts w:hint="default" w:eastAsia="宋体"/>
                      <w:szCs w:val="21"/>
                      <w:lang w:val="en-US" w:eastAsia="zh-CN"/>
                    </w:rPr>
                  </w:pPr>
                  <w:r>
                    <w:rPr>
                      <w:rFonts w:hint="eastAsia"/>
                      <w:szCs w:val="21"/>
                      <w:lang w:val="en-US" w:eastAsia="zh-CN"/>
                    </w:rPr>
                    <w:t>项目营运期无噪声排放。工程边界200m范围内，重点调查50m范围内声环境敏感点。</w:t>
                  </w:r>
                </w:p>
              </w:tc>
            </w:tr>
            <w:tr w14:paraId="4B2B070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15" w:type="pct"/>
                  <w:vMerge w:val="continue"/>
                  <w:tcBorders>
                    <w:tl2br w:val="nil"/>
                    <w:tr2bl w:val="nil"/>
                  </w:tcBorders>
                  <w:vAlign w:val="center"/>
                </w:tcPr>
                <w:p w14:paraId="737B4E50">
                  <w:pPr>
                    <w:jc w:val="center"/>
                    <w:rPr>
                      <w:szCs w:val="21"/>
                    </w:rPr>
                  </w:pPr>
                </w:p>
              </w:tc>
              <w:tc>
                <w:tcPr>
                  <w:tcW w:w="759" w:type="pct"/>
                  <w:tcBorders>
                    <w:tl2br w:val="nil"/>
                    <w:tr2bl w:val="nil"/>
                  </w:tcBorders>
                  <w:vAlign w:val="center"/>
                </w:tcPr>
                <w:p w14:paraId="1A57354B">
                  <w:pPr>
                    <w:jc w:val="center"/>
                    <w:rPr>
                      <w:szCs w:val="21"/>
                    </w:rPr>
                  </w:pPr>
                  <w:r>
                    <w:rPr>
                      <w:szCs w:val="21"/>
                    </w:rPr>
                    <w:t>水环境</w:t>
                  </w:r>
                </w:p>
              </w:tc>
              <w:tc>
                <w:tcPr>
                  <w:tcW w:w="3524" w:type="pct"/>
                  <w:tcBorders>
                    <w:tl2br w:val="nil"/>
                    <w:tr2bl w:val="nil"/>
                  </w:tcBorders>
                  <w:vAlign w:val="center"/>
                </w:tcPr>
                <w:p w14:paraId="1BF85433">
                  <w:pPr>
                    <w:jc w:val="center"/>
                    <w:rPr>
                      <w:rFonts w:hint="default" w:eastAsia="宋体"/>
                      <w:szCs w:val="21"/>
                      <w:lang w:val="en-US" w:eastAsia="zh-CN"/>
                    </w:rPr>
                  </w:pPr>
                  <w:r>
                    <w:rPr>
                      <w:rFonts w:hint="default" w:eastAsia="宋体"/>
                      <w:szCs w:val="21"/>
                      <w:lang w:val="en-US" w:eastAsia="zh-CN"/>
                    </w:rPr>
                    <w:t>施工废水及施工人员生活污水的产生及处置情况</w:t>
                  </w:r>
                </w:p>
              </w:tc>
            </w:tr>
            <w:tr w14:paraId="2532B68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continue"/>
                  <w:tcBorders>
                    <w:tl2br w:val="nil"/>
                    <w:tr2bl w:val="nil"/>
                  </w:tcBorders>
                  <w:vAlign w:val="center"/>
                </w:tcPr>
                <w:p w14:paraId="37738B78">
                  <w:pPr>
                    <w:jc w:val="center"/>
                    <w:rPr>
                      <w:szCs w:val="21"/>
                    </w:rPr>
                  </w:pPr>
                </w:p>
              </w:tc>
              <w:tc>
                <w:tcPr>
                  <w:tcW w:w="759" w:type="pct"/>
                  <w:tcBorders>
                    <w:tl2br w:val="nil"/>
                    <w:tr2bl w:val="nil"/>
                  </w:tcBorders>
                  <w:vAlign w:val="center"/>
                </w:tcPr>
                <w:p w14:paraId="29BE4952">
                  <w:pPr>
                    <w:jc w:val="center"/>
                    <w:rPr>
                      <w:szCs w:val="21"/>
                    </w:rPr>
                  </w:pPr>
                  <w:r>
                    <w:rPr>
                      <w:szCs w:val="21"/>
                    </w:rPr>
                    <w:t>生态环境</w:t>
                  </w:r>
                </w:p>
              </w:tc>
              <w:tc>
                <w:tcPr>
                  <w:tcW w:w="3524" w:type="pct"/>
                  <w:tcBorders>
                    <w:tl2br w:val="nil"/>
                    <w:tr2bl w:val="nil"/>
                  </w:tcBorders>
                  <w:vAlign w:val="center"/>
                </w:tcPr>
                <w:p w14:paraId="3B2451F3">
                  <w:pPr>
                    <w:jc w:val="center"/>
                    <w:rPr>
                      <w:szCs w:val="21"/>
                    </w:rPr>
                  </w:pPr>
                  <w:r>
                    <w:rPr>
                      <w:rFonts w:hint="eastAsia"/>
                      <w:szCs w:val="21"/>
                    </w:rPr>
                    <w:t>工程沿线永久占地及临时占地，包括：工程永久占地情况，工程扰动土地（主要为施工场地临时占地）的恢复情况，工程水土保持工作情况</w:t>
                  </w:r>
                </w:p>
              </w:tc>
            </w:tr>
            <w:tr w14:paraId="2DD0A2D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15" w:type="pct"/>
                  <w:vMerge w:val="continue"/>
                  <w:tcBorders>
                    <w:tl2br w:val="nil"/>
                    <w:tr2bl w:val="nil"/>
                  </w:tcBorders>
                  <w:vAlign w:val="center"/>
                </w:tcPr>
                <w:p w14:paraId="4295B14E">
                  <w:pPr>
                    <w:jc w:val="center"/>
                    <w:rPr>
                      <w:szCs w:val="21"/>
                    </w:rPr>
                  </w:pPr>
                </w:p>
              </w:tc>
              <w:tc>
                <w:tcPr>
                  <w:tcW w:w="759" w:type="pct"/>
                  <w:tcBorders>
                    <w:tl2br w:val="nil"/>
                    <w:tr2bl w:val="nil"/>
                  </w:tcBorders>
                  <w:vAlign w:val="center"/>
                </w:tcPr>
                <w:p w14:paraId="32428FD7">
                  <w:pPr>
                    <w:jc w:val="center"/>
                    <w:rPr>
                      <w:rFonts w:hint="default" w:eastAsia="宋体"/>
                      <w:szCs w:val="21"/>
                      <w:lang w:val="en-US" w:eastAsia="zh-CN"/>
                    </w:rPr>
                  </w:pPr>
                  <w:r>
                    <w:rPr>
                      <w:rFonts w:hint="eastAsia"/>
                      <w:szCs w:val="21"/>
                      <w:lang w:val="en-US" w:eastAsia="zh-CN"/>
                    </w:rPr>
                    <w:t>固体废物</w:t>
                  </w:r>
                </w:p>
              </w:tc>
              <w:tc>
                <w:tcPr>
                  <w:tcW w:w="3524" w:type="pct"/>
                  <w:tcBorders>
                    <w:bottom w:val="single" w:color="auto" w:sz="4" w:space="0"/>
                    <w:tl2br w:val="nil"/>
                    <w:tr2bl w:val="nil"/>
                  </w:tcBorders>
                  <w:vAlign w:val="center"/>
                </w:tcPr>
                <w:p w14:paraId="560FD498">
                  <w:pPr>
                    <w:jc w:val="center"/>
                    <w:rPr>
                      <w:rFonts w:hint="eastAsia"/>
                      <w:szCs w:val="21"/>
                    </w:rPr>
                  </w:pPr>
                  <w:r>
                    <w:rPr>
                      <w:rFonts w:hint="eastAsia"/>
                      <w:szCs w:val="21"/>
                    </w:rPr>
                    <w:t>重点调查施工期建筑垃圾和施工人员生活垃圾的收集和处置情况</w:t>
                  </w:r>
                </w:p>
              </w:tc>
            </w:tr>
          </w:tbl>
          <w:p w14:paraId="6DC7FEB7">
            <w:pPr>
              <w:pStyle w:val="19"/>
            </w:pPr>
          </w:p>
        </w:tc>
      </w:tr>
      <w:tr w14:paraId="5381A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0" w:hRule="atLeast"/>
        </w:trPr>
        <w:tc>
          <w:tcPr>
            <w:tcW w:w="647" w:type="dxa"/>
            <w:vAlign w:val="center"/>
          </w:tcPr>
          <w:p w14:paraId="7DCF2155">
            <w:pPr>
              <w:spacing w:line="360" w:lineRule="auto"/>
              <w:contextualSpacing/>
              <w:rPr>
                <w:rFonts w:hint="default" w:eastAsia="宋体"/>
                <w:b/>
                <w:bCs/>
                <w:sz w:val="24"/>
                <w:szCs w:val="24"/>
                <w:lang w:val="en-US" w:eastAsia="zh-CN"/>
              </w:rPr>
            </w:pPr>
            <w:r>
              <w:rPr>
                <w:rFonts w:hint="eastAsia"/>
                <w:b/>
                <w:bCs/>
                <w:sz w:val="24"/>
                <w:szCs w:val="24"/>
                <w:lang w:val="en-US" w:eastAsia="zh-CN"/>
              </w:rPr>
              <w:t>调查因子</w:t>
            </w:r>
          </w:p>
        </w:tc>
        <w:tc>
          <w:tcPr>
            <w:tcW w:w="8073" w:type="dxa"/>
            <w:shd w:val="clear" w:color="auto" w:fill="auto"/>
            <w:vAlign w:val="center"/>
          </w:tcPr>
          <w:p w14:paraId="3778F684">
            <w:pPr>
              <w:spacing w:line="360" w:lineRule="auto"/>
              <w:ind w:firstLine="480" w:firstLineChars="200"/>
              <w:contextualSpacing/>
              <w:rPr>
                <w:rFonts w:hint="eastAsia"/>
                <w:sz w:val="24"/>
              </w:rPr>
            </w:pPr>
            <w:r>
              <w:rPr>
                <w:rFonts w:hint="eastAsia"/>
                <w:sz w:val="24"/>
              </w:rPr>
              <w:t>本项目为</w:t>
            </w:r>
            <w:r>
              <w:rPr>
                <w:rFonts w:hint="eastAsia"/>
                <w:sz w:val="24"/>
                <w:lang w:val="en-US" w:eastAsia="zh-CN"/>
              </w:rPr>
              <w:t>防洪及河湖整治</w:t>
            </w:r>
            <w:r>
              <w:rPr>
                <w:rFonts w:hint="eastAsia"/>
                <w:sz w:val="24"/>
              </w:rPr>
              <w:t>工程，根据工程建设主要影响方式、工程所在地主要环境特征，确定具体调查因子如下：</w:t>
            </w:r>
          </w:p>
          <w:p w14:paraId="7E08C509">
            <w:pPr>
              <w:spacing w:line="360" w:lineRule="auto"/>
              <w:ind w:firstLine="482" w:firstLineChars="200"/>
              <w:contextualSpacing/>
              <w:rPr>
                <w:rFonts w:hint="eastAsia"/>
                <w:sz w:val="24"/>
              </w:rPr>
            </w:pPr>
            <w:r>
              <w:rPr>
                <w:rFonts w:hint="eastAsia"/>
                <w:b/>
                <w:bCs/>
                <w:sz w:val="24"/>
              </w:rPr>
              <w:t>（1）生态环境：</w:t>
            </w:r>
            <w:r>
              <w:rPr>
                <w:rFonts w:hint="eastAsia"/>
                <w:sz w:val="24"/>
              </w:rPr>
              <w:t>工程永久性和临时性占地类型、面积，永久性征地后土地利用格局变化、临时性占地生态恢复情况，工程建设过程中环境保护工作情况，对动植物的影响，以及对自然生态环境的影响。</w:t>
            </w:r>
          </w:p>
          <w:p w14:paraId="0FEC626A">
            <w:pPr>
              <w:spacing w:line="360" w:lineRule="auto"/>
              <w:ind w:firstLine="482" w:firstLineChars="200"/>
              <w:contextualSpacing/>
              <w:rPr>
                <w:rFonts w:hint="eastAsia"/>
                <w:sz w:val="24"/>
              </w:rPr>
            </w:pPr>
            <w:r>
              <w:rPr>
                <w:rFonts w:hint="eastAsia"/>
                <w:b/>
                <w:bCs/>
                <w:sz w:val="24"/>
              </w:rPr>
              <w:t>（2）声环境</w:t>
            </w:r>
            <w:r>
              <w:rPr>
                <w:rFonts w:hint="eastAsia"/>
                <w:sz w:val="24"/>
              </w:rPr>
              <w:t>：</w:t>
            </w:r>
            <w:r>
              <w:rPr>
                <w:rFonts w:ascii="宋体" w:hAnsi="宋体" w:eastAsia="宋体" w:cs="宋体"/>
                <w:sz w:val="24"/>
                <w:szCs w:val="24"/>
              </w:rPr>
              <w:t>调查项目施工对声环境产生的影响</w:t>
            </w:r>
            <w:r>
              <w:rPr>
                <w:rFonts w:hint="eastAsia"/>
                <w:sz w:val="24"/>
              </w:rPr>
              <w:t>。</w:t>
            </w:r>
          </w:p>
          <w:p w14:paraId="61EE9E18">
            <w:pPr>
              <w:spacing w:line="360" w:lineRule="auto"/>
              <w:ind w:firstLine="482" w:firstLineChars="200"/>
              <w:contextualSpacing/>
              <w:rPr>
                <w:rFonts w:hint="eastAsia"/>
                <w:sz w:val="24"/>
              </w:rPr>
            </w:pPr>
            <w:r>
              <w:rPr>
                <w:rFonts w:hint="eastAsia"/>
                <w:b/>
                <w:bCs/>
                <w:sz w:val="24"/>
              </w:rPr>
              <w:t>（3）水环境：</w:t>
            </w:r>
            <w:r>
              <w:rPr>
                <w:rFonts w:hint="eastAsia"/>
                <w:sz w:val="24"/>
              </w:rPr>
              <w:t>污染排放因子主要为COD、SS、氨氮、石油类等，同时调查各污水产生量、采取的处理设施、废水排放量以及排放去向等。</w:t>
            </w:r>
          </w:p>
          <w:p w14:paraId="33345E76">
            <w:pPr>
              <w:spacing w:line="360" w:lineRule="auto"/>
              <w:ind w:firstLine="482" w:firstLineChars="200"/>
              <w:contextualSpacing/>
              <w:rPr>
                <w:rFonts w:hint="eastAsia"/>
                <w:sz w:val="24"/>
              </w:rPr>
            </w:pPr>
            <w:r>
              <w:rPr>
                <w:rFonts w:hint="eastAsia"/>
                <w:b/>
                <w:bCs/>
                <w:sz w:val="24"/>
              </w:rPr>
              <w:t>（4）大气环境：</w:t>
            </w:r>
            <w:r>
              <w:rPr>
                <w:rFonts w:hint="eastAsia"/>
                <w:sz w:val="24"/>
              </w:rPr>
              <w:t>工程施工期和运行期大气污染物产生及排放情况，同时调查工程所在区域大气环境的质量现状。主要调查因子为TSP。</w:t>
            </w:r>
          </w:p>
          <w:p w14:paraId="50AEC4D9">
            <w:pPr>
              <w:spacing w:line="360" w:lineRule="auto"/>
              <w:ind w:firstLine="482" w:firstLineChars="200"/>
              <w:contextualSpacing/>
              <w:rPr>
                <w:rFonts w:hint="eastAsia"/>
                <w:sz w:val="24"/>
              </w:rPr>
            </w:pPr>
            <w:r>
              <w:rPr>
                <w:rFonts w:hint="eastAsia"/>
                <w:b/>
                <w:bCs/>
                <w:sz w:val="24"/>
              </w:rPr>
              <w:t>（5）固体废弃物：</w:t>
            </w:r>
            <w:r>
              <w:rPr>
                <w:rFonts w:hint="eastAsia"/>
                <w:sz w:val="24"/>
              </w:rPr>
              <w:t>施工过程中产生建筑垃圾、施工人员生活垃圾。</w:t>
            </w:r>
          </w:p>
          <w:p w14:paraId="44DC212D">
            <w:pPr>
              <w:spacing w:line="360" w:lineRule="auto"/>
              <w:ind w:firstLine="482" w:firstLineChars="200"/>
              <w:contextualSpacing/>
              <w:rPr>
                <w:rFonts w:hint="eastAsia" w:eastAsia="宋体"/>
                <w:sz w:val="24"/>
                <w:lang w:val="en-US" w:eastAsia="zh-CN"/>
              </w:rPr>
            </w:pPr>
            <w:r>
              <w:rPr>
                <w:rFonts w:hint="eastAsia" w:ascii="宋体" w:hAnsi="宋体" w:eastAsia="宋体"/>
                <w:b/>
                <w:bCs/>
                <w:sz w:val="24"/>
                <w:szCs w:val="24"/>
                <w:lang w:eastAsia="zh-CN"/>
              </w:rPr>
              <w:t>（</w:t>
            </w:r>
            <w:r>
              <w:rPr>
                <w:rFonts w:hint="eastAsia" w:ascii="宋体" w:hAnsi="宋体" w:eastAsia="宋体"/>
                <w:b/>
                <w:bCs/>
                <w:sz w:val="24"/>
                <w:szCs w:val="24"/>
                <w:lang w:val="en-US" w:eastAsia="zh-CN"/>
              </w:rPr>
              <w:t>6</w:t>
            </w:r>
            <w:r>
              <w:rPr>
                <w:rFonts w:hint="eastAsia" w:ascii="宋体" w:hAnsi="宋体" w:eastAsia="宋体"/>
                <w:b/>
                <w:bCs/>
                <w:sz w:val="24"/>
                <w:szCs w:val="24"/>
                <w:lang w:eastAsia="zh-CN"/>
              </w:rPr>
              <w:t>）</w:t>
            </w:r>
            <w:r>
              <w:rPr>
                <w:rFonts w:hint="eastAsia" w:ascii="宋体" w:hAnsi="宋体" w:eastAsia="宋体"/>
                <w:b/>
                <w:bCs/>
                <w:sz w:val="24"/>
                <w:szCs w:val="24"/>
              </w:rPr>
              <w:t>水土流失情况</w:t>
            </w:r>
            <w:r>
              <w:rPr>
                <w:rFonts w:hint="eastAsia" w:ascii="宋体" w:hAnsi="宋体" w:eastAsia="宋体"/>
                <w:sz w:val="24"/>
                <w:szCs w:val="24"/>
                <w:lang w:eastAsia="zh-CN"/>
              </w:rPr>
              <w:t>。</w:t>
            </w:r>
          </w:p>
        </w:tc>
      </w:tr>
      <w:tr w14:paraId="7635A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5" w:hRule="atLeast"/>
        </w:trPr>
        <w:tc>
          <w:tcPr>
            <w:tcW w:w="647" w:type="dxa"/>
            <w:vAlign w:val="center"/>
          </w:tcPr>
          <w:p w14:paraId="1480E74E">
            <w:pPr>
              <w:spacing w:line="360" w:lineRule="auto"/>
              <w:rPr>
                <w:sz w:val="24"/>
              </w:rPr>
            </w:pPr>
            <w:r>
              <w:rPr>
                <w:rFonts w:hint="eastAsia"/>
                <w:b/>
                <w:bCs/>
                <w:sz w:val="24"/>
              </w:rPr>
              <w:t>环境敏感目标</w:t>
            </w:r>
          </w:p>
        </w:tc>
        <w:tc>
          <w:tcPr>
            <w:tcW w:w="8073" w:type="dxa"/>
            <w:shd w:val="clear" w:color="auto" w:fill="auto"/>
            <w:vAlign w:val="center"/>
          </w:tcPr>
          <w:p w14:paraId="01C263D1">
            <w:pPr>
              <w:spacing w:line="360" w:lineRule="auto"/>
              <w:ind w:firstLine="482" w:firstLineChars="200"/>
              <w:rPr>
                <w:rFonts w:hint="eastAsia" w:eastAsia="宋体"/>
                <w:sz w:val="24"/>
                <w:lang w:val="en-US" w:eastAsia="zh-CN"/>
              </w:rPr>
            </w:pPr>
            <w:r>
              <w:rPr>
                <w:rFonts w:hint="eastAsia"/>
                <w:b/>
                <w:bCs/>
                <w:sz w:val="24"/>
                <w:szCs w:val="24"/>
                <w:lang w:val="en-US" w:eastAsia="zh-CN"/>
              </w:rPr>
              <w:t>外环境</w:t>
            </w:r>
            <w:r>
              <w:rPr>
                <w:rFonts w:hint="eastAsia"/>
                <w:sz w:val="24"/>
                <w:szCs w:val="24"/>
                <w:lang w:val="en-US" w:eastAsia="zh-CN"/>
              </w:rPr>
              <w:t>：</w:t>
            </w:r>
            <w:r>
              <w:rPr>
                <w:sz w:val="24"/>
                <w:szCs w:val="24"/>
              </w:rPr>
              <w:t>经现场踏勘</w:t>
            </w:r>
            <w:r>
              <w:rPr>
                <w:rFonts w:hint="eastAsia"/>
                <w:sz w:val="24"/>
                <w:szCs w:val="24"/>
              </w:rPr>
              <w:t>并结合环评阶段</w:t>
            </w:r>
            <w:r>
              <w:rPr>
                <w:sz w:val="24"/>
                <w:szCs w:val="24"/>
              </w:rPr>
              <w:t>，</w:t>
            </w:r>
            <w:r>
              <w:rPr>
                <w:rFonts w:hint="eastAsia"/>
                <w:sz w:val="24"/>
                <w:szCs w:val="24"/>
                <w:lang w:val="en-US" w:eastAsia="zh-CN"/>
              </w:rPr>
              <w:t>工程路段</w:t>
            </w:r>
            <w:r>
              <w:rPr>
                <w:rFonts w:hint="eastAsia"/>
                <w:sz w:val="24"/>
                <w:szCs w:val="24"/>
              </w:rPr>
              <w:t>验收阶段和环评阶段</w:t>
            </w:r>
            <w:r>
              <w:rPr>
                <w:rFonts w:hint="eastAsia"/>
                <w:sz w:val="24"/>
              </w:rPr>
              <w:t>环境</w:t>
            </w:r>
            <w:r>
              <w:rPr>
                <w:rFonts w:hint="eastAsia"/>
                <w:sz w:val="24"/>
                <w:szCs w:val="24"/>
                <w:lang w:val="en-US" w:eastAsia="zh-CN"/>
              </w:rPr>
              <w:t>一致：</w:t>
            </w:r>
            <w:r>
              <w:rPr>
                <w:rFonts w:hint="eastAsia"/>
                <w:kern w:val="0"/>
                <w:sz w:val="24"/>
              </w:rPr>
              <w:t>项目沿河岸线布置，周围主要为农村环境，河岸线的两岸5~200m均分布有散户住户、田地</w:t>
            </w:r>
            <w:r>
              <w:rPr>
                <w:rFonts w:hint="eastAsia"/>
                <w:kern w:val="0"/>
                <w:sz w:val="24"/>
                <w:lang w:eastAsia="zh-CN"/>
              </w:rPr>
              <w:t>。</w:t>
            </w:r>
          </w:p>
          <w:p w14:paraId="43BFB98E">
            <w:pPr>
              <w:spacing w:line="360" w:lineRule="auto"/>
              <w:ind w:firstLine="482" w:firstLineChars="200"/>
              <w:outlineLvl w:val="0"/>
              <w:rPr>
                <w:rFonts w:hint="eastAsia"/>
                <w:sz w:val="24"/>
                <w:lang w:val="en-US" w:eastAsia="zh-CN"/>
              </w:rPr>
            </w:pPr>
            <w:bookmarkStart w:id="121" w:name="_Toc25485"/>
            <w:bookmarkStart w:id="122" w:name="_Toc165483431"/>
            <w:r>
              <w:rPr>
                <w:b/>
                <w:sz w:val="24"/>
                <w:szCs w:val="18"/>
              </w:rPr>
              <w:t>生态环境敏感目标</w:t>
            </w:r>
            <w:bookmarkEnd w:id="121"/>
            <w:bookmarkEnd w:id="122"/>
            <w:r>
              <w:rPr>
                <w:rFonts w:hint="eastAsia"/>
                <w:b/>
                <w:sz w:val="24"/>
                <w:szCs w:val="18"/>
                <w:lang w:eastAsia="zh-CN"/>
              </w:rPr>
              <w:t>：</w:t>
            </w:r>
            <w:r>
              <w:rPr>
                <w:sz w:val="24"/>
              </w:rPr>
              <w:t>根据现场调查，项目</w:t>
            </w:r>
            <w:r>
              <w:rPr>
                <w:rFonts w:hint="eastAsia"/>
                <w:sz w:val="24"/>
              </w:rPr>
              <w:t>生态环境评价范围内无国家公园、自然保护区、自然公园、世界自然遗产、生态保护红线等生态敏感区，无重要物种及其他需要保护的物种、种群、生物群落及生态空间等生态环境敏感目标</w:t>
            </w:r>
            <w:r>
              <w:rPr>
                <w:rFonts w:hint="eastAsia"/>
                <w:sz w:val="24"/>
                <w:lang w:eastAsia="zh-CN"/>
              </w:rPr>
              <w:t>。</w:t>
            </w:r>
          </w:p>
        </w:tc>
      </w:tr>
      <w:tr w14:paraId="2AEE0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5" w:hRule="atLeast"/>
        </w:trPr>
        <w:tc>
          <w:tcPr>
            <w:tcW w:w="647" w:type="dxa"/>
            <w:vAlign w:val="center"/>
          </w:tcPr>
          <w:p w14:paraId="2CC2B0DE">
            <w:pPr>
              <w:spacing w:line="360" w:lineRule="auto"/>
              <w:rPr>
                <w:rFonts w:hint="eastAsia"/>
                <w:b/>
                <w:bCs/>
                <w:sz w:val="24"/>
              </w:rPr>
            </w:pPr>
            <w:r>
              <w:rPr>
                <w:rFonts w:hint="eastAsia"/>
                <w:b/>
                <w:bCs/>
                <w:sz w:val="24"/>
              </w:rPr>
              <w:t>调查重点</w:t>
            </w:r>
          </w:p>
        </w:tc>
        <w:tc>
          <w:tcPr>
            <w:tcW w:w="8073" w:type="dxa"/>
            <w:shd w:val="clear" w:color="auto" w:fill="auto"/>
            <w:vAlign w:val="center"/>
          </w:tcPr>
          <w:p w14:paraId="416A8FFF">
            <w:pPr>
              <w:spacing w:line="360" w:lineRule="auto"/>
              <w:ind w:firstLine="480" w:firstLineChars="200"/>
              <w:rPr>
                <w:rFonts w:hint="eastAsia"/>
                <w:sz w:val="24"/>
              </w:rPr>
            </w:pPr>
            <w:r>
              <w:rPr>
                <w:rFonts w:hint="eastAsia"/>
                <w:sz w:val="24"/>
              </w:rPr>
              <w:t>调查工程的实际建设情况，了解工程的变更情况，分析所产生的实际环境影响。调查工程在设计、施工阶段环保及行业行政主管部门批复落实情况。</w:t>
            </w:r>
          </w:p>
          <w:p w14:paraId="03437AFD">
            <w:pPr>
              <w:spacing w:line="360" w:lineRule="auto"/>
              <w:ind w:firstLine="480" w:firstLineChars="200"/>
              <w:rPr>
                <w:rFonts w:hint="eastAsia"/>
                <w:sz w:val="24"/>
                <w:lang w:eastAsia="zh-CN"/>
              </w:rPr>
            </w:pPr>
            <w:r>
              <w:rPr>
                <w:rFonts w:hint="eastAsia"/>
                <w:sz w:val="24"/>
              </w:rPr>
              <w:t>通过对工程所在区域的声、大气、水环境、生态环境进行调查和分析，针对该工程已产生的实际环境问题及可能存在的潜在环境影响提出切实可行的补救措施，对已实施的尚不完善的措施提出改进意见</w:t>
            </w:r>
            <w:r>
              <w:rPr>
                <w:rFonts w:hint="eastAsia"/>
                <w:sz w:val="24"/>
                <w:lang w:eastAsia="zh-CN"/>
              </w:rPr>
              <w:t>。</w:t>
            </w:r>
          </w:p>
          <w:p w14:paraId="1B3E5EE6">
            <w:pPr>
              <w:spacing w:line="360" w:lineRule="auto"/>
              <w:ind w:firstLine="482" w:firstLineChars="200"/>
              <w:rPr>
                <w:rFonts w:hint="eastAsia"/>
                <w:b/>
                <w:bCs/>
                <w:sz w:val="24"/>
              </w:rPr>
            </w:pPr>
            <w:r>
              <w:rPr>
                <w:rFonts w:hint="eastAsia"/>
                <w:b/>
                <w:bCs/>
                <w:sz w:val="24"/>
              </w:rPr>
              <w:t>（1）生态环境调查重点</w:t>
            </w:r>
          </w:p>
          <w:p w14:paraId="0E030F26">
            <w:pPr>
              <w:spacing w:line="360" w:lineRule="auto"/>
              <w:ind w:firstLine="480" w:firstLineChars="200"/>
              <w:rPr>
                <w:rFonts w:hint="eastAsia"/>
                <w:sz w:val="24"/>
              </w:rPr>
            </w:pPr>
            <w:r>
              <w:rPr>
                <w:rFonts w:hint="eastAsia"/>
                <w:sz w:val="24"/>
              </w:rPr>
              <w:t>生态环境影响重点调查工程的永久和临时占地情况，工程临时占地的恢复情况，各项水土保持工程效果，对临时占地已采取的恢复措施进行有效性评估。本项目的生态环境保护目标为：项目占地区域的生态系统，主要为工程沿线的植被和陆生动物；工程占地（包括工程永久性占地、施工场地等临时性占地范围内所涉及的自然生态环境）。</w:t>
            </w:r>
          </w:p>
          <w:p w14:paraId="6C87AEBB">
            <w:pPr>
              <w:spacing w:line="360" w:lineRule="auto"/>
              <w:ind w:firstLine="482" w:firstLineChars="200"/>
              <w:rPr>
                <w:rFonts w:hint="eastAsia"/>
                <w:b/>
                <w:bCs/>
                <w:sz w:val="24"/>
              </w:rPr>
            </w:pPr>
            <w:r>
              <w:rPr>
                <w:rFonts w:hint="eastAsia"/>
                <w:b/>
                <w:bCs/>
                <w:sz w:val="24"/>
              </w:rPr>
              <w:t>（2）地表水环境调查重点</w:t>
            </w:r>
          </w:p>
          <w:p w14:paraId="1D696AC3">
            <w:pPr>
              <w:spacing w:line="360" w:lineRule="auto"/>
              <w:ind w:firstLine="480" w:firstLineChars="200"/>
              <w:rPr>
                <w:rFonts w:hint="eastAsia"/>
                <w:sz w:val="24"/>
              </w:rPr>
            </w:pPr>
            <w:r>
              <w:rPr>
                <w:rFonts w:ascii="宋体" w:hAnsi="宋体" w:eastAsia="宋体" w:cs="宋体"/>
                <w:sz w:val="24"/>
                <w:szCs w:val="24"/>
              </w:rPr>
              <w:t>地表水环境影响将重点调查工程区域周边河流分布情况，本项目评价范围内地表水体的环境质量状况</w:t>
            </w:r>
            <w:r>
              <w:rPr>
                <w:rFonts w:hint="eastAsia" w:ascii="宋体" w:hAnsi="宋体" w:eastAsia="宋体" w:cs="宋体"/>
                <w:sz w:val="24"/>
                <w:szCs w:val="24"/>
                <w:lang w:eastAsia="zh-CN"/>
              </w:rPr>
              <w:t>；</w:t>
            </w:r>
            <w:r>
              <w:rPr>
                <w:rFonts w:ascii="宋体" w:hAnsi="宋体" w:eastAsia="宋体" w:cs="宋体"/>
                <w:sz w:val="24"/>
                <w:szCs w:val="24"/>
              </w:rPr>
              <w:t>工程废水产生量、采取的处理设施、排放量、排放去向及对周 边地表水体的影响</w:t>
            </w:r>
            <w:r>
              <w:rPr>
                <w:rFonts w:hint="eastAsia"/>
                <w:sz w:val="24"/>
              </w:rPr>
              <w:t>。</w:t>
            </w:r>
          </w:p>
          <w:p w14:paraId="1C1BA3F8">
            <w:pPr>
              <w:spacing w:line="360" w:lineRule="auto"/>
              <w:ind w:firstLine="482" w:firstLineChars="200"/>
              <w:rPr>
                <w:rFonts w:hint="eastAsia"/>
                <w:b/>
                <w:bCs/>
                <w:sz w:val="24"/>
              </w:rPr>
            </w:pPr>
            <w:r>
              <w:rPr>
                <w:rFonts w:hint="eastAsia"/>
                <w:b/>
                <w:bCs/>
                <w:sz w:val="24"/>
              </w:rPr>
              <w:t>（3）声环境</w:t>
            </w:r>
            <w:r>
              <w:rPr>
                <w:rFonts w:hint="eastAsia"/>
                <w:b/>
                <w:bCs/>
                <w:sz w:val="24"/>
                <w:lang w:eastAsia="zh-CN"/>
              </w:rPr>
              <w:t>、</w:t>
            </w:r>
            <w:r>
              <w:rPr>
                <w:rFonts w:hint="eastAsia"/>
                <w:b/>
                <w:bCs/>
                <w:sz w:val="24"/>
                <w:lang w:val="en-US" w:eastAsia="zh-CN"/>
              </w:rPr>
              <w:t>大气环境</w:t>
            </w:r>
            <w:r>
              <w:rPr>
                <w:rFonts w:hint="eastAsia"/>
                <w:b/>
                <w:bCs/>
                <w:sz w:val="24"/>
              </w:rPr>
              <w:t>调查重点</w:t>
            </w:r>
          </w:p>
          <w:p w14:paraId="5AF32A66">
            <w:pPr>
              <w:spacing w:line="360" w:lineRule="auto"/>
              <w:ind w:firstLine="480" w:firstLineChars="200"/>
              <w:rPr>
                <w:rFonts w:ascii="宋体" w:hAnsi="宋体" w:eastAsia="宋体" w:cs="宋体"/>
                <w:sz w:val="24"/>
                <w:szCs w:val="24"/>
              </w:rPr>
            </w:pPr>
            <w:r>
              <w:rPr>
                <w:rFonts w:ascii="宋体" w:hAnsi="宋体" w:eastAsia="宋体" w:cs="宋体"/>
                <w:sz w:val="24"/>
                <w:szCs w:val="24"/>
              </w:rPr>
              <w:t>声环境、大气环境影响调查验收范围内的环境敏感目标建设前后的变化及受噪 声、施工扬尘的影响程度，分析对比工程建设前后的噪声、环境空气质量变化，调查 环境影响报告表中提出的噪声、废气防治措施的落实情况，对超标的敏感目标提出防 治影响的补救措施。</w:t>
            </w:r>
          </w:p>
          <w:p w14:paraId="0C3F9C7E">
            <w:pPr>
              <w:spacing w:line="360" w:lineRule="auto"/>
              <w:ind w:firstLine="480" w:firstLineChars="200"/>
              <w:rPr>
                <w:rFonts w:hint="eastAsia" w:eastAsia="宋体"/>
                <w:sz w:val="24"/>
                <w:lang w:eastAsia="zh-CN"/>
              </w:rPr>
            </w:pPr>
            <w:r>
              <w:rPr>
                <w:rFonts w:ascii="宋体" w:hAnsi="宋体" w:eastAsia="宋体" w:cs="宋体"/>
                <w:sz w:val="24"/>
                <w:szCs w:val="24"/>
              </w:rPr>
              <w:t>本次调查主要针对河道并从河道中心线两侧分别外延500m范围内的大气环境保护目标，重点调查范围内的环境空气敏感点环境质量状况。 本次调查主要针对包括整个工程治理河段，评价宽度包括河道并从河堤向两侧分 别外延200m范围内的声环境敏感点，重点调查50m范围内的住户较集中的村庄、居民小区、学校、医院、企事业单位等</w:t>
            </w:r>
            <w:r>
              <w:rPr>
                <w:rFonts w:hint="eastAsia"/>
                <w:sz w:val="24"/>
                <w:lang w:eastAsia="zh-CN"/>
              </w:rPr>
              <w:t>。</w:t>
            </w:r>
          </w:p>
          <w:p w14:paraId="56AE71B0">
            <w:pPr>
              <w:spacing w:line="360" w:lineRule="auto"/>
              <w:ind w:firstLine="482" w:firstLineChars="200"/>
              <w:rPr>
                <w:rFonts w:hint="eastAsia"/>
                <w:b/>
                <w:bCs/>
                <w:sz w:val="24"/>
                <w:lang w:eastAsia="zh-CN"/>
              </w:rPr>
            </w:pPr>
            <w:r>
              <w:rPr>
                <w:rFonts w:hint="eastAsia"/>
                <w:b/>
                <w:bCs/>
                <w:sz w:val="24"/>
                <w:lang w:eastAsia="zh-CN"/>
              </w:rPr>
              <w:t>（</w:t>
            </w:r>
            <w:r>
              <w:rPr>
                <w:rFonts w:hint="eastAsia"/>
                <w:b/>
                <w:bCs/>
                <w:sz w:val="24"/>
                <w:lang w:val="en-US" w:eastAsia="zh-CN"/>
              </w:rPr>
              <w:t>4</w:t>
            </w:r>
            <w:r>
              <w:rPr>
                <w:rFonts w:hint="eastAsia"/>
                <w:b/>
                <w:bCs/>
                <w:sz w:val="24"/>
                <w:lang w:eastAsia="zh-CN"/>
              </w:rPr>
              <w:t>）固体废物污染环境调查重点</w:t>
            </w:r>
          </w:p>
          <w:p w14:paraId="11AD4F2C">
            <w:pPr>
              <w:spacing w:line="360" w:lineRule="auto"/>
              <w:ind w:firstLine="480" w:firstLineChars="200"/>
              <w:rPr>
                <w:rFonts w:hint="eastAsia"/>
                <w:sz w:val="24"/>
                <w:lang w:eastAsia="zh-CN"/>
              </w:rPr>
            </w:pPr>
            <w:r>
              <w:rPr>
                <w:rFonts w:hint="eastAsia"/>
                <w:sz w:val="24"/>
                <w:lang w:eastAsia="zh-CN"/>
              </w:rPr>
              <w:t>固体废物污染环境重点调查工程施工期间固体废物的产生情况、采取的处理措施及处置去向，重点是施工是否设置了料源开采地，是否产生了开采弃方，弃方的处置情况，以及项目施工弃渣、建筑垃圾、施工人员生活垃圾的去向及处置措施。</w:t>
            </w:r>
          </w:p>
          <w:p w14:paraId="187F211C">
            <w:pPr>
              <w:spacing w:line="360" w:lineRule="auto"/>
              <w:rPr>
                <w:rFonts w:hint="eastAsia"/>
                <w:sz w:val="24"/>
                <w:lang w:val="en-US" w:eastAsia="zh-CN"/>
              </w:rPr>
            </w:pPr>
          </w:p>
          <w:p w14:paraId="76F6FADC">
            <w:pPr>
              <w:spacing w:line="360" w:lineRule="auto"/>
              <w:rPr>
                <w:rFonts w:hint="eastAsia"/>
                <w:sz w:val="24"/>
                <w:lang w:val="en-US" w:eastAsia="zh-CN"/>
              </w:rPr>
            </w:pPr>
          </w:p>
          <w:p w14:paraId="482EB7A2">
            <w:pPr>
              <w:spacing w:line="360" w:lineRule="auto"/>
              <w:rPr>
                <w:rFonts w:hint="eastAsia"/>
                <w:sz w:val="24"/>
                <w:lang w:val="en-US" w:eastAsia="zh-CN"/>
              </w:rPr>
            </w:pPr>
          </w:p>
          <w:p w14:paraId="1BCF6E84">
            <w:pPr>
              <w:spacing w:line="360" w:lineRule="auto"/>
              <w:rPr>
                <w:rFonts w:hint="eastAsia"/>
                <w:sz w:val="24"/>
                <w:lang w:val="en-US" w:eastAsia="zh-CN"/>
              </w:rPr>
            </w:pPr>
          </w:p>
          <w:p w14:paraId="3B901BCA">
            <w:pPr>
              <w:spacing w:line="360" w:lineRule="auto"/>
              <w:rPr>
                <w:rFonts w:hint="eastAsia"/>
                <w:sz w:val="24"/>
                <w:lang w:val="en-US" w:eastAsia="zh-CN"/>
              </w:rPr>
            </w:pPr>
          </w:p>
          <w:p w14:paraId="400EC3D7">
            <w:pPr>
              <w:spacing w:line="360" w:lineRule="auto"/>
              <w:rPr>
                <w:rFonts w:hint="eastAsia"/>
                <w:sz w:val="24"/>
                <w:lang w:val="en-US" w:eastAsia="zh-CN"/>
              </w:rPr>
            </w:pPr>
          </w:p>
          <w:p w14:paraId="16990D3C">
            <w:pPr>
              <w:spacing w:line="360" w:lineRule="auto"/>
              <w:rPr>
                <w:rFonts w:hint="eastAsia"/>
                <w:sz w:val="24"/>
                <w:lang w:val="en-US" w:eastAsia="zh-CN"/>
              </w:rPr>
            </w:pPr>
          </w:p>
          <w:p w14:paraId="7A85F165">
            <w:pPr>
              <w:spacing w:line="360" w:lineRule="auto"/>
              <w:rPr>
                <w:rFonts w:hint="eastAsia"/>
                <w:sz w:val="24"/>
                <w:lang w:val="en-US" w:eastAsia="zh-CN"/>
              </w:rPr>
            </w:pPr>
          </w:p>
          <w:p w14:paraId="2349AACE">
            <w:pPr>
              <w:spacing w:line="360" w:lineRule="auto"/>
              <w:rPr>
                <w:rFonts w:hint="eastAsia"/>
                <w:sz w:val="24"/>
                <w:lang w:val="en-US" w:eastAsia="zh-CN"/>
              </w:rPr>
            </w:pPr>
          </w:p>
          <w:p w14:paraId="7F3A1998">
            <w:pPr>
              <w:spacing w:line="360" w:lineRule="auto"/>
              <w:rPr>
                <w:rFonts w:hint="eastAsia"/>
                <w:sz w:val="24"/>
                <w:lang w:val="en-US" w:eastAsia="zh-CN"/>
              </w:rPr>
            </w:pPr>
          </w:p>
          <w:p w14:paraId="70E0D5F5">
            <w:pPr>
              <w:spacing w:line="360" w:lineRule="auto"/>
              <w:rPr>
                <w:rFonts w:hint="eastAsia"/>
                <w:sz w:val="24"/>
                <w:lang w:val="en-US" w:eastAsia="zh-CN"/>
              </w:rPr>
            </w:pPr>
          </w:p>
          <w:p w14:paraId="538F4205">
            <w:pPr>
              <w:spacing w:line="360" w:lineRule="auto"/>
              <w:rPr>
                <w:rFonts w:hint="eastAsia"/>
                <w:sz w:val="24"/>
                <w:lang w:val="en-US" w:eastAsia="zh-CN"/>
              </w:rPr>
            </w:pPr>
          </w:p>
          <w:p w14:paraId="3A39CC7D">
            <w:pPr>
              <w:spacing w:line="360" w:lineRule="auto"/>
              <w:rPr>
                <w:rFonts w:hint="eastAsia"/>
                <w:sz w:val="24"/>
                <w:lang w:val="en-US" w:eastAsia="zh-CN"/>
              </w:rPr>
            </w:pPr>
          </w:p>
          <w:p w14:paraId="05C9C7E2">
            <w:pPr>
              <w:spacing w:line="360" w:lineRule="auto"/>
              <w:rPr>
                <w:rFonts w:hint="eastAsia"/>
                <w:sz w:val="24"/>
                <w:lang w:val="en-US" w:eastAsia="zh-CN"/>
              </w:rPr>
            </w:pPr>
          </w:p>
          <w:p w14:paraId="41F60B93">
            <w:pPr>
              <w:spacing w:line="360" w:lineRule="auto"/>
              <w:rPr>
                <w:rFonts w:hint="eastAsia"/>
                <w:sz w:val="24"/>
                <w:lang w:val="en-US" w:eastAsia="zh-CN"/>
              </w:rPr>
            </w:pPr>
          </w:p>
          <w:p w14:paraId="2939E291">
            <w:pPr>
              <w:spacing w:line="360" w:lineRule="auto"/>
              <w:rPr>
                <w:rFonts w:hint="eastAsia"/>
                <w:sz w:val="24"/>
                <w:lang w:val="en-US" w:eastAsia="zh-CN"/>
              </w:rPr>
            </w:pPr>
          </w:p>
          <w:p w14:paraId="7CC2419E">
            <w:pPr>
              <w:spacing w:line="360" w:lineRule="auto"/>
              <w:rPr>
                <w:rFonts w:hint="eastAsia"/>
                <w:sz w:val="24"/>
                <w:lang w:val="en-US" w:eastAsia="zh-CN"/>
              </w:rPr>
            </w:pPr>
          </w:p>
          <w:p w14:paraId="0247AAE7">
            <w:pPr>
              <w:spacing w:line="360" w:lineRule="auto"/>
              <w:rPr>
                <w:rFonts w:hint="eastAsia"/>
                <w:sz w:val="24"/>
                <w:lang w:val="en-US" w:eastAsia="zh-CN"/>
              </w:rPr>
            </w:pPr>
          </w:p>
          <w:p w14:paraId="54D99FE2">
            <w:pPr>
              <w:spacing w:line="360" w:lineRule="auto"/>
              <w:rPr>
                <w:rFonts w:hint="eastAsia"/>
                <w:sz w:val="24"/>
                <w:lang w:val="en-US" w:eastAsia="zh-CN"/>
              </w:rPr>
            </w:pPr>
          </w:p>
          <w:p w14:paraId="466BCF94">
            <w:pPr>
              <w:spacing w:line="360" w:lineRule="auto"/>
              <w:rPr>
                <w:rFonts w:hint="eastAsia"/>
                <w:sz w:val="24"/>
                <w:lang w:val="en-US" w:eastAsia="zh-CN"/>
              </w:rPr>
            </w:pPr>
          </w:p>
          <w:p w14:paraId="43380483">
            <w:pPr>
              <w:spacing w:line="360" w:lineRule="auto"/>
              <w:rPr>
                <w:rFonts w:hint="eastAsia"/>
                <w:sz w:val="24"/>
                <w:lang w:val="en-US" w:eastAsia="zh-CN"/>
              </w:rPr>
            </w:pPr>
          </w:p>
          <w:p w14:paraId="1CB8EE8D">
            <w:pPr>
              <w:spacing w:line="360" w:lineRule="auto"/>
              <w:rPr>
                <w:rFonts w:hint="eastAsia"/>
                <w:sz w:val="24"/>
                <w:lang w:val="en-US" w:eastAsia="zh-CN"/>
              </w:rPr>
            </w:pPr>
          </w:p>
          <w:p w14:paraId="1A97C752">
            <w:pPr>
              <w:spacing w:line="360" w:lineRule="auto"/>
              <w:rPr>
                <w:rFonts w:hint="eastAsia"/>
                <w:sz w:val="24"/>
                <w:lang w:val="en-US" w:eastAsia="zh-CN"/>
              </w:rPr>
            </w:pPr>
          </w:p>
        </w:tc>
      </w:tr>
    </w:tbl>
    <w:p w14:paraId="481B867F">
      <w:pPr>
        <w:spacing w:line="360" w:lineRule="auto"/>
        <w:ind w:firstLine="281"/>
        <w:rPr>
          <w:b/>
          <w:sz w:val="28"/>
        </w:rPr>
        <w:sectPr>
          <w:footerReference r:id="rId3" w:type="default"/>
          <w:pgSz w:w="11906" w:h="16838"/>
          <w:pgMar w:top="1440" w:right="1701" w:bottom="1440" w:left="1701" w:header="851" w:footer="992" w:gutter="0"/>
          <w:pgBorders>
            <w:top w:val="none" w:sz="0" w:space="0"/>
            <w:left w:val="none" w:sz="0" w:space="0"/>
            <w:bottom w:val="none" w:sz="0" w:space="0"/>
            <w:right w:val="none" w:sz="0" w:space="0"/>
          </w:pgBorders>
          <w:pgNumType w:start="1"/>
          <w:cols w:space="0" w:num="1"/>
          <w:docGrid w:type="lines" w:linePitch="312" w:charSpace="0"/>
        </w:sectPr>
      </w:pPr>
    </w:p>
    <w:p w14:paraId="3219A2E7">
      <w:pPr>
        <w:spacing w:line="360" w:lineRule="auto"/>
        <w:ind w:firstLine="281"/>
        <w:outlineLvl w:val="0"/>
        <w:rPr>
          <w:b/>
          <w:sz w:val="28"/>
        </w:rPr>
      </w:pPr>
      <w:bookmarkStart w:id="123" w:name="_Toc20697"/>
      <w:r>
        <w:rPr>
          <w:b/>
          <w:sz w:val="28"/>
        </w:rPr>
        <w:t>表三、验收执行标准</w:t>
      </w:r>
      <w:bookmarkEnd w:id="123"/>
    </w:p>
    <w:tbl>
      <w:tblPr>
        <w:tblStyle w:val="33"/>
        <w:tblW w:w="87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7"/>
        <w:gridCol w:w="8263"/>
      </w:tblGrid>
      <w:tr w14:paraId="7FD6D1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007" w:hRule="atLeast"/>
          <w:jc w:val="center"/>
        </w:trPr>
        <w:tc>
          <w:tcPr>
            <w:tcW w:w="414" w:type="dxa"/>
            <w:vAlign w:val="center"/>
          </w:tcPr>
          <w:p w14:paraId="35F4F72E">
            <w:pPr>
              <w:spacing w:line="360" w:lineRule="auto"/>
              <w:outlineLvl w:val="0"/>
              <w:rPr>
                <w:rFonts w:hint="default" w:eastAsia="宋体"/>
                <w:b/>
                <w:sz w:val="24"/>
                <w:szCs w:val="24"/>
                <w:lang w:val="en-US" w:eastAsia="zh-CN"/>
              </w:rPr>
            </w:pPr>
            <w:bookmarkStart w:id="124" w:name="_Toc30139"/>
            <w:r>
              <w:rPr>
                <w:rFonts w:hint="eastAsia"/>
                <w:b/>
                <w:sz w:val="24"/>
                <w:szCs w:val="24"/>
                <w:lang w:val="en-US" w:eastAsia="zh-CN"/>
              </w:rPr>
              <w:t>环境质量标准</w:t>
            </w:r>
            <w:bookmarkEnd w:id="124"/>
          </w:p>
        </w:tc>
        <w:tc>
          <w:tcPr>
            <w:tcW w:w="8306" w:type="dxa"/>
            <w:shd w:val="clear" w:color="auto" w:fill="auto"/>
            <w:vAlign w:val="center"/>
          </w:tcPr>
          <w:p w14:paraId="4F9DB0EA">
            <w:pPr>
              <w:spacing w:line="360" w:lineRule="auto"/>
              <w:ind w:firstLine="480" w:firstLineChars="200"/>
              <w:rPr>
                <w:rFonts w:hint="eastAsia"/>
                <w:sz w:val="24"/>
              </w:rPr>
            </w:pPr>
            <w:r>
              <w:rPr>
                <w:rFonts w:hint="eastAsia"/>
                <w:sz w:val="24"/>
              </w:rPr>
              <w:t>本次环境影响调查，原则上采用该工程环境影响评价时所采用的各项环境质量标准及排放标准，对已修订新颁布的环境质量标准采用替代后的新标</w:t>
            </w:r>
          </w:p>
          <w:p w14:paraId="695B4BAA">
            <w:pPr>
              <w:spacing w:line="360" w:lineRule="auto"/>
              <w:rPr>
                <w:rFonts w:hint="eastAsia"/>
                <w:sz w:val="24"/>
                <w:lang w:eastAsia="zh-CN"/>
              </w:rPr>
            </w:pPr>
            <w:r>
              <w:rPr>
                <w:rFonts w:hint="eastAsia"/>
                <w:sz w:val="24"/>
              </w:rPr>
              <w:t>准进行校核。验收阶段与环评阶段未发生变动。具体标准如下</w:t>
            </w:r>
            <w:r>
              <w:rPr>
                <w:rFonts w:hint="eastAsia"/>
                <w:sz w:val="24"/>
                <w:lang w:eastAsia="zh-CN"/>
              </w:rPr>
              <w:t>：</w:t>
            </w:r>
          </w:p>
          <w:p w14:paraId="56E6A41D">
            <w:pPr>
              <w:spacing w:line="360" w:lineRule="auto"/>
              <w:ind w:firstLine="482" w:firstLineChars="200"/>
              <w:contextualSpacing/>
              <w:rPr>
                <w:rFonts w:hint="default" w:ascii="Times New Roman" w:hAnsi="Times New Roman" w:eastAsia="宋体" w:cs="Times New Roman"/>
                <w:b/>
                <w:bCs w:val="0"/>
                <w:color w:val="auto"/>
                <w:sz w:val="24"/>
                <w:lang w:val="en-US" w:eastAsia="zh-CN"/>
              </w:rPr>
            </w:pPr>
            <w:r>
              <w:rPr>
                <w:rFonts w:hint="eastAsia" w:ascii="Times New Roman" w:hAnsi="Times New Roman" w:cs="Times New Roman"/>
                <w:b/>
                <w:bCs w:val="0"/>
                <w:color w:val="auto"/>
                <w:sz w:val="24"/>
                <w:lang w:val="en-US" w:eastAsia="zh-CN"/>
              </w:rPr>
              <w:t>1、大气环境质量标准</w:t>
            </w:r>
          </w:p>
          <w:p w14:paraId="230FC715">
            <w:pPr>
              <w:spacing w:line="360" w:lineRule="auto"/>
              <w:ind w:firstLine="480" w:firstLineChars="200"/>
              <w:contextualSpacing/>
              <w:rPr>
                <w:rFonts w:hint="default" w:ascii="Times New Roman" w:hAnsi="Times New Roman" w:cs="Times New Roman"/>
                <w:bCs/>
                <w:color w:val="auto"/>
                <w:sz w:val="24"/>
              </w:rPr>
            </w:pPr>
            <w:r>
              <w:rPr>
                <w:rFonts w:hint="default" w:ascii="Times New Roman" w:hAnsi="Times New Roman" w:cs="Times New Roman"/>
                <w:bCs/>
                <w:color w:val="auto"/>
                <w:sz w:val="24"/>
              </w:rPr>
              <w:t>环境空气执行《环境空气质量标准》（GB3095-2012）二级标准</w:t>
            </w:r>
          </w:p>
          <w:p w14:paraId="5D89F18C">
            <w:pPr>
              <w:keepNext w:val="0"/>
              <w:keepLines w:val="0"/>
              <w:pageBreakBefore w:val="0"/>
              <w:widowControl w:val="0"/>
              <w:kinsoku/>
              <w:wordWrap/>
              <w:overflowPunct/>
              <w:topLinePunct w:val="0"/>
              <w:autoSpaceDE/>
              <w:autoSpaceDN/>
              <w:bidi w:val="0"/>
              <w:adjustRightInd/>
              <w:snapToGrid/>
              <w:spacing w:before="157" w:beforeLines="50" w:line="240" w:lineRule="auto"/>
              <w:contextualSpacing/>
              <w:jc w:val="center"/>
              <w:textAlignment w:val="auto"/>
              <w:rPr>
                <w:rFonts w:hint="default" w:ascii="Times New Roman" w:hAnsi="Times New Roman" w:cs="Times New Roman"/>
                <w:b/>
                <w:color w:val="auto"/>
                <w:szCs w:val="21"/>
              </w:rPr>
            </w:pPr>
            <w:r>
              <w:rPr>
                <w:rFonts w:hint="default" w:ascii="Times New Roman" w:hAnsi="Times New Roman" w:cs="Times New Roman"/>
                <w:b/>
                <w:color w:val="auto"/>
                <w:szCs w:val="21"/>
              </w:rPr>
              <w:t>表</w:t>
            </w:r>
            <w:r>
              <w:rPr>
                <w:rFonts w:hint="eastAsia" w:ascii="Times New Roman" w:hAnsi="Times New Roman" w:cs="Times New Roman"/>
                <w:b/>
                <w:color w:val="auto"/>
                <w:szCs w:val="21"/>
                <w:lang w:val="en-US" w:eastAsia="zh-CN"/>
              </w:rPr>
              <w:t>3</w:t>
            </w:r>
            <w:r>
              <w:rPr>
                <w:rFonts w:hint="default" w:ascii="Times New Roman" w:hAnsi="Times New Roman" w:cs="Times New Roman"/>
                <w:b/>
                <w:color w:val="auto"/>
                <w:szCs w:val="21"/>
              </w:rPr>
              <w:t>-</w:t>
            </w:r>
            <w:r>
              <w:rPr>
                <w:rFonts w:hint="eastAsia" w:ascii="Times New Roman" w:hAnsi="Times New Roman" w:cs="Times New Roman"/>
                <w:b/>
                <w:color w:val="auto"/>
                <w:szCs w:val="21"/>
                <w:lang w:val="en-US" w:eastAsia="zh-CN"/>
              </w:rPr>
              <w:t xml:space="preserve">1   </w:t>
            </w:r>
            <w:r>
              <w:rPr>
                <w:rFonts w:hint="default" w:ascii="Times New Roman" w:hAnsi="Times New Roman" w:cs="Times New Roman"/>
                <w:b/>
                <w:color w:val="auto"/>
                <w:szCs w:val="21"/>
              </w:rPr>
              <w:t>环境空气质量标准                  单位：mg/m</w:t>
            </w:r>
            <w:r>
              <w:rPr>
                <w:rFonts w:hint="default" w:ascii="Times New Roman" w:hAnsi="Times New Roman" w:cs="Times New Roman"/>
                <w:b/>
                <w:color w:val="auto"/>
                <w:szCs w:val="21"/>
                <w:vertAlign w:val="superscript"/>
              </w:rPr>
              <w:t>3</w:t>
            </w:r>
          </w:p>
          <w:tbl>
            <w:tblPr>
              <w:tblStyle w:val="34"/>
              <w:tblW w:w="4998" w:type="pct"/>
              <w:tblInd w:w="-5" w:type="dxa"/>
              <w:tblBorders>
                <w:top w:val="single" w:color="auto" w:sz="12" w:space="0"/>
                <w:left w:val="single" w:color="000000" w:sz="4"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10"/>
              <w:gridCol w:w="2002"/>
              <w:gridCol w:w="2022"/>
              <w:gridCol w:w="2005"/>
            </w:tblGrid>
            <w:tr w14:paraId="27BC7C38">
              <w:tblPrEx>
                <w:tblBorders>
                  <w:top w:val="single" w:color="auto" w:sz="12" w:space="0"/>
                  <w:left w:val="single" w:color="000000" w:sz="4"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tcBorders>
                    <w:top w:val="single" w:color="auto" w:sz="4" w:space="0"/>
                  </w:tcBorders>
                  <w:noWrap w:val="0"/>
                  <w:vAlign w:val="center"/>
                </w:tcPr>
                <w:p w14:paraId="7785F287">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标准依据</w:t>
                  </w:r>
                </w:p>
              </w:tc>
              <w:tc>
                <w:tcPr>
                  <w:tcW w:w="1245" w:type="pct"/>
                  <w:tcBorders>
                    <w:top w:val="single" w:color="auto" w:sz="4" w:space="0"/>
                  </w:tcBorders>
                  <w:noWrap w:val="0"/>
                  <w:vAlign w:val="center"/>
                </w:tcPr>
                <w:p w14:paraId="34AAEF40">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污染物名称</w:t>
                  </w:r>
                </w:p>
              </w:tc>
              <w:tc>
                <w:tcPr>
                  <w:tcW w:w="1257" w:type="pct"/>
                  <w:tcBorders>
                    <w:top w:val="single" w:color="auto" w:sz="4" w:space="0"/>
                  </w:tcBorders>
                  <w:noWrap w:val="0"/>
                  <w:vAlign w:val="center"/>
                </w:tcPr>
                <w:p w14:paraId="6CFD8F18">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取值时间</w:t>
                  </w:r>
                </w:p>
              </w:tc>
              <w:tc>
                <w:tcPr>
                  <w:tcW w:w="1247" w:type="pct"/>
                  <w:tcBorders>
                    <w:top w:val="single" w:color="auto" w:sz="4" w:space="0"/>
                  </w:tcBorders>
                  <w:noWrap w:val="0"/>
                  <w:vAlign w:val="center"/>
                </w:tcPr>
                <w:p w14:paraId="2F74AA81">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标准限值（μg/m</w:t>
                  </w:r>
                  <w:r>
                    <w:rPr>
                      <w:rFonts w:hint="default" w:ascii="Times New Roman" w:hAnsi="Times New Roman" w:eastAsia="宋体" w:cs="Times New Roman"/>
                      <w:bCs/>
                      <w:color w:val="auto"/>
                      <w:kern w:val="0"/>
                      <w:szCs w:val="21"/>
                      <w:highlight w:val="none"/>
                      <w:vertAlign w:val="superscript"/>
                    </w:rPr>
                    <w:t>3</w:t>
                  </w:r>
                  <w:r>
                    <w:rPr>
                      <w:rFonts w:hint="default" w:ascii="Times New Roman" w:hAnsi="Times New Roman" w:eastAsia="宋体" w:cs="Times New Roman"/>
                      <w:bCs/>
                      <w:color w:val="auto"/>
                      <w:kern w:val="0"/>
                      <w:szCs w:val="21"/>
                      <w:highlight w:val="none"/>
                    </w:rPr>
                    <w:t>）</w:t>
                  </w:r>
                </w:p>
              </w:tc>
            </w:tr>
            <w:tr w14:paraId="227CDFDB">
              <w:tblPrEx>
                <w:tblBorders>
                  <w:top w:val="single" w:color="auto" w:sz="12" w:space="0"/>
                  <w:left w:val="single" w:color="000000" w:sz="4"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Merge w:val="restart"/>
                  <w:noWrap w:val="0"/>
                  <w:vAlign w:val="center"/>
                </w:tcPr>
                <w:p w14:paraId="2D55B494">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《环境空气质量标准》（GB3095-2012）二级标准</w:t>
                  </w:r>
                </w:p>
              </w:tc>
              <w:tc>
                <w:tcPr>
                  <w:tcW w:w="1245" w:type="pct"/>
                  <w:vMerge w:val="restart"/>
                  <w:noWrap w:val="0"/>
                  <w:vAlign w:val="center"/>
                </w:tcPr>
                <w:p w14:paraId="0A66CE8D">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SO</w:t>
                  </w:r>
                  <w:r>
                    <w:rPr>
                      <w:rFonts w:hint="default" w:ascii="Times New Roman" w:hAnsi="Times New Roman" w:eastAsia="宋体" w:cs="Times New Roman"/>
                      <w:bCs/>
                      <w:color w:val="auto"/>
                      <w:kern w:val="0"/>
                      <w:szCs w:val="21"/>
                      <w:highlight w:val="none"/>
                      <w:vertAlign w:val="subscript"/>
                    </w:rPr>
                    <w:t>2</w:t>
                  </w:r>
                </w:p>
              </w:tc>
              <w:tc>
                <w:tcPr>
                  <w:tcW w:w="1257" w:type="pct"/>
                  <w:noWrap w:val="0"/>
                  <w:vAlign w:val="center"/>
                </w:tcPr>
                <w:p w14:paraId="36A92EE5">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年平均</w:t>
                  </w:r>
                </w:p>
              </w:tc>
              <w:tc>
                <w:tcPr>
                  <w:tcW w:w="1247" w:type="pct"/>
                  <w:noWrap w:val="0"/>
                  <w:vAlign w:val="center"/>
                </w:tcPr>
                <w:p w14:paraId="0974C5A2">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60</w:t>
                  </w:r>
                </w:p>
              </w:tc>
            </w:tr>
            <w:tr w14:paraId="51A554CA">
              <w:tblPrEx>
                <w:tblBorders>
                  <w:top w:val="single" w:color="auto" w:sz="12" w:space="0"/>
                  <w:left w:val="single" w:color="000000" w:sz="4"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Merge w:val="continue"/>
                  <w:noWrap w:val="0"/>
                  <w:vAlign w:val="top"/>
                </w:tcPr>
                <w:p w14:paraId="602C1A75">
                  <w:pPr>
                    <w:spacing w:line="360" w:lineRule="auto"/>
                    <w:contextualSpacing/>
                    <w:rPr>
                      <w:rFonts w:hint="default" w:ascii="Times New Roman" w:hAnsi="Times New Roman" w:cs="Times New Roman"/>
                      <w:b/>
                      <w:color w:val="auto"/>
                      <w:sz w:val="24"/>
                      <w:vertAlign w:val="baseline"/>
                    </w:rPr>
                  </w:pPr>
                </w:p>
              </w:tc>
              <w:tc>
                <w:tcPr>
                  <w:tcW w:w="1245" w:type="pct"/>
                  <w:vMerge w:val="continue"/>
                  <w:noWrap w:val="0"/>
                  <w:vAlign w:val="top"/>
                </w:tcPr>
                <w:p w14:paraId="5D3E98E2">
                  <w:pPr>
                    <w:spacing w:line="360" w:lineRule="auto"/>
                    <w:contextualSpacing/>
                    <w:rPr>
                      <w:rFonts w:hint="default" w:ascii="Times New Roman" w:hAnsi="Times New Roman" w:cs="Times New Roman"/>
                      <w:b/>
                      <w:color w:val="auto"/>
                      <w:sz w:val="24"/>
                      <w:vertAlign w:val="baseline"/>
                    </w:rPr>
                  </w:pPr>
                </w:p>
              </w:tc>
              <w:tc>
                <w:tcPr>
                  <w:tcW w:w="1257" w:type="pct"/>
                  <w:noWrap w:val="0"/>
                  <w:vAlign w:val="center"/>
                </w:tcPr>
                <w:p w14:paraId="699B43D4">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24小时平均</w:t>
                  </w:r>
                </w:p>
              </w:tc>
              <w:tc>
                <w:tcPr>
                  <w:tcW w:w="1247" w:type="pct"/>
                  <w:noWrap w:val="0"/>
                  <w:vAlign w:val="center"/>
                </w:tcPr>
                <w:p w14:paraId="48B1A17E">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150</w:t>
                  </w:r>
                </w:p>
              </w:tc>
            </w:tr>
            <w:tr w14:paraId="48C9D77D">
              <w:tblPrEx>
                <w:tblBorders>
                  <w:top w:val="single" w:color="auto" w:sz="12" w:space="0"/>
                  <w:left w:val="single" w:color="000000" w:sz="4"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Merge w:val="continue"/>
                  <w:noWrap w:val="0"/>
                  <w:vAlign w:val="top"/>
                </w:tcPr>
                <w:p w14:paraId="2DBF5F78">
                  <w:pPr>
                    <w:spacing w:line="360" w:lineRule="auto"/>
                    <w:contextualSpacing/>
                    <w:rPr>
                      <w:rFonts w:hint="default" w:ascii="Times New Roman" w:hAnsi="Times New Roman" w:cs="Times New Roman"/>
                      <w:b/>
                      <w:color w:val="auto"/>
                      <w:sz w:val="24"/>
                      <w:vertAlign w:val="baseline"/>
                    </w:rPr>
                  </w:pPr>
                </w:p>
              </w:tc>
              <w:tc>
                <w:tcPr>
                  <w:tcW w:w="1245" w:type="pct"/>
                  <w:vMerge w:val="continue"/>
                  <w:noWrap w:val="0"/>
                  <w:vAlign w:val="top"/>
                </w:tcPr>
                <w:p w14:paraId="163EBD93">
                  <w:pPr>
                    <w:spacing w:line="360" w:lineRule="auto"/>
                    <w:contextualSpacing/>
                    <w:rPr>
                      <w:rFonts w:hint="default" w:ascii="Times New Roman" w:hAnsi="Times New Roman" w:cs="Times New Roman"/>
                      <w:b/>
                      <w:color w:val="auto"/>
                      <w:sz w:val="24"/>
                      <w:vertAlign w:val="baseline"/>
                    </w:rPr>
                  </w:pPr>
                </w:p>
              </w:tc>
              <w:tc>
                <w:tcPr>
                  <w:tcW w:w="1257" w:type="pct"/>
                  <w:noWrap w:val="0"/>
                  <w:vAlign w:val="center"/>
                </w:tcPr>
                <w:p w14:paraId="377CFA02">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1小时平均</w:t>
                  </w:r>
                </w:p>
              </w:tc>
              <w:tc>
                <w:tcPr>
                  <w:tcW w:w="1247" w:type="pct"/>
                  <w:noWrap w:val="0"/>
                  <w:vAlign w:val="center"/>
                </w:tcPr>
                <w:p w14:paraId="2C1C6EB2">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500</w:t>
                  </w:r>
                </w:p>
              </w:tc>
            </w:tr>
            <w:tr w14:paraId="4502FBE2">
              <w:tblPrEx>
                <w:tblBorders>
                  <w:top w:val="single" w:color="auto" w:sz="12" w:space="0"/>
                  <w:left w:val="single" w:color="000000" w:sz="4"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Merge w:val="continue"/>
                  <w:noWrap w:val="0"/>
                  <w:vAlign w:val="top"/>
                </w:tcPr>
                <w:p w14:paraId="515A39D8">
                  <w:pPr>
                    <w:spacing w:line="360" w:lineRule="auto"/>
                    <w:contextualSpacing/>
                    <w:rPr>
                      <w:rFonts w:hint="default" w:ascii="Times New Roman" w:hAnsi="Times New Roman" w:cs="Times New Roman"/>
                      <w:b/>
                      <w:color w:val="auto"/>
                      <w:sz w:val="24"/>
                      <w:vertAlign w:val="baseline"/>
                    </w:rPr>
                  </w:pPr>
                </w:p>
              </w:tc>
              <w:tc>
                <w:tcPr>
                  <w:tcW w:w="1245" w:type="pct"/>
                  <w:vMerge w:val="restart"/>
                  <w:noWrap w:val="0"/>
                  <w:vAlign w:val="center"/>
                </w:tcPr>
                <w:p w14:paraId="56E6B6CD">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NO</w:t>
                  </w:r>
                  <w:r>
                    <w:rPr>
                      <w:rFonts w:hint="default" w:ascii="Times New Roman" w:hAnsi="Times New Roman" w:eastAsia="宋体" w:cs="Times New Roman"/>
                      <w:bCs/>
                      <w:color w:val="auto"/>
                      <w:kern w:val="0"/>
                      <w:szCs w:val="21"/>
                      <w:highlight w:val="none"/>
                      <w:vertAlign w:val="subscript"/>
                    </w:rPr>
                    <w:t>2</w:t>
                  </w:r>
                </w:p>
              </w:tc>
              <w:tc>
                <w:tcPr>
                  <w:tcW w:w="1257" w:type="pct"/>
                  <w:noWrap w:val="0"/>
                  <w:vAlign w:val="center"/>
                </w:tcPr>
                <w:p w14:paraId="008EA3D6">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年平均</w:t>
                  </w:r>
                </w:p>
              </w:tc>
              <w:tc>
                <w:tcPr>
                  <w:tcW w:w="1247" w:type="pct"/>
                  <w:noWrap w:val="0"/>
                  <w:vAlign w:val="center"/>
                </w:tcPr>
                <w:p w14:paraId="5A11A53A">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40</w:t>
                  </w:r>
                </w:p>
              </w:tc>
            </w:tr>
            <w:tr w14:paraId="7CEA5F5F">
              <w:tblPrEx>
                <w:tblBorders>
                  <w:top w:val="single" w:color="auto" w:sz="12" w:space="0"/>
                  <w:left w:val="single" w:color="000000" w:sz="4"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Merge w:val="continue"/>
                  <w:noWrap w:val="0"/>
                  <w:vAlign w:val="top"/>
                </w:tcPr>
                <w:p w14:paraId="0BEFF5F1">
                  <w:pPr>
                    <w:spacing w:line="360" w:lineRule="auto"/>
                    <w:contextualSpacing/>
                    <w:rPr>
                      <w:rFonts w:hint="default" w:ascii="Times New Roman" w:hAnsi="Times New Roman" w:cs="Times New Roman"/>
                      <w:b/>
                      <w:color w:val="auto"/>
                      <w:sz w:val="24"/>
                      <w:vertAlign w:val="baseline"/>
                    </w:rPr>
                  </w:pPr>
                </w:p>
              </w:tc>
              <w:tc>
                <w:tcPr>
                  <w:tcW w:w="1245" w:type="pct"/>
                  <w:vMerge w:val="continue"/>
                  <w:noWrap w:val="0"/>
                  <w:vAlign w:val="top"/>
                </w:tcPr>
                <w:p w14:paraId="650DAA34">
                  <w:pPr>
                    <w:spacing w:line="360" w:lineRule="auto"/>
                    <w:contextualSpacing/>
                    <w:rPr>
                      <w:rFonts w:hint="default" w:ascii="Times New Roman" w:hAnsi="Times New Roman" w:cs="Times New Roman"/>
                      <w:b/>
                      <w:color w:val="auto"/>
                      <w:sz w:val="24"/>
                      <w:vertAlign w:val="baseline"/>
                    </w:rPr>
                  </w:pPr>
                </w:p>
              </w:tc>
              <w:tc>
                <w:tcPr>
                  <w:tcW w:w="1257" w:type="pct"/>
                  <w:noWrap w:val="0"/>
                  <w:vAlign w:val="center"/>
                </w:tcPr>
                <w:p w14:paraId="07EFC47F">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24小时平均</w:t>
                  </w:r>
                </w:p>
              </w:tc>
              <w:tc>
                <w:tcPr>
                  <w:tcW w:w="1247" w:type="pct"/>
                  <w:noWrap w:val="0"/>
                  <w:vAlign w:val="center"/>
                </w:tcPr>
                <w:p w14:paraId="695E430B">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80</w:t>
                  </w:r>
                </w:p>
              </w:tc>
            </w:tr>
            <w:tr w14:paraId="730A21B6">
              <w:tblPrEx>
                <w:tblBorders>
                  <w:top w:val="single" w:color="auto" w:sz="12" w:space="0"/>
                  <w:left w:val="single" w:color="000000" w:sz="4"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Merge w:val="continue"/>
                  <w:noWrap w:val="0"/>
                  <w:vAlign w:val="top"/>
                </w:tcPr>
                <w:p w14:paraId="77024255">
                  <w:pPr>
                    <w:spacing w:line="360" w:lineRule="auto"/>
                    <w:contextualSpacing/>
                    <w:rPr>
                      <w:rFonts w:hint="default" w:ascii="Times New Roman" w:hAnsi="Times New Roman" w:cs="Times New Roman"/>
                      <w:b/>
                      <w:color w:val="auto"/>
                      <w:sz w:val="24"/>
                      <w:vertAlign w:val="baseline"/>
                    </w:rPr>
                  </w:pPr>
                </w:p>
              </w:tc>
              <w:tc>
                <w:tcPr>
                  <w:tcW w:w="1245" w:type="pct"/>
                  <w:vMerge w:val="continue"/>
                  <w:noWrap w:val="0"/>
                  <w:vAlign w:val="top"/>
                </w:tcPr>
                <w:p w14:paraId="6CF0AAA8">
                  <w:pPr>
                    <w:spacing w:line="360" w:lineRule="auto"/>
                    <w:contextualSpacing/>
                    <w:rPr>
                      <w:rFonts w:hint="default" w:ascii="Times New Roman" w:hAnsi="Times New Roman" w:cs="Times New Roman"/>
                      <w:b/>
                      <w:color w:val="auto"/>
                      <w:sz w:val="24"/>
                      <w:vertAlign w:val="baseline"/>
                    </w:rPr>
                  </w:pPr>
                </w:p>
              </w:tc>
              <w:tc>
                <w:tcPr>
                  <w:tcW w:w="1257" w:type="pct"/>
                  <w:noWrap w:val="0"/>
                  <w:vAlign w:val="center"/>
                </w:tcPr>
                <w:p w14:paraId="15B0163E">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1小时平均</w:t>
                  </w:r>
                </w:p>
              </w:tc>
              <w:tc>
                <w:tcPr>
                  <w:tcW w:w="1247" w:type="pct"/>
                  <w:noWrap w:val="0"/>
                  <w:vAlign w:val="center"/>
                </w:tcPr>
                <w:p w14:paraId="0930CEC3">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200</w:t>
                  </w:r>
                </w:p>
              </w:tc>
            </w:tr>
            <w:tr w14:paraId="7D6F19FA">
              <w:tblPrEx>
                <w:tblBorders>
                  <w:top w:val="single" w:color="auto" w:sz="12" w:space="0"/>
                  <w:left w:val="single" w:color="000000" w:sz="4"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Merge w:val="continue"/>
                  <w:noWrap w:val="0"/>
                  <w:vAlign w:val="top"/>
                </w:tcPr>
                <w:p w14:paraId="10F554D7">
                  <w:pPr>
                    <w:spacing w:line="360" w:lineRule="auto"/>
                    <w:contextualSpacing/>
                    <w:rPr>
                      <w:rFonts w:hint="default" w:ascii="Times New Roman" w:hAnsi="Times New Roman" w:cs="Times New Roman"/>
                      <w:b/>
                      <w:color w:val="auto"/>
                      <w:sz w:val="24"/>
                      <w:vertAlign w:val="baseline"/>
                    </w:rPr>
                  </w:pPr>
                </w:p>
              </w:tc>
              <w:tc>
                <w:tcPr>
                  <w:tcW w:w="1245" w:type="pct"/>
                  <w:vMerge w:val="restart"/>
                  <w:noWrap w:val="0"/>
                  <w:vAlign w:val="center"/>
                </w:tcPr>
                <w:p w14:paraId="1509014B">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PM</w:t>
                  </w:r>
                  <w:r>
                    <w:rPr>
                      <w:rFonts w:hint="default" w:ascii="Times New Roman" w:hAnsi="Times New Roman" w:eastAsia="宋体" w:cs="Times New Roman"/>
                      <w:bCs/>
                      <w:color w:val="auto"/>
                      <w:kern w:val="0"/>
                      <w:szCs w:val="21"/>
                      <w:highlight w:val="none"/>
                      <w:vertAlign w:val="subscript"/>
                    </w:rPr>
                    <w:t>10</w:t>
                  </w:r>
                </w:p>
              </w:tc>
              <w:tc>
                <w:tcPr>
                  <w:tcW w:w="1257" w:type="pct"/>
                  <w:noWrap w:val="0"/>
                  <w:vAlign w:val="center"/>
                </w:tcPr>
                <w:p w14:paraId="7631B465">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年平均</w:t>
                  </w:r>
                </w:p>
              </w:tc>
              <w:tc>
                <w:tcPr>
                  <w:tcW w:w="1247" w:type="pct"/>
                  <w:noWrap w:val="0"/>
                  <w:vAlign w:val="center"/>
                </w:tcPr>
                <w:p w14:paraId="48712B49">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70</w:t>
                  </w:r>
                </w:p>
              </w:tc>
            </w:tr>
            <w:tr w14:paraId="5ADB016E">
              <w:tblPrEx>
                <w:tblBorders>
                  <w:top w:val="single" w:color="auto" w:sz="12" w:space="0"/>
                  <w:left w:val="single" w:color="000000" w:sz="4"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Merge w:val="continue"/>
                  <w:noWrap w:val="0"/>
                  <w:vAlign w:val="top"/>
                </w:tcPr>
                <w:p w14:paraId="1D6E19EE">
                  <w:pPr>
                    <w:spacing w:line="360" w:lineRule="auto"/>
                    <w:contextualSpacing/>
                    <w:rPr>
                      <w:rFonts w:hint="default" w:ascii="Times New Roman" w:hAnsi="Times New Roman" w:cs="Times New Roman"/>
                      <w:b/>
                      <w:color w:val="auto"/>
                      <w:sz w:val="24"/>
                      <w:vertAlign w:val="baseline"/>
                    </w:rPr>
                  </w:pPr>
                </w:p>
              </w:tc>
              <w:tc>
                <w:tcPr>
                  <w:tcW w:w="1245" w:type="pct"/>
                  <w:vMerge w:val="continue"/>
                  <w:noWrap w:val="0"/>
                  <w:vAlign w:val="top"/>
                </w:tcPr>
                <w:p w14:paraId="0A41AD3F">
                  <w:pPr>
                    <w:spacing w:line="360" w:lineRule="auto"/>
                    <w:contextualSpacing/>
                    <w:rPr>
                      <w:rFonts w:hint="default" w:ascii="Times New Roman" w:hAnsi="Times New Roman" w:cs="Times New Roman"/>
                      <w:b/>
                      <w:color w:val="auto"/>
                      <w:sz w:val="24"/>
                      <w:vertAlign w:val="baseline"/>
                    </w:rPr>
                  </w:pPr>
                </w:p>
              </w:tc>
              <w:tc>
                <w:tcPr>
                  <w:tcW w:w="1257" w:type="pct"/>
                  <w:noWrap w:val="0"/>
                  <w:vAlign w:val="center"/>
                </w:tcPr>
                <w:p w14:paraId="540BB14B">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24小时平均</w:t>
                  </w:r>
                </w:p>
              </w:tc>
              <w:tc>
                <w:tcPr>
                  <w:tcW w:w="1247" w:type="pct"/>
                  <w:noWrap w:val="0"/>
                  <w:vAlign w:val="center"/>
                </w:tcPr>
                <w:p w14:paraId="38798F00">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150</w:t>
                  </w:r>
                </w:p>
              </w:tc>
            </w:tr>
            <w:tr w14:paraId="493E6ABD">
              <w:tblPrEx>
                <w:tblBorders>
                  <w:top w:val="single" w:color="auto" w:sz="12" w:space="0"/>
                  <w:left w:val="single" w:color="000000" w:sz="4"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Merge w:val="continue"/>
                  <w:noWrap w:val="0"/>
                  <w:vAlign w:val="top"/>
                </w:tcPr>
                <w:p w14:paraId="310DA308">
                  <w:pPr>
                    <w:spacing w:line="360" w:lineRule="auto"/>
                    <w:contextualSpacing/>
                    <w:rPr>
                      <w:rFonts w:hint="default" w:ascii="Times New Roman" w:hAnsi="Times New Roman" w:cs="Times New Roman"/>
                      <w:b/>
                      <w:color w:val="auto"/>
                      <w:sz w:val="24"/>
                      <w:vertAlign w:val="baseline"/>
                    </w:rPr>
                  </w:pPr>
                </w:p>
              </w:tc>
              <w:tc>
                <w:tcPr>
                  <w:tcW w:w="1245" w:type="pct"/>
                  <w:vMerge w:val="restart"/>
                  <w:noWrap w:val="0"/>
                  <w:vAlign w:val="center"/>
                </w:tcPr>
                <w:p w14:paraId="31A56396">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PM</w:t>
                  </w:r>
                  <w:r>
                    <w:rPr>
                      <w:rFonts w:hint="default" w:ascii="Times New Roman" w:hAnsi="Times New Roman" w:eastAsia="宋体" w:cs="Times New Roman"/>
                      <w:bCs/>
                      <w:color w:val="auto"/>
                      <w:kern w:val="0"/>
                      <w:szCs w:val="21"/>
                      <w:highlight w:val="none"/>
                      <w:vertAlign w:val="subscript"/>
                    </w:rPr>
                    <w:t>2.5</w:t>
                  </w:r>
                </w:p>
              </w:tc>
              <w:tc>
                <w:tcPr>
                  <w:tcW w:w="1257" w:type="pct"/>
                  <w:noWrap w:val="0"/>
                  <w:vAlign w:val="center"/>
                </w:tcPr>
                <w:p w14:paraId="3CE2C051">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年平均</w:t>
                  </w:r>
                </w:p>
              </w:tc>
              <w:tc>
                <w:tcPr>
                  <w:tcW w:w="1247" w:type="pct"/>
                  <w:noWrap w:val="0"/>
                  <w:vAlign w:val="center"/>
                </w:tcPr>
                <w:p w14:paraId="5489C011">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35</w:t>
                  </w:r>
                </w:p>
              </w:tc>
            </w:tr>
            <w:tr w14:paraId="43A7F985">
              <w:tblPrEx>
                <w:tblBorders>
                  <w:top w:val="single" w:color="auto" w:sz="12" w:space="0"/>
                  <w:left w:val="single" w:color="000000" w:sz="4"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Merge w:val="continue"/>
                  <w:noWrap w:val="0"/>
                  <w:vAlign w:val="top"/>
                </w:tcPr>
                <w:p w14:paraId="4DE53649">
                  <w:pPr>
                    <w:spacing w:line="360" w:lineRule="auto"/>
                    <w:contextualSpacing/>
                    <w:rPr>
                      <w:rFonts w:hint="default" w:ascii="Times New Roman" w:hAnsi="Times New Roman" w:cs="Times New Roman"/>
                      <w:b/>
                      <w:color w:val="auto"/>
                      <w:sz w:val="24"/>
                      <w:vertAlign w:val="baseline"/>
                    </w:rPr>
                  </w:pPr>
                </w:p>
              </w:tc>
              <w:tc>
                <w:tcPr>
                  <w:tcW w:w="1245" w:type="pct"/>
                  <w:vMerge w:val="continue"/>
                  <w:noWrap w:val="0"/>
                  <w:vAlign w:val="top"/>
                </w:tcPr>
                <w:p w14:paraId="5D253945">
                  <w:pPr>
                    <w:spacing w:line="360" w:lineRule="auto"/>
                    <w:contextualSpacing/>
                    <w:rPr>
                      <w:rFonts w:hint="default" w:ascii="Times New Roman" w:hAnsi="Times New Roman" w:cs="Times New Roman"/>
                      <w:b/>
                      <w:color w:val="auto"/>
                      <w:sz w:val="24"/>
                      <w:vertAlign w:val="baseline"/>
                    </w:rPr>
                  </w:pPr>
                </w:p>
              </w:tc>
              <w:tc>
                <w:tcPr>
                  <w:tcW w:w="1257" w:type="pct"/>
                  <w:noWrap w:val="0"/>
                  <w:vAlign w:val="center"/>
                </w:tcPr>
                <w:p w14:paraId="018EEB53">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24小时平均</w:t>
                  </w:r>
                </w:p>
              </w:tc>
              <w:tc>
                <w:tcPr>
                  <w:tcW w:w="1247" w:type="pct"/>
                  <w:noWrap w:val="0"/>
                  <w:vAlign w:val="center"/>
                </w:tcPr>
                <w:p w14:paraId="3CB7DC44">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75</w:t>
                  </w:r>
                </w:p>
              </w:tc>
            </w:tr>
            <w:tr w14:paraId="6B36CF7E">
              <w:tblPrEx>
                <w:tblBorders>
                  <w:top w:val="single" w:color="auto" w:sz="12" w:space="0"/>
                  <w:left w:val="single" w:color="000000" w:sz="4"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Merge w:val="continue"/>
                  <w:noWrap w:val="0"/>
                  <w:vAlign w:val="top"/>
                </w:tcPr>
                <w:p w14:paraId="64B4C3A4">
                  <w:pPr>
                    <w:spacing w:line="360" w:lineRule="auto"/>
                    <w:contextualSpacing/>
                    <w:rPr>
                      <w:rFonts w:hint="default" w:ascii="Times New Roman" w:hAnsi="Times New Roman" w:cs="Times New Roman"/>
                      <w:b/>
                      <w:color w:val="auto"/>
                      <w:sz w:val="24"/>
                      <w:vertAlign w:val="baseline"/>
                    </w:rPr>
                  </w:pPr>
                </w:p>
              </w:tc>
              <w:tc>
                <w:tcPr>
                  <w:tcW w:w="1245" w:type="pct"/>
                  <w:vMerge w:val="restart"/>
                  <w:noWrap w:val="0"/>
                  <w:vAlign w:val="center"/>
                </w:tcPr>
                <w:p w14:paraId="06E54AEA">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CO</w:t>
                  </w:r>
                </w:p>
              </w:tc>
              <w:tc>
                <w:tcPr>
                  <w:tcW w:w="1257" w:type="pct"/>
                  <w:noWrap w:val="0"/>
                  <w:vAlign w:val="center"/>
                </w:tcPr>
                <w:p w14:paraId="0FEF4134">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24小时平均</w:t>
                  </w:r>
                </w:p>
              </w:tc>
              <w:tc>
                <w:tcPr>
                  <w:tcW w:w="1247" w:type="pct"/>
                  <w:noWrap w:val="0"/>
                  <w:vAlign w:val="center"/>
                </w:tcPr>
                <w:p w14:paraId="227FDF44">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4</w:t>
                  </w:r>
                </w:p>
              </w:tc>
            </w:tr>
            <w:tr w14:paraId="28BD199B">
              <w:tblPrEx>
                <w:tblBorders>
                  <w:top w:val="single" w:color="auto" w:sz="12" w:space="0"/>
                  <w:left w:val="single" w:color="000000" w:sz="4"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Merge w:val="continue"/>
                  <w:noWrap w:val="0"/>
                  <w:vAlign w:val="top"/>
                </w:tcPr>
                <w:p w14:paraId="787369D9">
                  <w:pPr>
                    <w:spacing w:line="360" w:lineRule="auto"/>
                    <w:contextualSpacing/>
                    <w:rPr>
                      <w:rFonts w:hint="default" w:ascii="Times New Roman" w:hAnsi="Times New Roman" w:cs="Times New Roman"/>
                      <w:b/>
                      <w:color w:val="auto"/>
                      <w:sz w:val="24"/>
                      <w:vertAlign w:val="baseline"/>
                    </w:rPr>
                  </w:pPr>
                </w:p>
              </w:tc>
              <w:tc>
                <w:tcPr>
                  <w:tcW w:w="1245" w:type="pct"/>
                  <w:vMerge w:val="continue"/>
                  <w:noWrap w:val="0"/>
                  <w:vAlign w:val="top"/>
                </w:tcPr>
                <w:p w14:paraId="50B1D52E">
                  <w:pPr>
                    <w:spacing w:line="360" w:lineRule="auto"/>
                    <w:contextualSpacing/>
                    <w:rPr>
                      <w:rFonts w:hint="default" w:ascii="Times New Roman" w:hAnsi="Times New Roman" w:cs="Times New Roman"/>
                      <w:b/>
                      <w:color w:val="auto"/>
                      <w:sz w:val="24"/>
                      <w:vertAlign w:val="baseline"/>
                    </w:rPr>
                  </w:pPr>
                </w:p>
              </w:tc>
              <w:tc>
                <w:tcPr>
                  <w:tcW w:w="1257" w:type="pct"/>
                  <w:noWrap w:val="0"/>
                  <w:vAlign w:val="center"/>
                </w:tcPr>
                <w:p w14:paraId="0FCCCB36">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1小时平均</w:t>
                  </w:r>
                </w:p>
              </w:tc>
              <w:tc>
                <w:tcPr>
                  <w:tcW w:w="1247" w:type="pct"/>
                  <w:noWrap w:val="0"/>
                  <w:vAlign w:val="center"/>
                </w:tcPr>
                <w:p w14:paraId="4D40CC3B">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10</w:t>
                  </w:r>
                </w:p>
              </w:tc>
            </w:tr>
            <w:tr w14:paraId="2BBD2A69">
              <w:tblPrEx>
                <w:tblBorders>
                  <w:top w:val="single" w:color="auto" w:sz="12" w:space="0"/>
                  <w:left w:val="single" w:color="000000" w:sz="4"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Merge w:val="continue"/>
                  <w:noWrap w:val="0"/>
                  <w:vAlign w:val="top"/>
                </w:tcPr>
                <w:p w14:paraId="3397E538">
                  <w:pPr>
                    <w:spacing w:line="360" w:lineRule="auto"/>
                    <w:contextualSpacing/>
                    <w:rPr>
                      <w:rFonts w:hint="default" w:ascii="Times New Roman" w:hAnsi="Times New Roman" w:cs="Times New Roman"/>
                      <w:b/>
                      <w:color w:val="auto"/>
                      <w:sz w:val="24"/>
                      <w:vertAlign w:val="baseline"/>
                    </w:rPr>
                  </w:pPr>
                </w:p>
              </w:tc>
              <w:tc>
                <w:tcPr>
                  <w:tcW w:w="1245" w:type="pct"/>
                  <w:vMerge w:val="restart"/>
                  <w:noWrap w:val="0"/>
                  <w:vAlign w:val="center"/>
                </w:tcPr>
                <w:p w14:paraId="4CDCB85D">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O</w:t>
                  </w:r>
                  <w:r>
                    <w:rPr>
                      <w:rFonts w:hint="default" w:ascii="Times New Roman" w:hAnsi="Times New Roman" w:eastAsia="宋体" w:cs="Times New Roman"/>
                      <w:bCs/>
                      <w:color w:val="auto"/>
                      <w:kern w:val="0"/>
                      <w:szCs w:val="21"/>
                      <w:highlight w:val="none"/>
                      <w:vertAlign w:val="subscript"/>
                    </w:rPr>
                    <w:t>3</w:t>
                  </w:r>
                </w:p>
              </w:tc>
              <w:tc>
                <w:tcPr>
                  <w:tcW w:w="1257" w:type="pct"/>
                  <w:noWrap w:val="0"/>
                  <w:vAlign w:val="center"/>
                </w:tcPr>
                <w:p w14:paraId="7E3D7B3E">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日最大8小时平均</w:t>
                  </w:r>
                </w:p>
              </w:tc>
              <w:tc>
                <w:tcPr>
                  <w:tcW w:w="1247" w:type="pct"/>
                  <w:noWrap w:val="0"/>
                  <w:vAlign w:val="center"/>
                </w:tcPr>
                <w:p w14:paraId="191612EB">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160</w:t>
                  </w:r>
                </w:p>
              </w:tc>
            </w:tr>
            <w:tr w14:paraId="5B9B5A85">
              <w:tblPrEx>
                <w:tblBorders>
                  <w:top w:val="single" w:color="auto" w:sz="12" w:space="0"/>
                  <w:left w:val="single" w:color="000000" w:sz="4"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pct"/>
                  <w:vMerge w:val="continue"/>
                  <w:tcBorders>
                    <w:bottom w:val="single" w:color="auto" w:sz="4" w:space="0"/>
                  </w:tcBorders>
                  <w:noWrap w:val="0"/>
                  <w:vAlign w:val="top"/>
                </w:tcPr>
                <w:p w14:paraId="23CBE4AD">
                  <w:pPr>
                    <w:spacing w:line="360" w:lineRule="auto"/>
                    <w:contextualSpacing/>
                    <w:rPr>
                      <w:rFonts w:hint="default" w:ascii="Times New Roman" w:hAnsi="Times New Roman" w:cs="Times New Roman"/>
                      <w:b/>
                      <w:color w:val="auto"/>
                      <w:sz w:val="24"/>
                      <w:vertAlign w:val="baseline"/>
                    </w:rPr>
                  </w:pPr>
                </w:p>
              </w:tc>
              <w:tc>
                <w:tcPr>
                  <w:tcW w:w="1245" w:type="pct"/>
                  <w:vMerge w:val="continue"/>
                  <w:tcBorders>
                    <w:bottom w:val="single" w:color="auto" w:sz="4" w:space="0"/>
                  </w:tcBorders>
                  <w:noWrap w:val="0"/>
                  <w:vAlign w:val="top"/>
                </w:tcPr>
                <w:p w14:paraId="48E11D01">
                  <w:pPr>
                    <w:spacing w:line="360" w:lineRule="auto"/>
                    <w:contextualSpacing/>
                    <w:rPr>
                      <w:rFonts w:hint="default" w:ascii="Times New Roman" w:hAnsi="Times New Roman" w:cs="Times New Roman"/>
                      <w:b/>
                      <w:color w:val="auto"/>
                      <w:sz w:val="24"/>
                      <w:vertAlign w:val="baseline"/>
                    </w:rPr>
                  </w:pPr>
                </w:p>
              </w:tc>
              <w:tc>
                <w:tcPr>
                  <w:tcW w:w="1257" w:type="pct"/>
                  <w:tcBorders>
                    <w:bottom w:val="single" w:color="auto" w:sz="4" w:space="0"/>
                  </w:tcBorders>
                  <w:noWrap w:val="0"/>
                  <w:vAlign w:val="center"/>
                </w:tcPr>
                <w:p w14:paraId="26C98082">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1小时平均</w:t>
                  </w:r>
                </w:p>
              </w:tc>
              <w:tc>
                <w:tcPr>
                  <w:tcW w:w="1247" w:type="pct"/>
                  <w:tcBorders>
                    <w:bottom w:val="single" w:color="auto" w:sz="4" w:space="0"/>
                  </w:tcBorders>
                  <w:noWrap w:val="0"/>
                  <w:vAlign w:val="center"/>
                </w:tcPr>
                <w:p w14:paraId="66CA5140">
                  <w:pPr>
                    <w:widowControl/>
                    <w:jc w:val="center"/>
                    <w:rPr>
                      <w:rFonts w:hint="default" w:ascii="Times New Roman" w:hAnsi="Times New Roman" w:eastAsia="宋体" w:cs="Times New Roman"/>
                      <w:bCs/>
                      <w:color w:val="auto"/>
                      <w:kern w:val="0"/>
                      <w:sz w:val="21"/>
                      <w:szCs w:val="21"/>
                      <w:highlight w:val="none"/>
                      <w:lang w:val="en-US" w:eastAsia="zh-CN" w:bidi="ar-SA"/>
                    </w:rPr>
                  </w:pPr>
                  <w:r>
                    <w:rPr>
                      <w:rFonts w:hint="default" w:ascii="Times New Roman" w:hAnsi="Times New Roman" w:eastAsia="宋体" w:cs="Times New Roman"/>
                      <w:bCs/>
                      <w:color w:val="auto"/>
                      <w:kern w:val="0"/>
                      <w:szCs w:val="21"/>
                      <w:highlight w:val="none"/>
                    </w:rPr>
                    <w:t>200</w:t>
                  </w:r>
                </w:p>
              </w:tc>
            </w:tr>
          </w:tbl>
          <w:p w14:paraId="0E379F90">
            <w:pPr>
              <w:spacing w:line="360" w:lineRule="auto"/>
              <w:ind w:firstLine="482" w:firstLineChars="200"/>
              <w:contextualSpacing/>
              <w:rPr>
                <w:rFonts w:hint="default" w:ascii="Times New Roman" w:hAnsi="Times New Roman" w:cs="Times New Roman"/>
                <w:b/>
                <w:color w:val="auto"/>
                <w:sz w:val="24"/>
              </w:rPr>
            </w:pPr>
            <w:r>
              <w:rPr>
                <w:rFonts w:hint="default" w:ascii="Times New Roman" w:hAnsi="Times New Roman" w:cs="Times New Roman"/>
                <w:b/>
                <w:color w:val="auto"/>
                <w:sz w:val="24"/>
              </w:rPr>
              <w:t>2、地表水环境质量</w:t>
            </w:r>
          </w:p>
          <w:p w14:paraId="266F030E">
            <w:pPr>
              <w:spacing w:line="360" w:lineRule="auto"/>
              <w:ind w:firstLine="480" w:firstLineChars="200"/>
              <w:contextualSpacing/>
              <w:rPr>
                <w:rFonts w:hint="default" w:ascii="Times New Roman" w:hAnsi="Times New Roman" w:cs="Times New Roman"/>
                <w:bCs/>
                <w:color w:val="auto"/>
                <w:sz w:val="24"/>
              </w:rPr>
            </w:pPr>
            <w:r>
              <w:rPr>
                <w:rFonts w:hint="default" w:ascii="Times New Roman" w:hAnsi="Times New Roman" w:cs="Times New Roman"/>
                <w:bCs/>
                <w:color w:val="auto"/>
                <w:sz w:val="24"/>
              </w:rPr>
              <w:t>地表水执行《地表水环境质量标准》（GB3838-2002）Ⅲ类标准。</w:t>
            </w:r>
          </w:p>
          <w:p w14:paraId="5F87638B">
            <w:pPr>
              <w:keepNext w:val="0"/>
              <w:keepLines w:val="0"/>
              <w:pageBreakBefore w:val="0"/>
              <w:widowControl w:val="0"/>
              <w:kinsoku/>
              <w:wordWrap/>
              <w:overflowPunct/>
              <w:topLinePunct w:val="0"/>
              <w:autoSpaceDE/>
              <w:autoSpaceDN/>
              <w:bidi w:val="0"/>
              <w:adjustRightInd/>
              <w:snapToGrid/>
              <w:spacing w:before="157" w:beforeLines="50" w:line="240" w:lineRule="auto"/>
              <w:contextualSpacing/>
              <w:jc w:val="center"/>
              <w:textAlignment w:val="auto"/>
              <w:rPr>
                <w:rFonts w:hint="default" w:ascii="Times New Roman" w:hAnsi="Times New Roman" w:cs="Times New Roman"/>
                <w:b/>
                <w:color w:val="auto"/>
                <w:szCs w:val="21"/>
              </w:rPr>
            </w:pPr>
            <w:r>
              <w:rPr>
                <w:rFonts w:hint="default" w:ascii="Times New Roman" w:hAnsi="Times New Roman" w:cs="Times New Roman"/>
                <w:b/>
                <w:color w:val="auto"/>
                <w:szCs w:val="21"/>
              </w:rPr>
              <w:t>表</w:t>
            </w:r>
            <w:r>
              <w:rPr>
                <w:rFonts w:hint="eastAsia" w:ascii="Times New Roman" w:hAnsi="Times New Roman" w:cs="Times New Roman"/>
                <w:b/>
                <w:color w:val="auto"/>
                <w:szCs w:val="21"/>
                <w:lang w:val="en-US" w:eastAsia="zh-CN"/>
              </w:rPr>
              <w:t>3</w:t>
            </w:r>
            <w:r>
              <w:rPr>
                <w:rFonts w:hint="default" w:ascii="Times New Roman" w:hAnsi="Times New Roman" w:cs="Times New Roman"/>
                <w:b/>
                <w:color w:val="auto"/>
                <w:szCs w:val="21"/>
              </w:rPr>
              <w:t>-2</w:t>
            </w:r>
            <w:r>
              <w:rPr>
                <w:rFonts w:hint="eastAsia" w:ascii="Times New Roman" w:hAnsi="Times New Roman" w:cs="Times New Roman"/>
                <w:b/>
                <w:color w:val="auto"/>
                <w:szCs w:val="21"/>
                <w:lang w:val="en-US" w:eastAsia="zh-CN"/>
              </w:rPr>
              <w:t xml:space="preserve">   </w:t>
            </w:r>
            <w:r>
              <w:rPr>
                <w:rFonts w:hint="default" w:ascii="Times New Roman" w:hAnsi="Times New Roman" w:cs="Times New Roman"/>
                <w:b/>
                <w:color w:val="auto"/>
                <w:szCs w:val="21"/>
              </w:rPr>
              <w:t>地表水环境质量标准                 单位：mg/L</w:t>
            </w:r>
          </w:p>
          <w:tbl>
            <w:tblPr>
              <w:tblStyle w:val="3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77"/>
              <w:gridCol w:w="1141"/>
              <w:gridCol w:w="1938"/>
              <w:gridCol w:w="1566"/>
              <w:gridCol w:w="1722"/>
            </w:tblGrid>
            <w:tr w14:paraId="36B34B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1042" w:type="pct"/>
                  <w:noWrap w:val="0"/>
                  <w:vAlign w:val="center"/>
                </w:tcPr>
                <w:p w14:paraId="58D975FA">
                  <w:pPr>
                    <w:pStyle w:val="8"/>
                    <w:ind w:firstLine="0" w:firstLineChars="0"/>
                    <w:jc w:val="center"/>
                    <w:rPr>
                      <w:rFonts w:hint="default" w:ascii="Times New Roman" w:hAnsi="Times New Roman" w:cs="Times New Roman"/>
                      <w:b/>
                      <w:color w:val="auto"/>
                    </w:rPr>
                  </w:pPr>
                  <w:r>
                    <w:rPr>
                      <w:rFonts w:hint="default" w:ascii="Times New Roman" w:hAnsi="Times New Roman" w:cs="Times New Roman"/>
                      <w:b/>
                      <w:color w:val="auto"/>
                    </w:rPr>
                    <w:t>项目</w:t>
                  </w:r>
                </w:p>
              </w:tc>
              <w:tc>
                <w:tcPr>
                  <w:tcW w:w="709" w:type="pct"/>
                  <w:noWrap w:val="0"/>
                  <w:vAlign w:val="center"/>
                </w:tcPr>
                <w:p w14:paraId="7D805DBF">
                  <w:pPr>
                    <w:pStyle w:val="8"/>
                    <w:ind w:firstLine="0" w:firstLineChars="0"/>
                    <w:jc w:val="center"/>
                    <w:rPr>
                      <w:rFonts w:hint="default" w:ascii="Times New Roman" w:hAnsi="Times New Roman" w:cs="Times New Roman"/>
                      <w:b/>
                      <w:color w:val="auto"/>
                    </w:rPr>
                  </w:pPr>
                  <w:r>
                    <w:rPr>
                      <w:rFonts w:hint="default" w:ascii="Times New Roman" w:hAnsi="Times New Roman" w:cs="Times New Roman"/>
                      <w:b/>
                      <w:color w:val="auto"/>
                    </w:rPr>
                    <w:t>pH</w:t>
                  </w:r>
                </w:p>
              </w:tc>
              <w:tc>
                <w:tcPr>
                  <w:tcW w:w="1204" w:type="pct"/>
                  <w:noWrap w:val="0"/>
                  <w:vAlign w:val="center"/>
                </w:tcPr>
                <w:p w14:paraId="5D0C222A">
                  <w:pPr>
                    <w:pStyle w:val="8"/>
                    <w:ind w:firstLine="0" w:firstLineChars="0"/>
                    <w:jc w:val="center"/>
                    <w:rPr>
                      <w:rFonts w:hint="default" w:ascii="Times New Roman" w:hAnsi="Times New Roman" w:cs="Times New Roman"/>
                      <w:b/>
                      <w:color w:val="auto"/>
                    </w:rPr>
                  </w:pPr>
                  <w:r>
                    <w:rPr>
                      <w:rFonts w:hint="default" w:ascii="Times New Roman" w:hAnsi="Times New Roman" w:cs="Times New Roman"/>
                      <w:b/>
                      <w:color w:val="auto"/>
                    </w:rPr>
                    <w:t>COD</w:t>
                  </w:r>
                  <w:r>
                    <w:rPr>
                      <w:rFonts w:hint="default" w:ascii="Times New Roman" w:hAnsi="Times New Roman" w:cs="Times New Roman"/>
                      <w:b/>
                      <w:color w:val="auto"/>
                      <w:vertAlign w:val="subscript"/>
                    </w:rPr>
                    <w:t>Cr</w:t>
                  </w:r>
                </w:p>
              </w:tc>
              <w:tc>
                <w:tcPr>
                  <w:tcW w:w="973" w:type="pct"/>
                  <w:noWrap w:val="0"/>
                  <w:vAlign w:val="center"/>
                </w:tcPr>
                <w:p w14:paraId="731806C9">
                  <w:pPr>
                    <w:pStyle w:val="8"/>
                    <w:ind w:firstLine="0" w:firstLineChars="0"/>
                    <w:jc w:val="center"/>
                    <w:rPr>
                      <w:rFonts w:hint="default" w:ascii="Times New Roman" w:hAnsi="Times New Roman" w:cs="Times New Roman"/>
                      <w:b/>
                      <w:color w:val="auto"/>
                    </w:rPr>
                  </w:pPr>
                  <w:r>
                    <w:rPr>
                      <w:rFonts w:hint="default" w:ascii="Times New Roman" w:hAnsi="Times New Roman" w:cs="Times New Roman"/>
                      <w:b/>
                      <w:color w:val="auto"/>
                    </w:rPr>
                    <w:t>BOD</w:t>
                  </w:r>
                  <w:r>
                    <w:rPr>
                      <w:rFonts w:hint="default" w:ascii="Times New Roman" w:hAnsi="Times New Roman" w:cs="Times New Roman"/>
                      <w:b/>
                      <w:color w:val="auto"/>
                      <w:vertAlign w:val="subscript"/>
                    </w:rPr>
                    <w:t>5</w:t>
                  </w:r>
                </w:p>
              </w:tc>
              <w:tc>
                <w:tcPr>
                  <w:tcW w:w="1070" w:type="pct"/>
                  <w:noWrap w:val="0"/>
                  <w:vAlign w:val="center"/>
                </w:tcPr>
                <w:p w14:paraId="3A8D0528">
                  <w:pPr>
                    <w:pStyle w:val="8"/>
                    <w:ind w:firstLine="0" w:firstLineChars="0"/>
                    <w:jc w:val="center"/>
                    <w:rPr>
                      <w:rFonts w:hint="default" w:ascii="Times New Roman" w:hAnsi="Times New Roman" w:cs="Times New Roman"/>
                      <w:b/>
                      <w:color w:val="auto"/>
                    </w:rPr>
                  </w:pPr>
                  <w:r>
                    <w:rPr>
                      <w:rFonts w:hint="default" w:ascii="Times New Roman" w:hAnsi="Times New Roman" w:cs="Times New Roman"/>
                      <w:b/>
                      <w:color w:val="auto"/>
                    </w:rPr>
                    <w:t>石油类</w:t>
                  </w:r>
                </w:p>
              </w:tc>
            </w:tr>
            <w:tr w14:paraId="7A0F16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exact"/>
                <w:jc w:val="center"/>
              </w:trPr>
              <w:tc>
                <w:tcPr>
                  <w:tcW w:w="1042" w:type="pct"/>
                  <w:noWrap w:val="0"/>
                  <w:vAlign w:val="center"/>
                </w:tcPr>
                <w:p w14:paraId="23113551">
                  <w:pPr>
                    <w:pStyle w:val="8"/>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标准值</w:t>
                  </w:r>
                </w:p>
              </w:tc>
              <w:tc>
                <w:tcPr>
                  <w:tcW w:w="709" w:type="pct"/>
                  <w:noWrap w:val="0"/>
                  <w:vAlign w:val="center"/>
                </w:tcPr>
                <w:p w14:paraId="765D09E4">
                  <w:pPr>
                    <w:pStyle w:val="8"/>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6~9</w:t>
                  </w:r>
                </w:p>
              </w:tc>
              <w:tc>
                <w:tcPr>
                  <w:tcW w:w="1204" w:type="pct"/>
                  <w:noWrap w:val="0"/>
                  <w:vAlign w:val="center"/>
                </w:tcPr>
                <w:p w14:paraId="551BFF10">
                  <w:pPr>
                    <w:pStyle w:val="8"/>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20</w:t>
                  </w:r>
                </w:p>
              </w:tc>
              <w:tc>
                <w:tcPr>
                  <w:tcW w:w="973" w:type="pct"/>
                  <w:noWrap w:val="0"/>
                  <w:vAlign w:val="center"/>
                </w:tcPr>
                <w:p w14:paraId="51CF99A4">
                  <w:pPr>
                    <w:pStyle w:val="8"/>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4</w:t>
                  </w:r>
                </w:p>
              </w:tc>
              <w:tc>
                <w:tcPr>
                  <w:tcW w:w="1070" w:type="pct"/>
                  <w:noWrap w:val="0"/>
                  <w:vAlign w:val="center"/>
                </w:tcPr>
                <w:p w14:paraId="3452559B">
                  <w:pPr>
                    <w:pStyle w:val="8"/>
                    <w:ind w:firstLine="0" w:firstLineChars="0"/>
                    <w:jc w:val="center"/>
                    <w:rPr>
                      <w:rFonts w:hint="default" w:ascii="Times New Roman" w:hAnsi="Times New Roman" w:cs="Times New Roman"/>
                      <w:color w:val="auto"/>
                    </w:rPr>
                  </w:pPr>
                  <w:r>
                    <w:rPr>
                      <w:rFonts w:hint="default" w:ascii="Times New Roman" w:hAnsi="Times New Roman" w:cs="Times New Roman"/>
                      <w:color w:val="auto"/>
                    </w:rPr>
                    <w:t>0.05</w:t>
                  </w:r>
                </w:p>
              </w:tc>
            </w:tr>
          </w:tbl>
          <w:p w14:paraId="2C8FAA59">
            <w:pPr>
              <w:keepNext w:val="0"/>
              <w:keepLines w:val="0"/>
              <w:pageBreakBefore w:val="0"/>
              <w:widowControl w:val="0"/>
              <w:kinsoku/>
              <w:wordWrap/>
              <w:overflowPunct/>
              <w:topLinePunct w:val="0"/>
              <w:autoSpaceDE/>
              <w:autoSpaceDN/>
              <w:bidi w:val="0"/>
              <w:adjustRightInd/>
              <w:snapToGrid/>
              <w:spacing w:before="157" w:beforeLines="50" w:line="360" w:lineRule="auto"/>
              <w:ind w:firstLine="482" w:firstLineChars="200"/>
              <w:contextualSpacing/>
              <w:textAlignment w:val="auto"/>
              <w:rPr>
                <w:rFonts w:hint="default" w:ascii="Times New Roman" w:hAnsi="Times New Roman" w:cs="Times New Roman"/>
                <w:b/>
                <w:color w:val="auto"/>
                <w:sz w:val="24"/>
              </w:rPr>
            </w:pPr>
            <w:r>
              <w:rPr>
                <w:rFonts w:hint="default" w:ascii="Times New Roman" w:hAnsi="Times New Roman" w:cs="Times New Roman"/>
                <w:b/>
                <w:color w:val="auto"/>
                <w:sz w:val="24"/>
              </w:rPr>
              <w:t>3、声环境质量</w:t>
            </w:r>
          </w:p>
          <w:p w14:paraId="557B97B2">
            <w:pPr>
              <w:autoSpaceDE w:val="0"/>
              <w:autoSpaceDN w:val="0"/>
              <w:adjustRightInd w:val="0"/>
              <w:spacing w:line="360" w:lineRule="auto"/>
              <w:ind w:firstLine="520"/>
              <w:rPr>
                <w:rFonts w:hint="default" w:ascii="Times New Roman" w:hAnsi="Times New Roman" w:eastAsia="宋体" w:cs="Times New Roman"/>
                <w:b w:val="0"/>
                <w:bCs w:val="0"/>
                <w:color w:val="auto"/>
                <w:sz w:val="24"/>
                <w:lang w:val="en-US" w:eastAsia="zh-CN"/>
              </w:rPr>
            </w:pPr>
            <w:r>
              <w:rPr>
                <w:rFonts w:hint="eastAsia" w:ascii="Times New Roman" w:hAnsi="Times New Roman" w:eastAsia="宋体" w:cs="Times New Roman"/>
                <w:b w:val="0"/>
                <w:bCs w:val="0"/>
                <w:color w:val="auto"/>
                <w:sz w:val="24"/>
                <w:lang w:val="en-US" w:eastAsia="zh-CN"/>
              </w:rPr>
              <w:t>根据环评及其批复文件，本项目所在区域声环境执行《声环境质量标准》（GB3096-2008）中2类标准。</w:t>
            </w:r>
          </w:p>
          <w:p w14:paraId="545B7D5F">
            <w:pPr>
              <w:spacing w:line="360" w:lineRule="auto"/>
              <w:ind w:firstLine="482" w:firstLineChars="200"/>
              <w:rPr>
                <w:rFonts w:hint="eastAsia"/>
                <w:b/>
                <w:bCs/>
                <w:sz w:val="24"/>
                <w:lang w:eastAsia="zh-CN"/>
              </w:rPr>
            </w:pPr>
            <w:r>
              <w:rPr>
                <w:rFonts w:hint="eastAsia"/>
                <w:b/>
                <w:bCs/>
                <w:sz w:val="24"/>
                <w:lang w:val="en-US" w:eastAsia="zh-CN"/>
              </w:rPr>
              <w:t>4</w:t>
            </w:r>
            <w:r>
              <w:rPr>
                <w:rFonts w:hint="eastAsia"/>
                <w:b/>
                <w:bCs/>
                <w:sz w:val="24"/>
                <w:lang w:eastAsia="zh-CN"/>
              </w:rPr>
              <w:t>、生态环境</w:t>
            </w:r>
          </w:p>
          <w:p w14:paraId="1D6D79DF">
            <w:pPr>
              <w:spacing w:line="360" w:lineRule="auto"/>
              <w:ind w:firstLine="480" w:firstLineChars="200"/>
              <w:rPr>
                <w:rFonts w:ascii="Times New Roman" w:hAnsi="Times New Roman" w:eastAsia="宋体" w:cs="Times New Roman"/>
                <w:b/>
                <w:kern w:val="2"/>
                <w:sz w:val="24"/>
                <w:szCs w:val="24"/>
                <w:lang w:val="en-US" w:eastAsia="zh-CN" w:bidi="ar-SA"/>
              </w:rPr>
            </w:pPr>
            <w:r>
              <w:rPr>
                <w:rFonts w:hint="eastAsia"/>
                <w:sz w:val="24"/>
                <w:lang w:eastAsia="zh-CN"/>
              </w:rPr>
              <w:t>生态环境以不减少区域内濒危珍稀动植物和不破坏当地生态系统完整性为标准；水土流失以不改变土壤侵蚀级别为标准并执行《土壤侵蚀分类分级标准》（SL190-2007）相应标准。</w:t>
            </w:r>
          </w:p>
        </w:tc>
      </w:tr>
      <w:tr w14:paraId="691A87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9" w:hRule="atLeast"/>
          <w:jc w:val="center"/>
        </w:trPr>
        <w:tc>
          <w:tcPr>
            <w:tcW w:w="414" w:type="dxa"/>
            <w:vAlign w:val="center"/>
          </w:tcPr>
          <w:p w14:paraId="5BCB274E">
            <w:pPr>
              <w:pStyle w:val="13"/>
              <w:spacing w:after="0" w:line="360" w:lineRule="auto"/>
              <w:ind w:left="0" w:leftChars="0" w:firstLine="0" w:firstLineChars="0"/>
              <w:rPr>
                <w:rFonts w:hint="default" w:eastAsia="宋体"/>
                <w:sz w:val="24"/>
                <w:lang w:val="en-US" w:eastAsia="zh-CN"/>
              </w:rPr>
            </w:pPr>
            <w:r>
              <w:rPr>
                <w:rFonts w:hint="eastAsia"/>
                <w:sz w:val="24"/>
                <w:lang w:val="en-US" w:eastAsia="zh-CN"/>
              </w:rPr>
              <w:t>污染物排放标准</w:t>
            </w:r>
          </w:p>
        </w:tc>
        <w:tc>
          <w:tcPr>
            <w:tcW w:w="8306" w:type="dxa"/>
            <w:shd w:val="clear" w:color="auto" w:fill="auto"/>
            <w:vAlign w:val="center"/>
          </w:tcPr>
          <w:p w14:paraId="5A752670">
            <w:pPr>
              <w:pStyle w:val="13"/>
              <w:spacing w:after="0" w:line="360" w:lineRule="auto"/>
              <w:ind w:left="0" w:leftChars="0" w:firstLine="482" w:firstLineChars="200"/>
              <w:rPr>
                <w:rFonts w:hint="eastAsia"/>
                <w:b/>
                <w:bCs/>
                <w:sz w:val="24"/>
              </w:rPr>
            </w:pPr>
            <w:r>
              <w:rPr>
                <w:rFonts w:hint="eastAsia"/>
                <w:b/>
                <w:bCs/>
                <w:sz w:val="24"/>
              </w:rPr>
              <w:t>1、废水</w:t>
            </w:r>
          </w:p>
          <w:p w14:paraId="2DE7EB41">
            <w:pPr>
              <w:pStyle w:val="13"/>
              <w:spacing w:after="0" w:line="360" w:lineRule="auto"/>
              <w:ind w:left="0" w:leftChars="0" w:firstLine="480" w:firstLineChars="200"/>
              <w:rPr>
                <w:rFonts w:hint="eastAsia"/>
                <w:sz w:val="24"/>
              </w:rPr>
            </w:pPr>
            <w:r>
              <w:rPr>
                <w:rFonts w:hint="eastAsia"/>
                <w:sz w:val="24"/>
              </w:rPr>
              <w:t>本项目施工期生产废水未外排，不设排放标准。</w:t>
            </w:r>
          </w:p>
          <w:p w14:paraId="5FED2A6E">
            <w:pPr>
              <w:pStyle w:val="13"/>
              <w:spacing w:after="0" w:line="360" w:lineRule="auto"/>
              <w:ind w:left="0" w:leftChars="0" w:firstLine="480" w:firstLineChars="200"/>
              <w:rPr>
                <w:rFonts w:hint="eastAsia" w:eastAsia="宋体"/>
                <w:sz w:val="24"/>
                <w:lang w:eastAsia="zh-CN"/>
              </w:rPr>
            </w:pPr>
            <w:r>
              <w:rPr>
                <w:rFonts w:hint="eastAsia" w:hAnsi="宋体"/>
                <w:sz w:val="24"/>
              </w:rPr>
              <w:t>施工期施工人员生活污水依托当地已有的环卫设施进行收集处理；施工废水经隔油沉淀处理后回用，不外排。营运期无废水产生和排放</w:t>
            </w:r>
            <w:r>
              <w:rPr>
                <w:rFonts w:hint="eastAsia"/>
                <w:color w:val="auto"/>
                <w:sz w:val="24"/>
                <w:szCs w:val="24"/>
                <w:lang w:eastAsia="zh-CN"/>
              </w:rPr>
              <w:t>。</w:t>
            </w:r>
          </w:p>
          <w:p w14:paraId="6D791657">
            <w:pPr>
              <w:spacing w:line="360" w:lineRule="auto"/>
              <w:ind w:firstLine="482" w:firstLineChars="200"/>
              <w:jc w:val="both"/>
              <w:rPr>
                <w:rFonts w:hint="default" w:ascii="Times New Roman" w:hAnsi="Times New Roman" w:cs="Times New Roman"/>
                <w:b/>
                <w:color w:val="auto"/>
                <w:szCs w:val="21"/>
              </w:rPr>
            </w:pPr>
            <w:r>
              <w:rPr>
                <w:rFonts w:hint="eastAsia" w:ascii="Times New Roman" w:hAnsi="Times New Roman" w:cs="Times New Roman"/>
                <w:b/>
                <w:color w:val="auto"/>
                <w:sz w:val="24"/>
                <w:lang w:val="en-US" w:eastAsia="zh-CN"/>
              </w:rPr>
              <w:t>2</w:t>
            </w:r>
            <w:r>
              <w:rPr>
                <w:rFonts w:hint="default" w:ascii="Times New Roman" w:hAnsi="Times New Roman" w:cs="Times New Roman"/>
                <w:b/>
                <w:color w:val="auto"/>
                <w:sz w:val="24"/>
              </w:rPr>
              <w:t>、废气</w:t>
            </w:r>
          </w:p>
          <w:p w14:paraId="64FC5AB5">
            <w:pPr>
              <w:spacing w:line="360" w:lineRule="auto"/>
              <w:ind w:firstLine="480" w:firstLineChars="200"/>
              <w:contextualSpacing/>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施工期：废气执行《四川省施工场地扬尘排放标准》（DB51/2682-2020）标准限值要求</w:t>
            </w:r>
            <w:r>
              <w:rPr>
                <w:rFonts w:hint="default" w:ascii="Times New Roman" w:hAnsi="Times New Roman" w:cs="Times New Roman"/>
                <w:color w:val="auto"/>
                <w:sz w:val="24"/>
              </w:rPr>
              <w:t>。</w:t>
            </w:r>
          </w:p>
          <w:p w14:paraId="7DE2B4F2">
            <w:pPr>
              <w:keepNext w:val="0"/>
              <w:keepLines w:val="0"/>
              <w:pageBreakBefore w:val="0"/>
              <w:widowControl w:val="0"/>
              <w:kinsoku/>
              <w:wordWrap/>
              <w:overflowPunct/>
              <w:topLinePunct w:val="0"/>
              <w:autoSpaceDE/>
              <w:autoSpaceDN/>
              <w:bidi w:val="0"/>
              <w:adjustRightInd/>
              <w:snapToGrid/>
              <w:spacing w:before="157" w:beforeLines="50" w:line="240" w:lineRule="auto"/>
              <w:ind w:firstLine="422" w:firstLineChars="200"/>
              <w:contextualSpacing/>
              <w:jc w:val="center"/>
              <w:textAlignment w:val="auto"/>
              <w:rPr>
                <w:rFonts w:hint="default" w:ascii="Times New Roman" w:hAnsi="Times New Roman" w:cs="Times New Roman"/>
                <w:b/>
                <w:color w:val="auto"/>
                <w:szCs w:val="21"/>
              </w:rPr>
            </w:pPr>
            <w:r>
              <w:rPr>
                <w:rFonts w:hint="default" w:ascii="Times New Roman" w:hAnsi="Times New Roman" w:cs="Times New Roman"/>
                <w:b/>
                <w:color w:val="auto"/>
                <w:szCs w:val="21"/>
              </w:rPr>
              <w:t>表</w:t>
            </w:r>
            <w:r>
              <w:rPr>
                <w:rFonts w:hint="eastAsia" w:ascii="Times New Roman" w:hAnsi="Times New Roman" w:cs="Times New Roman"/>
                <w:b/>
                <w:color w:val="auto"/>
                <w:szCs w:val="21"/>
                <w:lang w:val="en-US" w:eastAsia="zh-CN"/>
              </w:rPr>
              <w:t>3</w:t>
            </w:r>
            <w:r>
              <w:rPr>
                <w:rFonts w:hint="default" w:ascii="Times New Roman" w:hAnsi="Times New Roman" w:cs="Times New Roman"/>
                <w:b/>
                <w:color w:val="auto"/>
                <w:szCs w:val="21"/>
              </w:rPr>
              <w:t>-</w:t>
            </w:r>
            <w:r>
              <w:rPr>
                <w:rFonts w:hint="eastAsia" w:cs="Times New Roman"/>
                <w:b/>
                <w:color w:val="auto"/>
                <w:szCs w:val="21"/>
                <w:lang w:val="en-US" w:eastAsia="zh-CN"/>
              </w:rPr>
              <w:t>3</w:t>
            </w:r>
            <w:r>
              <w:rPr>
                <w:rFonts w:hint="eastAsia" w:ascii="Times New Roman" w:hAnsi="Times New Roman" w:cs="Times New Roman"/>
                <w:b/>
                <w:color w:val="auto"/>
                <w:szCs w:val="21"/>
                <w:lang w:val="en-US" w:eastAsia="zh-CN"/>
              </w:rPr>
              <w:t xml:space="preserve">  </w:t>
            </w:r>
            <w:r>
              <w:rPr>
                <w:rFonts w:hint="default" w:ascii="Times New Roman" w:hAnsi="Times New Roman" w:cs="Times New Roman"/>
                <w:b/>
                <w:color w:val="auto"/>
                <w:szCs w:val="21"/>
              </w:rPr>
              <w:t>大气污染物排放标准</w:t>
            </w:r>
          </w:p>
          <w:tbl>
            <w:tblPr>
              <w:tblStyle w:val="3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4"/>
              <w:gridCol w:w="1141"/>
              <w:gridCol w:w="1748"/>
              <w:gridCol w:w="2799"/>
              <w:gridCol w:w="1535"/>
            </w:tblGrid>
            <w:tr w14:paraId="6E1B0F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2" w:type="pct"/>
                  <w:tcBorders>
                    <w:tl2br w:val="nil"/>
                    <w:tr2bl w:val="nil"/>
                  </w:tcBorders>
                  <w:noWrap w:val="0"/>
                  <w:vAlign w:val="center"/>
                </w:tcPr>
                <w:p w14:paraId="32FCA102">
                  <w:pPr>
                    <w:jc w:val="center"/>
                    <w:rPr>
                      <w:rFonts w:hint="eastAsia" w:ascii="Times New Roman" w:hAnsi="Times New Roman" w:eastAsia="宋体" w:cs="Times New Roman"/>
                      <w:b/>
                      <w:bCs/>
                      <w:color w:val="auto"/>
                      <w:sz w:val="21"/>
                      <w:szCs w:val="21"/>
                      <w:lang w:eastAsia="zh-CN"/>
                    </w:rPr>
                  </w:pPr>
                  <w:r>
                    <w:rPr>
                      <w:rFonts w:hint="eastAsia" w:ascii="Times New Roman" w:hAnsi="Times New Roman" w:cs="Times New Roman"/>
                      <w:b/>
                      <w:bCs/>
                      <w:color w:val="auto"/>
                      <w:sz w:val="21"/>
                      <w:szCs w:val="21"/>
                      <w:lang w:val="en-US" w:eastAsia="zh-CN" w:bidi="ar"/>
                    </w:rPr>
                    <w:t>项目</w:t>
                  </w:r>
                </w:p>
              </w:tc>
              <w:tc>
                <w:tcPr>
                  <w:tcW w:w="709" w:type="pct"/>
                  <w:tcBorders>
                    <w:tl2br w:val="nil"/>
                    <w:tr2bl w:val="nil"/>
                  </w:tcBorders>
                  <w:noWrap w:val="0"/>
                  <w:vAlign w:val="center"/>
                </w:tcPr>
                <w:p w14:paraId="13E1CD80">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lang w:bidi="ar"/>
                    </w:rPr>
                    <w:t>污染物</w:t>
                  </w:r>
                </w:p>
              </w:tc>
              <w:tc>
                <w:tcPr>
                  <w:tcW w:w="1086" w:type="pct"/>
                  <w:tcBorders>
                    <w:tl2br w:val="nil"/>
                    <w:tr2bl w:val="nil"/>
                  </w:tcBorders>
                  <w:noWrap w:val="0"/>
                  <w:vAlign w:val="center"/>
                </w:tcPr>
                <w:p w14:paraId="17923A41">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lang w:bidi="ar"/>
                    </w:rPr>
                    <w:t>施工阶段</w:t>
                  </w:r>
                </w:p>
              </w:tc>
              <w:tc>
                <w:tcPr>
                  <w:tcW w:w="1738" w:type="pct"/>
                  <w:tcBorders>
                    <w:tl2br w:val="nil"/>
                    <w:tr2bl w:val="nil"/>
                  </w:tcBorders>
                  <w:noWrap w:val="0"/>
                  <w:vAlign w:val="center"/>
                </w:tcPr>
                <w:p w14:paraId="3E3A6976">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lang w:bidi="ar"/>
                    </w:rPr>
                    <w:t>监测点排放限值（mg/m</w:t>
                  </w:r>
                  <w:r>
                    <w:rPr>
                      <w:rFonts w:hint="default" w:ascii="Times New Roman" w:hAnsi="Times New Roman" w:cs="Times New Roman"/>
                      <w:b/>
                      <w:bCs/>
                      <w:color w:val="auto"/>
                      <w:sz w:val="21"/>
                      <w:szCs w:val="21"/>
                      <w:vertAlign w:val="superscript"/>
                      <w:lang w:bidi="ar"/>
                    </w:rPr>
                    <w:t>3</w:t>
                  </w:r>
                  <w:r>
                    <w:rPr>
                      <w:rFonts w:hint="default" w:ascii="Times New Roman" w:hAnsi="Times New Roman" w:cs="Times New Roman"/>
                      <w:b/>
                      <w:bCs/>
                      <w:color w:val="auto"/>
                      <w:sz w:val="21"/>
                      <w:szCs w:val="21"/>
                      <w:lang w:bidi="ar"/>
                    </w:rPr>
                    <w:t>）</w:t>
                  </w:r>
                </w:p>
              </w:tc>
              <w:tc>
                <w:tcPr>
                  <w:tcW w:w="953" w:type="pct"/>
                  <w:tcBorders>
                    <w:tl2br w:val="nil"/>
                    <w:tr2bl w:val="nil"/>
                  </w:tcBorders>
                  <w:noWrap w:val="0"/>
                  <w:vAlign w:val="center"/>
                </w:tcPr>
                <w:p w14:paraId="3DBBA335">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lang w:bidi="ar"/>
                    </w:rPr>
                    <w:t>监测时间</w:t>
                  </w:r>
                </w:p>
              </w:tc>
            </w:tr>
            <w:tr w14:paraId="4B31CD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2" w:type="pct"/>
                  <w:vMerge w:val="restart"/>
                  <w:tcBorders>
                    <w:tl2br w:val="nil"/>
                    <w:tr2bl w:val="nil"/>
                  </w:tcBorders>
                  <w:noWrap w:val="0"/>
                  <w:vAlign w:val="center"/>
                </w:tcPr>
                <w:p w14:paraId="791EB6A0">
                  <w:pPr>
                    <w:keepNext w:val="0"/>
                    <w:keepLines w:val="0"/>
                    <w:pageBreakBefore w:val="0"/>
                    <w:widowControl w:val="0"/>
                    <w:kinsoku/>
                    <w:wordWrap/>
                    <w:overflowPunct/>
                    <w:topLinePunct w:val="0"/>
                    <w:autoSpaceDE/>
                    <w:autoSpaceDN/>
                    <w:bidi w:val="0"/>
                    <w:adjustRightInd/>
                    <w:snapToGrid/>
                    <w:spacing w:before="157" w:beforeLines="50" w:line="360" w:lineRule="auto"/>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bidi="ar"/>
                    </w:rPr>
                    <w:t>施工期</w:t>
                  </w:r>
                </w:p>
              </w:tc>
              <w:tc>
                <w:tcPr>
                  <w:tcW w:w="709" w:type="pct"/>
                  <w:vMerge w:val="restart"/>
                  <w:tcBorders>
                    <w:tl2br w:val="nil"/>
                    <w:tr2bl w:val="nil"/>
                  </w:tcBorders>
                  <w:noWrap w:val="0"/>
                  <w:vAlign w:val="center"/>
                </w:tcPr>
                <w:p w14:paraId="314F435C">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TSP</w:t>
                  </w:r>
                </w:p>
              </w:tc>
              <w:tc>
                <w:tcPr>
                  <w:tcW w:w="1086" w:type="pct"/>
                  <w:tcBorders>
                    <w:tl2br w:val="nil"/>
                    <w:tr2bl w:val="nil"/>
                  </w:tcBorders>
                  <w:noWrap w:val="0"/>
                  <w:vAlign w:val="center"/>
                </w:tcPr>
                <w:p w14:paraId="75FEE4C7">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拆除过程/土方开挖/土方回填</w:t>
                  </w:r>
                </w:p>
              </w:tc>
              <w:tc>
                <w:tcPr>
                  <w:tcW w:w="1738" w:type="pct"/>
                  <w:tcBorders>
                    <w:tl2br w:val="nil"/>
                    <w:tr2bl w:val="nil"/>
                  </w:tcBorders>
                  <w:noWrap w:val="0"/>
                  <w:vAlign w:val="center"/>
                </w:tcPr>
                <w:p w14:paraId="197A9CD3">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0.60</w:t>
                  </w:r>
                </w:p>
              </w:tc>
              <w:tc>
                <w:tcPr>
                  <w:tcW w:w="953" w:type="pct"/>
                  <w:vMerge w:val="restart"/>
                  <w:tcBorders>
                    <w:tl2br w:val="nil"/>
                    <w:tr2bl w:val="nil"/>
                  </w:tcBorders>
                  <w:noWrap w:val="0"/>
                  <w:vAlign w:val="center"/>
                </w:tcPr>
                <w:p w14:paraId="1EB9E9A3">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自监测起持续15min</w:t>
                  </w:r>
                </w:p>
              </w:tc>
            </w:tr>
            <w:tr w14:paraId="32F7C9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12" w:type="pct"/>
                  <w:vMerge w:val="continue"/>
                  <w:tcBorders>
                    <w:tl2br w:val="nil"/>
                    <w:tr2bl w:val="nil"/>
                  </w:tcBorders>
                  <w:noWrap w:val="0"/>
                  <w:vAlign w:val="center"/>
                </w:tcPr>
                <w:p w14:paraId="0BCEF6B7">
                  <w:pPr>
                    <w:jc w:val="center"/>
                    <w:rPr>
                      <w:rFonts w:hint="default" w:ascii="Times New Roman" w:hAnsi="Times New Roman" w:cs="Times New Roman"/>
                      <w:color w:val="auto"/>
                      <w:sz w:val="21"/>
                      <w:szCs w:val="21"/>
                    </w:rPr>
                  </w:pPr>
                </w:p>
              </w:tc>
              <w:tc>
                <w:tcPr>
                  <w:tcW w:w="709" w:type="pct"/>
                  <w:vMerge w:val="continue"/>
                  <w:tcBorders>
                    <w:tl2br w:val="nil"/>
                    <w:tr2bl w:val="nil"/>
                  </w:tcBorders>
                  <w:noWrap w:val="0"/>
                  <w:vAlign w:val="center"/>
                </w:tcPr>
                <w:p w14:paraId="1F85AD58">
                  <w:pPr>
                    <w:jc w:val="center"/>
                    <w:rPr>
                      <w:rFonts w:hint="default" w:ascii="Times New Roman" w:hAnsi="Times New Roman" w:cs="Times New Roman"/>
                      <w:color w:val="auto"/>
                      <w:sz w:val="21"/>
                      <w:szCs w:val="21"/>
                    </w:rPr>
                  </w:pPr>
                </w:p>
              </w:tc>
              <w:tc>
                <w:tcPr>
                  <w:tcW w:w="1086" w:type="pct"/>
                  <w:tcBorders>
                    <w:tl2br w:val="nil"/>
                    <w:tr2bl w:val="nil"/>
                  </w:tcBorders>
                  <w:noWrap w:val="0"/>
                  <w:vAlign w:val="center"/>
                </w:tcPr>
                <w:p w14:paraId="230086E2">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其他过程阶段</w:t>
                  </w:r>
                </w:p>
              </w:tc>
              <w:tc>
                <w:tcPr>
                  <w:tcW w:w="1738" w:type="pct"/>
                  <w:tcBorders>
                    <w:tl2br w:val="nil"/>
                    <w:tr2bl w:val="nil"/>
                  </w:tcBorders>
                  <w:noWrap w:val="0"/>
                  <w:vAlign w:val="center"/>
                </w:tcPr>
                <w:p w14:paraId="63BC6C7F">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bidi="ar"/>
                    </w:rPr>
                    <w:t>0.25</w:t>
                  </w:r>
                </w:p>
              </w:tc>
              <w:tc>
                <w:tcPr>
                  <w:tcW w:w="953" w:type="pct"/>
                  <w:vMerge w:val="continue"/>
                  <w:tcBorders>
                    <w:tl2br w:val="nil"/>
                    <w:tr2bl w:val="nil"/>
                  </w:tcBorders>
                  <w:noWrap w:val="0"/>
                  <w:vAlign w:val="center"/>
                </w:tcPr>
                <w:p w14:paraId="0C37A229">
                  <w:pPr>
                    <w:jc w:val="center"/>
                    <w:rPr>
                      <w:rFonts w:hint="default" w:ascii="Times New Roman" w:hAnsi="Times New Roman" w:cs="Times New Roman"/>
                      <w:color w:val="auto"/>
                      <w:sz w:val="21"/>
                      <w:szCs w:val="21"/>
                    </w:rPr>
                  </w:pPr>
                </w:p>
              </w:tc>
            </w:tr>
          </w:tbl>
          <w:p w14:paraId="38064A86">
            <w:pPr>
              <w:spacing w:line="360" w:lineRule="auto"/>
              <w:ind w:firstLine="482" w:firstLineChars="200"/>
              <w:contextualSpacing/>
              <w:rPr>
                <w:rFonts w:hint="default" w:ascii="Times New Roman" w:hAnsi="Times New Roman" w:cs="Times New Roman"/>
                <w:b/>
                <w:color w:val="auto"/>
                <w:sz w:val="24"/>
              </w:rPr>
            </w:pPr>
            <w:r>
              <w:rPr>
                <w:rFonts w:hint="default" w:ascii="Times New Roman" w:hAnsi="Times New Roman" w:cs="Times New Roman"/>
                <w:b/>
                <w:color w:val="auto"/>
                <w:sz w:val="24"/>
              </w:rPr>
              <w:t>3、噪声</w:t>
            </w:r>
          </w:p>
          <w:p w14:paraId="7C68B912">
            <w:pPr>
              <w:autoSpaceDE w:val="0"/>
              <w:autoSpaceDN w:val="0"/>
              <w:adjustRightInd w:val="0"/>
              <w:spacing w:line="360" w:lineRule="auto"/>
              <w:ind w:firstLine="520"/>
              <w:rPr>
                <w:rFonts w:hint="eastAsia" w:cs="Times New Roman"/>
                <w:color w:val="auto"/>
                <w:sz w:val="24"/>
                <w:lang w:val="en-US" w:eastAsia="zh-CN"/>
              </w:rPr>
            </w:pPr>
            <w:r>
              <w:rPr>
                <w:rFonts w:hint="default" w:ascii="Times New Roman" w:hAnsi="Times New Roman" w:cs="Times New Roman"/>
                <w:color w:val="auto"/>
                <w:sz w:val="24"/>
              </w:rPr>
              <w:t>施工期噪声排放执行《建筑施工厂界环境噪声排放标准》（GB12523-2011）各阶段标准限制</w:t>
            </w:r>
            <w:r>
              <w:rPr>
                <w:rFonts w:hint="eastAsia" w:cs="Times New Roman"/>
                <w:color w:val="auto"/>
                <w:sz w:val="24"/>
                <w:lang w:val="en-US" w:eastAsia="zh-CN"/>
              </w:rPr>
              <w:t>。</w:t>
            </w:r>
          </w:p>
          <w:p w14:paraId="1C50B308">
            <w:pPr>
              <w:autoSpaceDE w:val="0"/>
              <w:autoSpaceDN w:val="0"/>
              <w:adjustRightInd w:val="0"/>
              <w:spacing w:line="360" w:lineRule="auto"/>
              <w:ind w:firstLine="520"/>
              <w:rPr>
                <w:rFonts w:hint="default" w:ascii="Times New Roman" w:hAnsi="Times New Roman" w:eastAsia="宋体" w:cs="Times New Roman"/>
                <w:color w:val="auto"/>
                <w:sz w:val="24"/>
                <w:lang w:val="zh-CN" w:eastAsia="zh-CN"/>
              </w:rPr>
            </w:pPr>
            <w:r>
              <w:rPr>
                <w:rFonts w:hint="eastAsia" w:ascii="Times New Roman" w:hAnsi="Times New Roman" w:eastAsia="宋体" w:cs="Times New Roman"/>
                <w:color w:val="auto"/>
                <w:sz w:val="24"/>
                <w:lang w:val="en-US" w:eastAsia="zh-CN"/>
              </w:rPr>
              <w:t xml:space="preserve">工程所在区域声环境标准执行情况如下： </w:t>
            </w:r>
          </w:p>
          <w:p w14:paraId="65B2C8D3">
            <w:pPr>
              <w:keepNext w:val="0"/>
              <w:keepLines w:val="0"/>
              <w:pageBreakBefore w:val="0"/>
              <w:widowControl w:val="0"/>
              <w:kinsoku/>
              <w:wordWrap/>
              <w:overflowPunct/>
              <w:topLinePunct w:val="0"/>
              <w:autoSpaceDE/>
              <w:autoSpaceDN/>
              <w:bidi w:val="0"/>
              <w:adjustRightInd/>
              <w:snapToGrid/>
              <w:spacing w:before="157" w:beforeLines="50" w:line="240" w:lineRule="auto"/>
              <w:contextualSpacing/>
              <w:jc w:val="center"/>
              <w:textAlignment w:val="auto"/>
              <w:rPr>
                <w:rFonts w:hint="default" w:ascii="Times New Roman" w:hAnsi="Times New Roman" w:cs="Times New Roman"/>
                <w:b/>
                <w:color w:val="auto"/>
                <w:sz w:val="24"/>
              </w:rPr>
            </w:pPr>
            <w:r>
              <w:rPr>
                <w:rFonts w:hint="default" w:ascii="Times New Roman" w:hAnsi="Times New Roman" w:cs="Times New Roman"/>
                <w:b/>
                <w:color w:val="auto"/>
                <w:szCs w:val="21"/>
              </w:rPr>
              <w:t>表</w:t>
            </w:r>
            <w:r>
              <w:rPr>
                <w:rFonts w:hint="eastAsia" w:ascii="Times New Roman" w:hAnsi="Times New Roman" w:cs="Times New Roman"/>
                <w:b/>
                <w:color w:val="auto"/>
                <w:szCs w:val="21"/>
                <w:lang w:val="en-US" w:eastAsia="zh-CN"/>
              </w:rPr>
              <w:t>3</w:t>
            </w:r>
            <w:r>
              <w:rPr>
                <w:rFonts w:hint="default" w:ascii="Times New Roman" w:hAnsi="Times New Roman" w:cs="Times New Roman"/>
                <w:b/>
                <w:color w:val="auto"/>
                <w:szCs w:val="21"/>
              </w:rPr>
              <w:t>-</w:t>
            </w:r>
            <w:r>
              <w:rPr>
                <w:rFonts w:hint="eastAsia" w:cs="Times New Roman"/>
                <w:b/>
                <w:color w:val="auto"/>
                <w:szCs w:val="21"/>
                <w:lang w:val="en-US" w:eastAsia="zh-CN"/>
              </w:rPr>
              <w:t>4</w:t>
            </w:r>
            <w:r>
              <w:rPr>
                <w:rFonts w:hint="eastAsia" w:ascii="Times New Roman" w:hAnsi="Times New Roman" w:cs="Times New Roman"/>
                <w:b/>
                <w:color w:val="auto"/>
                <w:szCs w:val="21"/>
                <w:lang w:val="en-US" w:eastAsia="zh-CN"/>
              </w:rPr>
              <w:t xml:space="preserve">   </w:t>
            </w:r>
            <w:r>
              <w:rPr>
                <w:rFonts w:hint="default" w:ascii="Times New Roman" w:hAnsi="Times New Roman" w:cs="Times New Roman"/>
                <w:b/>
                <w:color w:val="auto"/>
                <w:szCs w:val="21"/>
              </w:rPr>
              <w:t xml:space="preserve">  建筑施工厂界环境噪声排放限值</w:t>
            </w:r>
          </w:p>
          <w:tbl>
            <w:tblPr>
              <w:tblStyle w:val="3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82"/>
              <w:gridCol w:w="2679"/>
              <w:gridCol w:w="2683"/>
            </w:tblGrid>
            <w:tr w14:paraId="77C80B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7" w:type="pct"/>
                  <w:noWrap w:val="0"/>
                  <w:vAlign w:val="center"/>
                </w:tcPr>
                <w:p w14:paraId="0AC2C475">
                  <w:pPr>
                    <w:widowControl/>
                    <w:jc w:val="center"/>
                    <w:rPr>
                      <w:rFonts w:hint="default" w:ascii="Times New Roman" w:hAnsi="Times New Roman" w:cs="Times New Roman"/>
                      <w:b/>
                      <w:color w:val="auto"/>
                      <w:szCs w:val="21"/>
                    </w:rPr>
                  </w:pPr>
                  <w:r>
                    <w:rPr>
                      <w:rFonts w:hint="default" w:ascii="Times New Roman" w:hAnsi="Times New Roman" w:cs="Times New Roman"/>
                      <w:b/>
                      <w:color w:val="auto"/>
                      <w:szCs w:val="21"/>
                    </w:rPr>
                    <w:t>单位</w:t>
                  </w:r>
                </w:p>
              </w:tc>
              <w:tc>
                <w:tcPr>
                  <w:tcW w:w="1665" w:type="pct"/>
                  <w:noWrap w:val="0"/>
                  <w:vAlign w:val="center"/>
                </w:tcPr>
                <w:p w14:paraId="77D9CE82">
                  <w:pPr>
                    <w:widowControl/>
                    <w:jc w:val="center"/>
                    <w:rPr>
                      <w:rFonts w:hint="default" w:ascii="Times New Roman" w:hAnsi="Times New Roman" w:cs="Times New Roman"/>
                      <w:color w:val="auto"/>
                    </w:rPr>
                  </w:pPr>
                  <w:r>
                    <w:rPr>
                      <w:rFonts w:hint="default" w:ascii="Times New Roman" w:hAnsi="Times New Roman" w:cs="Times New Roman"/>
                      <w:b/>
                      <w:color w:val="auto"/>
                      <w:szCs w:val="21"/>
                    </w:rPr>
                    <w:t>昼间</w:t>
                  </w:r>
                </w:p>
              </w:tc>
              <w:tc>
                <w:tcPr>
                  <w:tcW w:w="1667" w:type="pct"/>
                  <w:noWrap w:val="0"/>
                  <w:vAlign w:val="center"/>
                </w:tcPr>
                <w:p w14:paraId="7FD5A271">
                  <w:pPr>
                    <w:widowControl/>
                    <w:jc w:val="center"/>
                    <w:rPr>
                      <w:rFonts w:hint="default" w:ascii="Times New Roman" w:hAnsi="Times New Roman" w:cs="Times New Roman"/>
                      <w:color w:val="auto"/>
                    </w:rPr>
                  </w:pPr>
                  <w:r>
                    <w:rPr>
                      <w:rFonts w:hint="default" w:ascii="Times New Roman" w:hAnsi="Times New Roman" w:cs="Times New Roman"/>
                      <w:b/>
                      <w:color w:val="auto"/>
                      <w:szCs w:val="21"/>
                    </w:rPr>
                    <w:t>夜间</w:t>
                  </w:r>
                </w:p>
              </w:tc>
            </w:tr>
            <w:tr w14:paraId="61BCB8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67" w:type="pct"/>
                  <w:noWrap w:val="0"/>
                  <w:vAlign w:val="center"/>
                </w:tcPr>
                <w:p w14:paraId="7CDE8DD3">
                  <w:pPr>
                    <w:widowControl/>
                    <w:jc w:val="center"/>
                    <w:rPr>
                      <w:rFonts w:hint="default" w:ascii="Times New Roman" w:hAnsi="Times New Roman" w:cs="Times New Roman"/>
                      <w:color w:val="auto"/>
                      <w:szCs w:val="21"/>
                    </w:rPr>
                  </w:pPr>
                  <w:r>
                    <w:rPr>
                      <w:rFonts w:hint="default" w:ascii="Times New Roman" w:hAnsi="Times New Roman" w:cs="Times New Roman"/>
                      <w:color w:val="auto"/>
                      <w:szCs w:val="21"/>
                    </w:rPr>
                    <w:t>dB（A）</w:t>
                  </w:r>
                </w:p>
              </w:tc>
              <w:tc>
                <w:tcPr>
                  <w:tcW w:w="1665" w:type="pct"/>
                  <w:noWrap w:val="0"/>
                  <w:vAlign w:val="center"/>
                </w:tcPr>
                <w:p w14:paraId="48C216ED">
                  <w:pPr>
                    <w:widowControl/>
                    <w:jc w:val="center"/>
                    <w:rPr>
                      <w:rFonts w:hint="default" w:ascii="Times New Roman" w:hAnsi="Times New Roman" w:cs="Times New Roman"/>
                      <w:color w:val="auto"/>
                    </w:rPr>
                  </w:pPr>
                  <w:r>
                    <w:rPr>
                      <w:rFonts w:hint="default" w:ascii="Times New Roman" w:hAnsi="Times New Roman" w:cs="Times New Roman"/>
                      <w:color w:val="auto"/>
                      <w:szCs w:val="21"/>
                    </w:rPr>
                    <w:t>70</w:t>
                  </w:r>
                </w:p>
              </w:tc>
              <w:tc>
                <w:tcPr>
                  <w:tcW w:w="1667" w:type="pct"/>
                  <w:noWrap w:val="0"/>
                  <w:vAlign w:val="center"/>
                </w:tcPr>
                <w:p w14:paraId="42EE5B71">
                  <w:pPr>
                    <w:widowControl/>
                    <w:jc w:val="center"/>
                    <w:rPr>
                      <w:rFonts w:hint="default" w:ascii="Times New Roman" w:hAnsi="Times New Roman" w:cs="Times New Roman"/>
                      <w:color w:val="auto"/>
                    </w:rPr>
                  </w:pPr>
                  <w:r>
                    <w:rPr>
                      <w:rFonts w:hint="default" w:ascii="Times New Roman" w:hAnsi="Times New Roman" w:cs="Times New Roman"/>
                      <w:color w:val="auto"/>
                      <w:szCs w:val="21"/>
                    </w:rPr>
                    <w:t>55</w:t>
                  </w:r>
                </w:p>
              </w:tc>
            </w:tr>
          </w:tbl>
          <w:p w14:paraId="2A42AACB">
            <w:pPr>
              <w:spacing w:line="360" w:lineRule="auto"/>
              <w:ind w:firstLine="482" w:firstLineChars="200"/>
              <w:contextualSpacing/>
              <w:rPr>
                <w:rFonts w:hint="default" w:ascii="Times New Roman" w:hAnsi="Times New Roman" w:cs="Times New Roman"/>
                <w:b/>
                <w:color w:val="auto"/>
                <w:sz w:val="24"/>
              </w:rPr>
            </w:pPr>
            <w:r>
              <w:rPr>
                <w:rFonts w:hint="default" w:ascii="Times New Roman" w:hAnsi="Times New Roman" w:cs="Times New Roman"/>
                <w:b/>
                <w:color w:val="auto"/>
                <w:sz w:val="24"/>
              </w:rPr>
              <w:t>4、固体废弃物</w:t>
            </w:r>
          </w:p>
          <w:p w14:paraId="56A77611">
            <w:pPr>
              <w:spacing w:line="360" w:lineRule="auto"/>
              <w:ind w:firstLine="480" w:firstLineChars="200"/>
              <w:contextualSpacing/>
              <w:rPr>
                <w:rFonts w:ascii="Times New Roman" w:hAnsi="Times New Roman" w:eastAsia="宋体" w:cs="Times New Roman"/>
                <w:kern w:val="2"/>
                <w:sz w:val="24"/>
                <w:szCs w:val="24"/>
                <w:lang w:val="en-US" w:eastAsia="zh-CN" w:bidi="ar-SA"/>
              </w:rPr>
            </w:pPr>
            <w:r>
              <w:rPr>
                <w:rFonts w:hint="eastAsia" w:hAnsi="宋体"/>
                <w:sz w:val="24"/>
              </w:rPr>
              <w:t>施工期一般固废执行《一般工业固体废物贮存和填埋污染控制标准》（GB18599－2020）</w:t>
            </w:r>
            <w:r>
              <w:rPr>
                <w:rFonts w:hint="eastAsia" w:hAnsi="宋体"/>
                <w:sz w:val="24"/>
                <w:lang w:eastAsia="zh-CN"/>
              </w:rPr>
              <w:t>。</w:t>
            </w:r>
          </w:p>
        </w:tc>
      </w:tr>
      <w:tr w14:paraId="764F99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9" w:hRule="atLeast"/>
          <w:jc w:val="center"/>
        </w:trPr>
        <w:tc>
          <w:tcPr>
            <w:tcW w:w="414" w:type="dxa"/>
            <w:vAlign w:val="center"/>
          </w:tcPr>
          <w:p w14:paraId="4A9D67B0">
            <w:pPr>
              <w:pStyle w:val="13"/>
              <w:spacing w:after="0" w:line="360" w:lineRule="auto"/>
              <w:ind w:left="0" w:leftChars="0" w:firstLine="0" w:firstLineChars="0"/>
              <w:rPr>
                <w:rFonts w:hint="eastAsia"/>
                <w:b/>
                <w:bCs/>
                <w:sz w:val="24"/>
                <w:lang w:val="en-US" w:eastAsia="zh-CN"/>
              </w:rPr>
            </w:pPr>
          </w:p>
          <w:p w14:paraId="08F9E0CA">
            <w:pPr>
              <w:pStyle w:val="13"/>
              <w:spacing w:after="0" w:line="360" w:lineRule="auto"/>
              <w:ind w:left="0" w:leftChars="0" w:firstLine="0" w:firstLineChars="0"/>
              <w:rPr>
                <w:rFonts w:hint="eastAsia"/>
                <w:b/>
                <w:bCs/>
                <w:sz w:val="24"/>
                <w:lang w:val="en-US" w:eastAsia="zh-CN"/>
              </w:rPr>
            </w:pPr>
          </w:p>
          <w:p w14:paraId="5FA5ABCE">
            <w:pPr>
              <w:pStyle w:val="13"/>
              <w:spacing w:after="0" w:line="360" w:lineRule="auto"/>
              <w:ind w:left="0" w:leftChars="0" w:firstLine="0" w:firstLineChars="0"/>
              <w:rPr>
                <w:rFonts w:hint="eastAsia"/>
                <w:b/>
                <w:bCs/>
                <w:sz w:val="24"/>
                <w:lang w:val="en-US" w:eastAsia="zh-CN"/>
              </w:rPr>
            </w:pPr>
            <w:r>
              <w:rPr>
                <w:rFonts w:hint="eastAsia"/>
                <w:b/>
                <w:bCs/>
                <w:sz w:val="24"/>
                <w:lang w:val="en-US" w:eastAsia="zh-CN"/>
              </w:rPr>
              <w:t>总量控制指标</w:t>
            </w:r>
          </w:p>
          <w:p w14:paraId="5E1D04C3">
            <w:pPr>
              <w:pStyle w:val="13"/>
              <w:spacing w:after="0" w:line="360" w:lineRule="auto"/>
              <w:ind w:left="0" w:leftChars="0" w:firstLine="0" w:firstLineChars="0"/>
              <w:rPr>
                <w:rFonts w:hint="eastAsia"/>
                <w:b/>
                <w:bCs/>
                <w:sz w:val="24"/>
                <w:lang w:val="en-US" w:eastAsia="zh-CN"/>
              </w:rPr>
            </w:pPr>
          </w:p>
          <w:p w14:paraId="7C0FA58C">
            <w:pPr>
              <w:pStyle w:val="13"/>
              <w:spacing w:after="0" w:line="360" w:lineRule="auto"/>
              <w:ind w:left="0" w:leftChars="0" w:firstLine="0" w:firstLineChars="0"/>
              <w:rPr>
                <w:rFonts w:hint="default"/>
                <w:b/>
                <w:bCs/>
                <w:sz w:val="24"/>
                <w:lang w:val="en-US" w:eastAsia="zh-CN"/>
              </w:rPr>
            </w:pPr>
          </w:p>
        </w:tc>
        <w:tc>
          <w:tcPr>
            <w:tcW w:w="8306" w:type="dxa"/>
            <w:shd w:val="clear" w:color="auto" w:fill="auto"/>
            <w:vAlign w:val="center"/>
          </w:tcPr>
          <w:p w14:paraId="5789E555">
            <w:pPr>
              <w:pStyle w:val="13"/>
              <w:spacing w:after="0" w:line="360" w:lineRule="auto"/>
              <w:ind w:left="0" w:leftChars="0" w:firstLine="240" w:firstLineChars="100"/>
              <w:rPr>
                <w:rFonts w:hint="eastAsia" w:ascii="Times New Roman" w:hAnsi="Times New Roman" w:eastAsia="宋体" w:cs="Times New Roman"/>
                <w:kern w:val="2"/>
                <w:sz w:val="24"/>
                <w:szCs w:val="24"/>
                <w:lang w:val="en-US" w:eastAsia="zh-CN" w:bidi="ar-SA"/>
              </w:rPr>
            </w:pPr>
          </w:p>
          <w:p w14:paraId="6C81BB7D">
            <w:pPr>
              <w:pStyle w:val="13"/>
              <w:spacing w:after="0" w:line="360" w:lineRule="auto"/>
              <w:ind w:left="0" w:leftChars="0" w:firstLine="240" w:firstLineChars="100"/>
              <w:rPr>
                <w:rFonts w:hint="eastAsia" w:ascii="Times New Roman" w:hAnsi="Times New Roman" w:eastAsia="宋体" w:cs="Times New Roman"/>
                <w:kern w:val="2"/>
                <w:sz w:val="24"/>
                <w:szCs w:val="24"/>
                <w:lang w:val="en-US" w:eastAsia="zh-CN" w:bidi="ar-SA"/>
              </w:rPr>
            </w:pPr>
          </w:p>
          <w:p w14:paraId="71389C2A">
            <w:pPr>
              <w:pStyle w:val="13"/>
              <w:spacing w:after="0" w:line="360" w:lineRule="auto"/>
              <w:ind w:left="0" w:leftChars="0" w:firstLine="240" w:firstLineChars="100"/>
              <w:rPr>
                <w:rFonts w:hint="eastAsia" w:cs="Times New Roman"/>
                <w:kern w:val="2"/>
                <w:sz w:val="24"/>
                <w:szCs w:val="24"/>
                <w:lang w:val="en-US" w:eastAsia="zh-CN" w:bidi="ar-SA"/>
              </w:rPr>
            </w:pPr>
            <w:r>
              <w:rPr>
                <w:rFonts w:hint="eastAsia" w:ascii="Times New Roman" w:hAnsi="Times New Roman" w:eastAsia="宋体" w:cs="Times New Roman"/>
                <w:kern w:val="2"/>
                <w:sz w:val="24"/>
                <w:szCs w:val="24"/>
                <w:lang w:val="en-US" w:eastAsia="zh-CN" w:bidi="ar-SA"/>
              </w:rPr>
              <w:t>本项目为生态影响型项目，不涉及总量控制指标</w:t>
            </w:r>
            <w:r>
              <w:rPr>
                <w:rFonts w:hint="eastAsia" w:cs="Times New Roman"/>
                <w:kern w:val="2"/>
                <w:sz w:val="24"/>
                <w:szCs w:val="24"/>
                <w:lang w:val="en-US" w:eastAsia="zh-CN" w:bidi="ar-SA"/>
              </w:rPr>
              <w:t>。</w:t>
            </w:r>
          </w:p>
          <w:p w14:paraId="42E0CCB8">
            <w:pPr>
              <w:pStyle w:val="13"/>
              <w:spacing w:after="0" w:line="360" w:lineRule="auto"/>
              <w:ind w:left="0" w:leftChars="0" w:firstLine="240" w:firstLineChars="100"/>
              <w:rPr>
                <w:rFonts w:hint="eastAsia" w:cs="Times New Roman"/>
                <w:kern w:val="2"/>
                <w:sz w:val="24"/>
                <w:szCs w:val="24"/>
                <w:lang w:val="en-US" w:eastAsia="zh-CN" w:bidi="ar-SA"/>
              </w:rPr>
            </w:pPr>
          </w:p>
          <w:p w14:paraId="121B1E34">
            <w:pPr>
              <w:pStyle w:val="13"/>
              <w:spacing w:after="0" w:line="360" w:lineRule="auto"/>
              <w:ind w:left="0" w:leftChars="0" w:firstLine="240" w:firstLineChars="100"/>
              <w:rPr>
                <w:rFonts w:hint="eastAsia" w:cs="Times New Roman"/>
                <w:kern w:val="2"/>
                <w:sz w:val="24"/>
                <w:szCs w:val="24"/>
                <w:lang w:val="en-US" w:eastAsia="zh-CN" w:bidi="ar-SA"/>
              </w:rPr>
            </w:pPr>
          </w:p>
        </w:tc>
      </w:tr>
    </w:tbl>
    <w:p w14:paraId="3F7E48BE">
      <w:pPr>
        <w:spacing w:line="360" w:lineRule="auto"/>
        <w:ind w:firstLine="281"/>
        <w:outlineLvl w:val="0"/>
        <w:rPr>
          <w:b/>
          <w:sz w:val="28"/>
        </w:rPr>
      </w:pPr>
      <w:bookmarkStart w:id="125" w:name="_Toc15348"/>
      <w:r>
        <w:rPr>
          <w:b/>
          <w:sz w:val="28"/>
        </w:rPr>
        <w:t>表四、建设项目概况</w:t>
      </w:r>
      <w:bookmarkEnd w:id="125"/>
    </w:p>
    <w:tbl>
      <w:tblPr>
        <w:tblStyle w:val="33"/>
        <w:tblW w:w="87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28"/>
        <w:gridCol w:w="7692"/>
      </w:tblGrid>
      <w:tr w14:paraId="6A3DE3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895" w:type="dxa"/>
            <w:vAlign w:val="center"/>
          </w:tcPr>
          <w:p w14:paraId="333A75AE">
            <w:pPr>
              <w:spacing w:line="240" w:lineRule="auto"/>
              <w:rPr>
                <w:rFonts w:hint="default" w:eastAsia="宋体"/>
                <w:bCs/>
                <w:sz w:val="24"/>
                <w:lang w:val="en-US" w:eastAsia="zh-CN"/>
              </w:rPr>
            </w:pPr>
            <w:r>
              <w:rPr>
                <w:rFonts w:hint="eastAsia"/>
                <w:bCs/>
                <w:sz w:val="24"/>
                <w:lang w:val="en-US" w:eastAsia="zh-CN"/>
              </w:rPr>
              <w:t>项目名称</w:t>
            </w:r>
          </w:p>
        </w:tc>
        <w:tc>
          <w:tcPr>
            <w:tcW w:w="7825" w:type="dxa"/>
            <w:vAlign w:val="center"/>
          </w:tcPr>
          <w:p w14:paraId="0118BD57">
            <w:pPr>
              <w:spacing w:line="360" w:lineRule="auto"/>
              <w:ind w:firstLine="360" w:firstLineChars="150"/>
              <w:rPr>
                <w:sz w:val="24"/>
                <w:szCs w:val="24"/>
              </w:rPr>
            </w:pPr>
            <w:r>
              <w:rPr>
                <w:rFonts w:hint="eastAsia"/>
                <w:sz w:val="24"/>
                <w:szCs w:val="24"/>
              </w:rPr>
              <w:t>四川省金堂县资水河防洪治理工程（二期）</w:t>
            </w:r>
          </w:p>
        </w:tc>
      </w:tr>
      <w:tr w14:paraId="51D8E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4" w:hRule="atLeast"/>
          <w:jc w:val="center"/>
        </w:trPr>
        <w:tc>
          <w:tcPr>
            <w:tcW w:w="895" w:type="dxa"/>
            <w:vAlign w:val="center"/>
          </w:tcPr>
          <w:p w14:paraId="1D7BF767">
            <w:pPr>
              <w:spacing w:line="360" w:lineRule="auto"/>
              <w:rPr>
                <w:rFonts w:hint="default"/>
                <w:bCs/>
                <w:sz w:val="24"/>
                <w:lang w:val="en-US" w:eastAsia="zh-CN"/>
              </w:rPr>
            </w:pPr>
            <w:bookmarkStart w:id="126" w:name="_Toc165483442"/>
            <w:r>
              <w:rPr>
                <w:rFonts w:hint="eastAsia"/>
                <w:bCs/>
                <w:sz w:val="24"/>
                <w:lang w:val="en-US" w:eastAsia="zh-CN"/>
              </w:rPr>
              <w:t>项目地理位置</w:t>
            </w:r>
          </w:p>
        </w:tc>
        <w:tc>
          <w:tcPr>
            <w:tcW w:w="7825" w:type="dxa"/>
            <w:vAlign w:val="center"/>
          </w:tcPr>
          <w:p w14:paraId="68D9C5A6">
            <w:pPr>
              <w:spacing w:line="360" w:lineRule="auto"/>
              <w:ind w:firstLine="360" w:firstLineChars="150"/>
              <w:rPr>
                <w:bCs/>
                <w:sz w:val="24"/>
              </w:rPr>
            </w:pPr>
            <w:r>
              <w:rPr>
                <w:sz w:val="24"/>
                <w:szCs w:val="24"/>
              </w:rPr>
              <w:t>四川省成都市金堂县转龙镇和竹篙镇。</w:t>
            </w:r>
          </w:p>
          <w:p w14:paraId="065F80BB">
            <w:pPr>
              <w:spacing w:line="360" w:lineRule="auto"/>
              <w:ind w:firstLine="360" w:firstLineChars="150"/>
              <w:rPr>
                <w:rFonts w:hint="eastAsia"/>
                <w:sz w:val="24"/>
                <w:szCs w:val="24"/>
                <w:lang w:eastAsia="zh-CN"/>
              </w:rPr>
            </w:pPr>
            <w:r>
              <w:rPr>
                <w:rFonts w:hint="eastAsia"/>
                <w:sz w:val="24"/>
                <w:szCs w:val="24"/>
              </w:rPr>
              <w:t>四川省金堂县资水河防洪治理工程（二期）位于资水河中上游、金堂县东南部，从上游至下游涉及金堂县转龙镇和竹篙镇，起点为转龙镇彭家沟石河堰上游300m处（坐标：东经104°44′0.4″，北纬30°41′23.4″），终点位于资水河广兴河汇口以上120m处（坐标：东经104°46′14.6″，北纬30°37′26.3″）</w:t>
            </w:r>
            <w:r>
              <w:rPr>
                <w:rFonts w:hint="eastAsia"/>
                <w:sz w:val="24"/>
                <w:szCs w:val="24"/>
                <w:lang w:eastAsia="zh-CN"/>
              </w:rPr>
              <w:t>。</w:t>
            </w:r>
          </w:p>
          <w:p w14:paraId="749AF37B">
            <w:pPr>
              <w:spacing w:line="360" w:lineRule="auto"/>
              <w:ind w:firstLine="360" w:firstLineChars="150"/>
              <w:rPr>
                <w:sz w:val="24"/>
                <w:szCs w:val="24"/>
              </w:rPr>
            </w:pPr>
            <w:r>
              <w:rPr>
                <w:sz w:val="24"/>
                <w:szCs w:val="24"/>
              </w:rPr>
              <w:t>项目地理位置见附图1。</w:t>
            </w:r>
          </w:p>
        </w:tc>
      </w:tr>
      <w:tr w14:paraId="3D337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8720" w:type="dxa"/>
            <w:gridSpan w:val="2"/>
          </w:tcPr>
          <w:p w14:paraId="67AE282C">
            <w:pPr>
              <w:spacing w:line="360" w:lineRule="auto"/>
              <w:outlineLvl w:val="0"/>
              <w:rPr>
                <w:b/>
                <w:sz w:val="24"/>
                <w:szCs w:val="24"/>
              </w:rPr>
            </w:pPr>
            <w:bookmarkStart w:id="127" w:name="_Toc6423"/>
            <w:r>
              <w:rPr>
                <w:rFonts w:hint="eastAsia"/>
                <w:b/>
                <w:sz w:val="24"/>
                <w:szCs w:val="24"/>
                <w:lang w:val="en-US" w:eastAsia="zh-CN"/>
              </w:rPr>
              <w:t>1、</w:t>
            </w:r>
            <w:r>
              <w:rPr>
                <w:b/>
                <w:sz w:val="24"/>
                <w:szCs w:val="24"/>
              </w:rPr>
              <w:t>主要建设内容及规模</w:t>
            </w:r>
            <w:bookmarkEnd w:id="126"/>
            <w:bookmarkEnd w:id="127"/>
          </w:p>
          <w:p w14:paraId="1F4820CA">
            <w:pPr>
              <w:spacing w:line="360" w:lineRule="auto"/>
              <w:ind w:firstLine="480" w:firstLineChars="200"/>
              <w:rPr>
                <w:sz w:val="24"/>
              </w:rPr>
            </w:pPr>
            <w:r>
              <w:rPr>
                <w:sz w:val="24"/>
                <w:szCs w:val="24"/>
              </w:rPr>
              <w:t>项目</w:t>
            </w:r>
            <w:r>
              <w:rPr>
                <w:sz w:val="24"/>
              </w:rPr>
              <w:t>环评规模及实际规模对照表见表4-1。</w:t>
            </w:r>
          </w:p>
          <w:p w14:paraId="57C58BE3">
            <w:pPr>
              <w:ind w:firstLine="211"/>
              <w:jc w:val="center"/>
              <w:rPr>
                <w:b/>
                <w:bCs/>
              </w:rPr>
            </w:pPr>
            <w:r>
              <w:rPr>
                <w:b/>
                <w:bCs/>
              </w:rPr>
              <w:t xml:space="preserve">表4-1  </w:t>
            </w:r>
            <w:r>
              <w:rPr>
                <w:rFonts w:hint="eastAsia"/>
                <w:b/>
                <w:bCs/>
                <w:lang w:val="en-US" w:eastAsia="zh-CN"/>
              </w:rPr>
              <w:t xml:space="preserve"> </w:t>
            </w:r>
            <w:r>
              <w:rPr>
                <w:b/>
                <w:bCs/>
              </w:rPr>
              <w:t>工程环评规模及</w:t>
            </w:r>
            <w:r>
              <w:rPr>
                <w:rFonts w:hint="eastAsia"/>
                <w:b/>
                <w:bCs/>
                <w:lang w:val="en-US" w:eastAsia="zh-CN"/>
              </w:rPr>
              <w:t>验收</w:t>
            </w:r>
            <w:r>
              <w:rPr>
                <w:b/>
                <w:bCs/>
              </w:rPr>
              <w:t>实际情况对照表</w:t>
            </w:r>
          </w:p>
          <w:tbl>
            <w:tblPr>
              <w:tblStyle w:val="33"/>
              <w:tblW w:w="849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85" w:type="dxa"/>
                <w:bottom w:w="0" w:type="dxa"/>
                <w:right w:w="85" w:type="dxa"/>
              </w:tblCellMar>
            </w:tblPr>
            <w:tblGrid>
              <w:gridCol w:w="421"/>
              <w:gridCol w:w="3827"/>
              <w:gridCol w:w="3029"/>
              <w:gridCol w:w="1217"/>
            </w:tblGrid>
            <w:tr w14:paraId="5261B8F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85" w:type="dxa"/>
                  <w:bottom w:w="0" w:type="dxa"/>
                  <w:right w:w="85" w:type="dxa"/>
                </w:tblCellMar>
              </w:tblPrEx>
              <w:trPr>
                <w:jc w:val="center"/>
              </w:trPr>
              <w:tc>
                <w:tcPr>
                  <w:tcW w:w="421" w:type="dxa"/>
                  <w:tcBorders>
                    <w:top w:val="single" w:color="auto" w:sz="12" w:space="0"/>
                  </w:tcBorders>
                  <w:vAlign w:val="center"/>
                </w:tcPr>
                <w:p w14:paraId="458EA714">
                  <w:pPr>
                    <w:ind w:left="-63" w:leftChars="-30" w:right="-63" w:rightChars="-30"/>
                    <w:jc w:val="center"/>
                    <w:rPr>
                      <w:szCs w:val="21"/>
                    </w:rPr>
                  </w:pPr>
                  <w:r>
                    <w:rPr>
                      <w:szCs w:val="21"/>
                    </w:rPr>
                    <w:t>序号</w:t>
                  </w:r>
                </w:p>
              </w:tc>
              <w:tc>
                <w:tcPr>
                  <w:tcW w:w="3827" w:type="dxa"/>
                  <w:tcBorders>
                    <w:top w:val="single" w:color="auto" w:sz="12" w:space="0"/>
                  </w:tcBorders>
                  <w:vAlign w:val="center"/>
                </w:tcPr>
                <w:p w14:paraId="0610C894">
                  <w:pPr>
                    <w:ind w:left="-63" w:leftChars="-30" w:right="-63" w:rightChars="-30"/>
                    <w:jc w:val="center"/>
                    <w:rPr>
                      <w:szCs w:val="21"/>
                    </w:rPr>
                  </w:pPr>
                  <w:r>
                    <w:rPr>
                      <w:szCs w:val="21"/>
                    </w:rPr>
                    <w:t>环评内容及规模</w:t>
                  </w:r>
                </w:p>
              </w:tc>
              <w:tc>
                <w:tcPr>
                  <w:tcW w:w="3029" w:type="dxa"/>
                  <w:tcBorders>
                    <w:top w:val="single" w:color="auto" w:sz="12" w:space="0"/>
                  </w:tcBorders>
                  <w:vAlign w:val="center"/>
                </w:tcPr>
                <w:p w14:paraId="25ECAF76">
                  <w:pPr>
                    <w:ind w:left="-63" w:leftChars="-30" w:right="-63" w:rightChars="-30"/>
                    <w:jc w:val="center"/>
                    <w:rPr>
                      <w:szCs w:val="21"/>
                    </w:rPr>
                  </w:pPr>
                  <w:r>
                    <w:rPr>
                      <w:szCs w:val="21"/>
                    </w:rPr>
                    <w:t>实际内容及规模</w:t>
                  </w:r>
                </w:p>
              </w:tc>
              <w:tc>
                <w:tcPr>
                  <w:tcW w:w="1217" w:type="dxa"/>
                  <w:tcBorders>
                    <w:top w:val="single" w:color="auto" w:sz="12" w:space="0"/>
                  </w:tcBorders>
                  <w:vAlign w:val="center"/>
                </w:tcPr>
                <w:p w14:paraId="76B6AC71">
                  <w:pPr>
                    <w:ind w:left="-63" w:leftChars="-30" w:right="-63" w:rightChars="-30"/>
                    <w:jc w:val="center"/>
                    <w:rPr>
                      <w:szCs w:val="21"/>
                    </w:rPr>
                  </w:pPr>
                  <w:r>
                    <w:rPr>
                      <w:szCs w:val="21"/>
                    </w:rPr>
                    <w:t>对比</w:t>
                  </w:r>
                </w:p>
                <w:p w14:paraId="628A24C5">
                  <w:pPr>
                    <w:ind w:left="-63" w:leftChars="-30" w:right="-63" w:rightChars="-30"/>
                    <w:jc w:val="center"/>
                    <w:rPr>
                      <w:szCs w:val="21"/>
                    </w:rPr>
                  </w:pPr>
                  <w:r>
                    <w:rPr>
                      <w:szCs w:val="21"/>
                    </w:rPr>
                    <w:t>情况</w:t>
                  </w:r>
                </w:p>
              </w:tc>
            </w:tr>
            <w:tr w14:paraId="140FB2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85" w:type="dxa"/>
                  <w:bottom w:w="0" w:type="dxa"/>
                  <w:right w:w="85" w:type="dxa"/>
                </w:tblCellMar>
              </w:tblPrEx>
              <w:trPr>
                <w:trHeight w:val="608" w:hRule="atLeast"/>
                <w:jc w:val="center"/>
              </w:trPr>
              <w:tc>
                <w:tcPr>
                  <w:tcW w:w="421" w:type="dxa"/>
                  <w:tcBorders>
                    <w:bottom w:val="single" w:color="auto" w:sz="12" w:space="0"/>
                  </w:tcBorders>
                  <w:vAlign w:val="center"/>
                </w:tcPr>
                <w:p w14:paraId="2761C61F">
                  <w:pPr>
                    <w:ind w:left="-63" w:leftChars="-30" w:right="-63" w:rightChars="-30"/>
                    <w:jc w:val="center"/>
                    <w:rPr>
                      <w:rFonts w:hint="eastAsia" w:eastAsia="宋体"/>
                      <w:szCs w:val="21"/>
                      <w:lang w:eastAsia="zh-CN"/>
                    </w:rPr>
                  </w:pPr>
                  <w:r>
                    <w:rPr>
                      <w:rFonts w:hint="eastAsia"/>
                      <w:szCs w:val="21"/>
                      <w:lang w:val="en-US" w:eastAsia="zh-CN"/>
                    </w:rPr>
                    <w:t>1</w:t>
                  </w:r>
                </w:p>
              </w:tc>
              <w:tc>
                <w:tcPr>
                  <w:tcW w:w="3827" w:type="dxa"/>
                  <w:tcBorders>
                    <w:bottom w:val="single" w:color="auto" w:sz="12" w:space="0"/>
                  </w:tcBorders>
                  <w:vAlign w:val="center"/>
                </w:tcPr>
                <w:p w14:paraId="0B80147C">
                  <w:pPr>
                    <w:pStyle w:val="81"/>
                    <w:rPr>
                      <w:rFonts w:hint="eastAsia" w:cs="Times New Roman"/>
                      <w:bCs/>
                      <w:color w:val="auto"/>
                      <w:sz w:val="21"/>
                      <w:szCs w:val="21"/>
                      <w:lang w:val="en-US" w:eastAsia="zh-CN"/>
                    </w:rPr>
                  </w:pPr>
                  <w:r>
                    <w:rPr>
                      <w:rFonts w:hint="default" w:ascii="Times New Roman" w:hAnsi="Times New Roman" w:cs="Times New Roman"/>
                      <w:bCs/>
                      <w:color w:val="auto"/>
                      <w:sz w:val="21"/>
                      <w:szCs w:val="21"/>
                      <w:lang w:val="en-US" w:eastAsia="zh-CN"/>
                    </w:rPr>
                    <w:t>工程建设内容包括防洪治理工程水生态修复工程</w:t>
                  </w:r>
                  <w:r>
                    <w:rPr>
                      <w:rFonts w:hint="eastAsia" w:cs="Times New Roman"/>
                      <w:bCs/>
                      <w:color w:val="auto"/>
                      <w:sz w:val="21"/>
                      <w:szCs w:val="21"/>
                      <w:lang w:val="en-US" w:eastAsia="zh-CN"/>
                    </w:rPr>
                    <w:t>：</w:t>
                  </w:r>
                </w:p>
                <w:p w14:paraId="7CF6DBDF">
                  <w:pPr>
                    <w:pStyle w:val="81"/>
                    <w:ind w:firstLine="210" w:firstLineChars="100"/>
                    <w:rPr>
                      <w:rFonts w:hint="default" w:cs="Times New Roman"/>
                      <w:bCs/>
                      <w:color w:val="auto"/>
                      <w:sz w:val="21"/>
                      <w:szCs w:val="21"/>
                      <w:lang w:val="en-US" w:eastAsia="zh-CN"/>
                    </w:rPr>
                  </w:pPr>
                  <w:r>
                    <w:rPr>
                      <w:rFonts w:hint="eastAsia" w:cs="Times New Roman"/>
                      <w:bCs/>
                      <w:color w:val="auto"/>
                      <w:sz w:val="21"/>
                      <w:szCs w:val="21"/>
                      <w:lang w:val="en-US" w:eastAsia="zh-CN"/>
                    </w:rPr>
                    <w:t>①</w:t>
                  </w:r>
                  <w:r>
                    <w:rPr>
                      <w:rFonts w:hint="default" w:eastAsia="宋体"/>
                      <w:lang w:val="en-US" w:eastAsia="zh-CN"/>
                    </w:rPr>
                    <w:t>防洪治理工程：</w:t>
                  </w:r>
                  <w:r>
                    <w:rPr>
                      <w:rFonts w:hint="default" w:cs="Times New Roman"/>
                      <w:bCs/>
                      <w:color w:val="auto"/>
                      <w:sz w:val="21"/>
                      <w:szCs w:val="21"/>
                      <w:lang w:val="en-US" w:eastAsia="zh-CN"/>
                    </w:rPr>
                    <w:t>新建护岸11</w:t>
                  </w:r>
                  <w:r>
                    <w:rPr>
                      <w:rFonts w:hint="eastAsia" w:cs="Times New Roman"/>
                      <w:bCs/>
                      <w:color w:val="auto"/>
                      <w:sz w:val="21"/>
                      <w:szCs w:val="21"/>
                      <w:lang w:val="en-US" w:eastAsia="zh-CN"/>
                    </w:rPr>
                    <w:t>963</w:t>
                  </w:r>
                  <w:r>
                    <w:rPr>
                      <w:rFonts w:hint="default" w:cs="Times New Roman"/>
                      <w:bCs/>
                      <w:color w:val="auto"/>
                      <w:sz w:val="21"/>
                      <w:szCs w:val="21"/>
                      <w:lang w:val="en-US" w:eastAsia="zh-CN"/>
                    </w:rPr>
                    <w:t>m（转龙镇6236m，竹篙镇5727m，分为21段）。</w:t>
                  </w:r>
                </w:p>
                <w:p w14:paraId="06383E63">
                  <w:pPr>
                    <w:pStyle w:val="81"/>
                    <w:ind w:firstLine="210" w:firstLineChars="100"/>
                    <w:rPr>
                      <w:rFonts w:hint="default" w:cs="Times New Roman"/>
                      <w:bCs/>
                      <w:color w:val="auto"/>
                      <w:sz w:val="21"/>
                      <w:szCs w:val="21"/>
                      <w:lang w:val="en-US" w:eastAsia="zh-CN"/>
                    </w:rPr>
                  </w:pPr>
                  <w:r>
                    <w:rPr>
                      <w:rFonts w:hint="eastAsia" w:cs="Times New Roman"/>
                      <w:bCs/>
                      <w:color w:val="auto"/>
                      <w:sz w:val="21"/>
                      <w:szCs w:val="21"/>
                      <w:lang w:val="en-US" w:eastAsia="zh-CN"/>
                    </w:rPr>
                    <w:t>②</w:t>
                  </w:r>
                  <w:r>
                    <w:rPr>
                      <w:rFonts w:hint="default" w:cs="Times New Roman"/>
                      <w:bCs/>
                      <w:color w:val="auto"/>
                      <w:sz w:val="21"/>
                      <w:szCs w:val="21"/>
                      <w:lang w:val="en-US" w:eastAsia="zh-CN"/>
                    </w:rPr>
                    <w:t>水生态修复工程</w:t>
                  </w:r>
                  <w:r>
                    <w:rPr>
                      <w:rFonts w:hint="eastAsia" w:cs="Times New Roman"/>
                      <w:bCs/>
                      <w:color w:val="auto"/>
                      <w:sz w:val="21"/>
                      <w:szCs w:val="21"/>
                      <w:lang w:val="en-US" w:eastAsia="zh-CN"/>
                    </w:rPr>
                    <w:t>：</w:t>
                  </w:r>
                  <w:r>
                    <w:rPr>
                      <w:rFonts w:hint="default" w:cs="Times New Roman"/>
                      <w:bCs/>
                      <w:color w:val="auto"/>
                      <w:sz w:val="21"/>
                      <w:szCs w:val="21"/>
                      <w:lang w:val="en-US" w:eastAsia="zh-CN"/>
                    </w:rPr>
                    <w:t>新建浅水区滨河湿地3.16 hm²，新建四处生态湿地节点（分为彭家沟生态湿地节点、资水河大桥生态湿地节点、神仙桥生态湿地节点、三绕生态湿地节点，主要内容包括梯田湿地11.17hm²，垛田湿地3.99hm²，生态隔离带1.45hm²，生产便道2.3km）</w:t>
                  </w:r>
                  <w:r>
                    <w:rPr>
                      <w:rFonts w:hint="eastAsia" w:cs="Times New Roman"/>
                      <w:bCs/>
                      <w:color w:val="auto"/>
                      <w:sz w:val="21"/>
                      <w:szCs w:val="21"/>
                      <w:lang w:val="en-US" w:eastAsia="zh-CN"/>
                    </w:rPr>
                    <w:t>。</w:t>
                  </w:r>
                </w:p>
              </w:tc>
              <w:tc>
                <w:tcPr>
                  <w:tcW w:w="3029" w:type="dxa"/>
                  <w:tcBorders>
                    <w:bottom w:val="single" w:color="auto" w:sz="12" w:space="0"/>
                  </w:tcBorders>
                  <w:vAlign w:val="center"/>
                </w:tcPr>
                <w:p w14:paraId="02CD7A3F">
                  <w:pPr>
                    <w:pStyle w:val="81"/>
                    <w:rPr>
                      <w:rFonts w:hint="default" w:eastAsia="宋体"/>
                      <w:lang w:val="en-US" w:eastAsia="zh-CN"/>
                    </w:rPr>
                  </w:pPr>
                  <w:r>
                    <w:rPr>
                      <w:rFonts w:hint="eastAsia"/>
                      <w:lang w:val="en-US" w:eastAsia="zh-CN"/>
                    </w:rPr>
                    <w:t>工程建设内容</w:t>
                  </w:r>
                  <w:r>
                    <w:rPr>
                      <w:rFonts w:hint="default" w:eastAsia="宋体"/>
                      <w:lang w:val="en-US" w:eastAsia="zh-CN"/>
                    </w:rPr>
                    <w:t>包括防洪治理工程和水生态修复工程</w:t>
                  </w:r>
                  <w:r>
                    <w:rPr>
                      <w:rFonts w:hint="eastAsia"/>
                      <w:lang w:val="en-US" w:eastAsia="zh-CN"/>
                    </w:rPr>
                    <w:t>：</w:t>
                  </w:r>
                </w:p>
                <w:p w14:paraId="3A6255CB">
                  <w:pPr>
                    <w:pStyle w:val="81"/>
                    <w:ind w:firstLine="210" w:firstLineChars="100"/>
                    <w:rPr>
                      <w:rFonts w:hint="default" w:eastAsia="宋体"/>
                      <w:lang w:val="en-US" w:eastAsia="zh-CN"/>
                    </w:rPr>
                  </w:pPr>
                  <w:r>
                    <w:rPr>
                      <w:rFonts w:hint="eastAsia"/>
                      <w:lang w:val="en-US" w:eastAsia="zh-CN"/>
                    </w:rPr>
                    <w:t>①</w:t>
                  </w:r>
                  <w:r>
                    <w:rPr>
                      <w:rFonts w:hint="default" w:eastAsia="宋体"/>
                      <w:lang w:val="en-US" w:eastAsia="zh-CN"/>
                    </w:rPr>
                    <w:t>防洪治理工程：新建护岸12110m（转龙镇6999m，竹篙镇5111m，分为17段）</w:t>
                  </w:r>
                  <w:r>
                    <w:rPr>
                      <w:rFonts w:hint="eastAsia"/>
                      <w:lang w:val="en-US" w:eastAsia="zh-CN"/>
                    </w:rPr>
                    <w:t>。</w:t>
                  </w:r>
                </w:p>
                <w:p w14:paraId="4C86A41D">
                  <w:pPr>
                    <w:pStyle w:val="81"/>
                    <w:ind w:firstLine="210" w:firstLineChars="100"/>
                    <w:rPr>
                      <w:rFonts w:hint="default" w:eastAsia="宋体"/>
                      <w:lang w:val="en-US" w:eastAsia="zh-CN"/>
                    </w:rPr>
                  </w:pPr>
                  <w:r>
                    <w:rPr>
                      <w:rFonts w:hint="eastAsia"/>
                      <w:lang w:val="en-US" w:eastAsia="zh-CN"/>
                    </w:rPr>
                    <w:t>②</w:t>
                  </w:r>
                  <w:r>
                    <w:rPr>
                      <w:rFonts w:hint="default" w:eastAsia="宋体"/>
                      <w:lang w:val="en-US" w:eastAsia="zh-CN"/>
                    </w:rPr>
                    <w:t>水生态修复工程：新建浅水区滨河湿地3.16hm²，新建四处生态湿地节点（分为彭家沟生态湿地节点、资水河大桥生态湿地节点、神仙桥生态湿地节点、三绕生态湿地节点，主要内容包括梯田湿地11.17hm²，垛田湿地3.99hm²，生态隔离带1.45hm²，游步道2.3km）</w:t>
                  </w:r>
                </w:p>
              </w:tc>
              <w:tc>
                <w:tcPr>
                  <w:tcW w:w="1217" w:type="dxa"/>
                  <w:tcBorders>
                    <w:bottom w:val="single" w:color="auto" w:sz="12" w:space="0"/>
                  </w:tcBorders>
                  <w:vAlign w:val="center"/>
                </w:tcPr>
                <w:p w14:paraId="1B840ED4">
                  <w:pPr>
                    <w:pStyle w:val="8"/>
                    <w:ind w:left="0" w:leftChars="0" w:firstLine="0" w:firstLineChars="0"/>
                    <w:rPr>
                      <w:rFonts w:hint="default"/>
                      <w:lang w:val="en-US" w:eastAsia="zh-CN"/>
                    </w:rPr>
                  </w:pPr>
                  <w:r>
                    <w:rPr>
                      <w:rFonts w:hint="default" w:cs="Times New Roman"/>
                      <w:bCs/>
                      <w:color w:val="auto"/>
                      <w:sz w:val="21"/>
                      <w:szCs w:val="21"/>
                      <w:lang w:val="en-US" w:eastAsia="zh-CN"/>
                    </w:rPr>
                    <w:t>护岸</w:t>
                  </w:r>
                  <w:r>
                    <w:rPr>
                      <w:rFonts w:hint="eastAsia" w:cs="Times New Roman"/>
                      <w:bCs/>
                      <w:color w:val="auto"/>
                      <w:sz w:val="21"/>
                      <w:szCs w:val="21"/>
                      <w:lang w:val="en-US" w:eastAsia="zh-CN"/>
                    </w:rPr>
                    <w:t>结合实际增加147m，治理河段未变化。</w:t>
                  </w:r>
                </w:p>
              </w:tc>
            </w:tr>
          </w:tbl>
          <w:p w14:paraId="1C7A625B">
            <w:pPr>
              <w:jc w:val="center"/>
              <w:rPr>
                <w:rFonts w:hint="default" w:ascii="Times New Roman" w:hAnsi="Times New Roman" w:cs="Times New Roman"/>
                <w:b/>
                <w:color w:val="auto"/>
                <w:szCs w:val="21"/>
              </w:rPr>
            </w:pPr>
          </w:p>
          <w:p w14:paraId="4F7E4BFF">
            <w:pPr>
              <w:jc w:val="center"/>
              <w:rPr>
                <w:rFonts w:hint="default" w:ascii="Times New Roman" w:hAnsi="Times New Roman" w:cs="Times New Roman"/>
                <w:b/>
                <w:color w:val="auto"/>
                <w:szCs w:val="21"/>
                <w:lang w:val="en-US" w:eastAsia="zh-CN"/>
              </w:rPr>
            </w:pPr>
            <w:r>
              <w:rPr>
                <w:rFonts w:hint="default" w:ascii="Times New Roman" w:hAnsi="Times New Roman" w:cs="Times New Roman"/>
                <w:b/>
                <w:color w:val="auto"/>
                <w:szCs w:val="21"/>
              </w:rPr>
              <w:t>表</w:t>
            </w:r>
            <w:r>
              <w:rPr>
                <w:rFonts w:hint="eastAsia" w:ascii="Times New Roman" w:hAnsi="Times New Roman" w:cs="Times New Roman"/>
                <w:b/>
                <w:color w:val="auto"/>
                <w:szCs w:val="21"/>
                <w:lang w:val="en-US" w:eastAsia="zh-CN"/>
              </w:rPr>
              <w:t xml:space="preserve">4-2  </w:t>
            </w:r>
            <w:r>
              <w:rPr>
                <w:rFonts w:hint="default" w:ascii="Times New Roman" w:hAnsi="Times New Roman" w:cs="Times New Roman"/>
                <w:b/>
                <w:color w:val="auto"/>
                <w:szCs w:val="21"/>
              </w:rPr>
              <w:t xml:space="preserve"> </w:t>
            </w:r>
            <w:r>
              <w:rPr>
                <w:rFonts w:hint="default" w:ascii="Times New Roman" w:hAnsi="Times New Roman" w:cs="Times New Roman"/>
                <w:b/>
                <w:color w:val="auto"/>
                <w:szCs w:val="21"/>
                <w:lang w:val="en-US" w:eastAsia="zh-CN"/>
              </w:rPr>
              <w:t>主要建设内容</w:t>
            </w:r>
            <w:r>
              <w:rPr>
                <w:rFonts w:hint="eastAsia" w:ascii="Times New Roman" w:hAnsi="Times New Roman" w:cs="Times New Roman"/>
                <w:b/>
                <w:color w:val="auto"/>
                <w:szCs w:val="21"/>
                <w:lang w:val="en-US" w:eastAsia="zh-CN"/>
              </w:rPr>
              <w:t>对比表</w:t>
            </w:r>
          </w:p>
          <w:tbl>
            <w:tblPr>
              <w:tblStyle w:val="33"/>
              <w:tblW w:w="491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55"/>
              <w:gridCol w:w="4653"/>
              <w:gridCol w:w="3250"/>
            </w:tblGrid>
            <w:tr w14:paraId="6CE614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272" w:type="pct"/>
                  <w:tcBorders>
                    <w:tl2br w:val="nil"/>
                    <w:tr2bl w:val="nil"/>
                  </w:tcBorders>
                  <w:noWrap w:val="0"/>
                  <w:vAlign w:val="center"/>
                </w:tcPr>
                <w:p w14:paraId="2339F591">
                  <w:pPr>
                    <w:pStyle w:val="19"/>
                    <w:spacing w:after="0" w:line="240" w:lineRule="auto"/>
                    <w:ind w:left="0" w:leftChars="0"/>
                    <w:jc w:val="center"/>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序号</w:t>
                  </w:r>
                </w:p>
              </w:tc>
              <w:tc>
                <w:tcPr>
                  <w:tcW w:w="2783" w:type="pct"/>
                  <w:tcBorders>
                    <w:tl2br w:val="nil"/>
                    <w:tr2bl w:val="nil"/>
                  </w:tcBorders>
                  <w:noWrap w:val="0"/>
                  <w:vAlign w:val="center"/>
                </w:tcPr>
                <w:p w14:paraId="70536D39">
                  <w:pPr>
                    <w:pStyle w:val="19"/>
                    <w:spacing w:after="0" w:line="240" w:lineRule="auto"/>
                    <w:ind w:left="0" w:leftChars="0"/>
                    <w:jc w:val="center"/>
                    <w:rPr>
                      <w:rFonts w:hint="default" w:ascii="Times New Roman" w:hAnsi="Times New Roman" w:cs="Times New Roman"/>
                      <w:b/>
                      <w:bCs/>
                      <w:color w:val="auto"/>
                      <w:kern w:val="2"/>
                      <w:sz w:val="21"/>
                      <w:szCs w:val="21"/>
                      <w:lang w:val="en-US" w:eastAsia="zh-CN" w:bidi="ar-SA"/>
                    </w:rPr>
                  </w:pPr>
                  <w:r>
                    <w:rPr>
                      <w:b/>
                      <w:bCs/>
                      <w:sz w:val="21"/>
                      <w:szCs w:val="21"/>
                    </w:rPr>
                    <w:t>环评内容及规模</w:t>
                  </w:r>
                </w:p>
              </w:tc>
              <w:tc>
                <w:tcPr>
                  <w:tcW w:w="1944" w:type="pct"/>
                  <w:tcBorders>
                    <w:tl2br w:val="nil"/>
                    <w:tr2bl w:val="nil"/>
                  </w:tcBorders>
                  <w:noWrap w:val="0"/>
                  <w:vAlign w:val="center"/>
                </w:tcPr>
                <w:p w14:paraId="4DD33B0B">
                  <w:pPr>
                    <w:pStyle w:val="19"/>
                    <w:spacing w:after="0" w:line="240" w:lineRule="auto"/>
                    <w:ind w:left="0" w:leftChars="0"/>
                    <w:jc w:val="center"/>
                    <w:rPr>
                      <w:rFonts w:hint="default" w:ascii="Times New Roman" w:hAnsi="Times New Roman"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实际建设内容</w:t>
                  </w:r>
                </w:p>
              </w:tc>
            </w:tr>
            <w:tr w14:paraId="4E3819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2" w:type="pct"/>
                  <w:tcBorders>
                    <w:tl2br w:val="nil"/>
                    <w:tr2bl w:val="nil"/>
                  </w:tcBorders>
                  <w:noWrap w:val="0"/>
                  <w:vAlign w:val="center"/>
                </w:tcPr>
                <w:p w14:paraId="57EFDC5F">
                  <w:pPr>
                    <w:pStyle w:val="19"/>
                    <w:spacing w:after="0" w:line="240" w:lineRule="auto"/>
                    <w:ind w:left="0" w:left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w:t>
                  </w:r>
                </w:p>
              </w:tc>
              <w:tc>
                <w:tcPr>
                  <w:tcW w:w="2783" w:type="pct"/>
                  <w:tcBorders>
                    <w:tl2br w:val="nil"/>
                    <w:tr2bl w:val="nil"/>
                  </w:tcBorders>
                  <w:noWrap w:val="0"/>
                  <w:vAlign w:val="center"/>
                </w:tcPr>
                <w:p w14:paraId="3290AFCA">
                  <w:pPr>
                    <w:pStyle w:val="19"/>
                    <w:spacing w:after="0" w:line="240" w:lineRule="auto"/>
                    <w:ind w:left="0" w:leftChars="0"/>
                    <w:jc w:val="center"/>
                    <w:rPr>
                      <w:rFonts w:hint="default" w:ascii="Times New Roman" w:hAnsi="Times New Roman" w:cs="Times New Roman"/>
                      <w:b/>
                      <w:bCs/>
                      <w:color w:val="auto"/>
                      <w:kern w:val="2"/>
                      <w:sz w:val="21"/>
                      <w:szCs w:val="21"/>
                      <w:lang w:val="en-US" w:eastAsia="zh-CN" w:bidi="ar-SA"/>
                    </w:rPr>
                  </w:pPr>
                  <w:r>
                    <w:rPr>
                      <w:rFonts w:hint="default" w:ascii="Times New Roman" w:hAnsi="Times New Roman" w:cs="Times New Roman"/>
                      <w:b w:val="0"/>
                      <w:bCs w:val="0"/>
                      <w:color w:val="auto"/>
                      <w:kern w:val="2"/>
                      <w:sz w:val="21"/>
                      <w:szCs w:val="21"/>
                      <w:lang w:val="en-US" w:eastAsia="zh-CN" w:bidi="ar-SA"/>
                    </w:rPr>
                    <w:t>本工程治理河长11.9km，包括资水河11.5km以及资水河左岸支流永兴河0.4km，其中转龙镇治理河段长7.0km，竹篙镇治理河段长4.9km</w:t>
                  </w:r>
                </w:p>
              </w:tc>
              <w:tc>
                <w:tcPr>
                  <w:tcW w:w="1944" w:type="pct"/>
                  <w:tcBorders>
                    <w:tl2br w:val="nil"/>
                    <w:tr2bl w:val="nil"/>
                  </w:tcBorders>
                  <w:noWrap w:val="0"/>
                  <w:vAlign w:val="center"/>
                </w:tcPr>
                <w:p w14:paraId="7E649542">
                  <w:pPr>
                    <w:pStyle w:val="19"/>
                    <w:spacing w:after="0" w:line="240" w:lineRule="auto"/>
                    <w:ind w:left="0" w:leftChars="0"/>
                    <w:jc w:val="center"/>
                    <w:rPr>
                      <w:rFonts w:hint="default" w:ascii="Times New Roman" w:hAnsi="Times New Roman" w:eastAsia="宋体" w:cs="Times New Roman"/>
                      <w:b/>
                      <w:bCs/>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按环评建设</w:t>
                  </w:r>
                </w:p>
              </w:tc>
            </w:tr>
            <w:tr w14:paraId="0F3614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272" w:type="pct"/>
                  <w:tcBorders>
                    <w:tl2br w:val="nil"/>
                    <w:tr2bl w:val="nil"/>
                  </w:tcBorders>
                  <w:noWrap w:val="0"/>
                  <w:vAlign w:val="center"/>
                </w:tcPr>
                <w:p w14:paraId="5FF0C5BA">
                  <w:pPr>
                    <w:pStyle w:val="19"/>
                    <w:spacing w:after="0" w:line="240" w:lineRule="auto"/>
                    <w:ind w:left="0" w:left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w:t>
                  </w:r>
                </w:p>
              </w:tc>
              <w:tc>
                <w:tcPr>
                  <w:tcW w:w="2783" w:type="pct"/>
                  <w:tcBorders>
                    <w:tl2br w:val="nil"/>
                    <w:tr2bl w:val="nil"/>
                  </w:tcBorders>
                  <w:noWrap w:val="0"/>
                  <w:vAlign w:val="center"/>
                </w:tcPr>
                <w:p w14:paraId="2CE5F6F3">
                  <w:pPr>
                    <w:pStyle w:val="19"/>
                    <w:spacing w:after="0" w:line="240" w:lineRule="auto"/>
                    <w:ind w:left="0" w:leftChars="0"/>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包括防洪治理工程水生态修复工程，其中：</w:t>
                  </w:r>
                </w:p>
                <w:p w14:paraId="36185C3B">
                  <w:pPr>
                    <w:pStyle w:val="19"/>
                    <w:spacing w:after="0" w:line="240" w:lineRule="auto"/>
                    <w:ind w:left="0" w:leftChars="0"/>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（1）防洪治理工程：新建护岸11963m（转龙镇6236m，竹篙镇5727m），分为21段；</w:t>
                  </w:r>
                </w:p>
                <w:p w14:paraId="0BC223F5">
                  <w:pPr>
                    <w:pStyle w:val="19"/>
                    <w:spacing w:after="0" w:line="240" w:lineRule="auto"/>
                    <w:ind w:left="0" w:leftChars="0"/>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（2）水生态修复工程：新建浅水区滨河湿地3.16 hm²，新建四处生态湿地节点（分为彭家沟生态湿地节点、资水河大桥生态湿地节点、神仙桥生态湿地节点、三绕生态湿地节点，主要内容包括梯田湿地11.17hm²，垛田湿地3.99hm²，生态隔离带1.45hm²，游步道2.3km）</w:t>
                  </w:r>
                </w:p>
              </w:tc>
              <w:tc>
                <w:tcPr>
                  <w:tcW w:w="1944" w:type="pct"/>
                  <w:tcBorders>
                    <w:tl2br w:val="nil"/>
                    <w:tr2bl w:val="nil"/>
                  </w:tcBorders>
                  <w:noWrap w:val="0"/>
                  <w:vAlign w:val="center"/>
                </w:tcPr>
                <w:p w14:paraId="461065D4">
                  <w:pPr>
                    <w:pStyle w:val="19"/>
                    <w:spacing w:after="0" w:line="240" w:lineRule="auto"/>
                    <w:ind w:left="0" w:leftChars="0"/>
                    <w:jc w:val="center"/>
                    <w:rPr>
                      <w:rFonts w:hint="eastAsia" w:cs="Times New Roman"/>
                      <w:bCs/>
                      <w:color w:val="auto"/>
                      <w:sz w:val="21"/>
                      <w:szCs w:val="21"/>
                      <w:lang w:val="en-US" w:eastAsia="zh-CN"/>
                    </w:rPr>
                  </w:pPr>
                  <w:r>
                    <w:rPr>
                      <w:rFonts w:hint="default" w:cs="Times New Roman"/>
                      <w:bCs/>
                      <w:color w:val="auto"/>
                      <w:sz w:val="21"/>
                      <w:szCs w:val="21"/>
                      <w:lang w:val="en-US" w:eastAsia="zh-CN"/>
                    </w:rPr>
                    <w:t>防洪治理工程：新建护岸12110m（转龙镇6999m，竹篙镇5111m，分为17段）</w:t>
                  </w:r>
                  <w:r>
                    <w:rPr>
                      <w:rFonts w:hint="eastAsia" w:cs="Times New Roman"/>
                      <w:bCs/>
                      <w:color w:val="auto"/>
                      <w:sz w:val="21"/>
                      <w:szCs w:val="21"/>
                      <w:lang w:val="en-US" w:eastAsia="zh-CN"/>
                    </w:rPr>
                    <w:t>。</w:t>
                  </w:r>
                  <w:r>
                    <w:rPr>
                      <w:rFonts w:hint="default" w:cs="Times New Roman"/>
                      <w:bCs/>
                      <w:color w:val="auto"/>
                      <w:sz w:val="21"/>
                      <w:szCs w:val="21"/>
                      <w:lang w:val="en-US" w:eastAsia="zh-CN"/>
                    </w:rPr>
                    <w:t>护岸</w:t>
                  </w:r>
                  <w:r>
                    <w:rPr>
                      <w:rFonts w:hint="eastAsia" w:cs="Times New Roman"/>
                      <w:bCs/>
                      <w:color w:val="auto"/>
                      <w:sz w:val="21"/>
                      <w:szCs w:val="21"/>
                      <w:lang w:val="en-US" w:eastAsia="zh-CN"/>
                    </w:rPr>
                    <w:t>结合实际增加147m。</w:t>
                  </w:r>
                </w:p>
                <w:p w14:paraId="17BF1C80">
                  <w:pPr>
                    <w:rPr>
                      <w:rFonts w:hint="eastAsia" w:cs="Times New Roman"/>
                      <w:bCs/>
                      <w:color w:val="auto"/>
                      <w:sz w:val="21"/>
                      <w:szCs w:val="21"/>
                      <w:lang w:val="en-US" w:eastAsia="zh-CN"/>
                    </w:rPr>
                  </w:pPr>
                  <w:r>
                    <w:rPr>
                      <w:rFonts w:hint="eastAsia" w:cs="Times New Roman"/>
                      <w:bCs/>
                      <w:color w:val="auto"/>
                      <w:sz w:val="21"/>
                      <w:szCs w:val="21"/>
                      <w:lang w:val="en-US" w:eastAsia="zh-CN"/>
                    </w:rPr>
                    <w:t>其余未发生变化。</w:t>
                  </w:r>
                </w:p>
                <w:p w14:paraId="4E44D796">
                  <w:pPr>
                    <w:rPr>
                      <w:rFonts w:hint="default" w:cs="Times New Roman"/>
                      <w:bCs/>
                      <w:color w:val="auto"/>
                      <w:sz w:val="21"/>
                      <w:szCs w:val="21"/>
                      <w:lang w:val="en-US" w:eastAsia="zh-CN"/>
                    </w:rPr>
                  </w:pPr>
                  <w:r>
                    <w:rPr>
                      <w:rFonts w:hint="default" w:cs="Times New Roman"/>
                      <w:b/>
                      <w:bCs w:val="0"/>
                      <w:color w:val="auto"/>
                      <w:sz w:val="21"/>
                      <w:szCs w:val="21"/>
                      <w:lang w:val="en-US" w:eastAsia="zh-CN"/>
                    </w:rPr>
                    <w:t>变化原因：</w:t>
                  </w:r>
                  <w:r>
                    <w:rPr>
                      <w:rFonts w:hint="default" w:cs="Times New Roman"/>
                      <w:bCs/>
                      <w:color w:val="auto"/>
                      <w:sz w:val="21"/>
                      <w:szCs w:val="21"/>
                      <w:lang w:val="en-US" w:eastAsia="zh-CN"/>
                    </w:rPr>
                    <w:t>转龙镇原设计12段，施工时将左右岸部分段连接修通，合并（左右岸各合并2段）为10段；竹篙镇原设计为9段，施工时将其中2段（左岸1段、右岸1段）取消，实际实施7段；共计17段</w:t>
                  </w:r>
                </w:p>
              </w:tc>
            </w:tr>
            <w:tr w14:paraId="6816CC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2" w:type="pct"/>
                  <w:tcBorders>
                    <w:tl2br w:val="nil"/>
                    <w:tr2bl w:val="nil"/>
                  </w:tcBorders>
                  <w:noWrap w:val="0"/>
                  <w:vAlign w:val="center"/>
                </w:tcPr>
                <w:p w14:paraId="6C9E554D">
                  <w:pPr>
                    <w:pStyle w:val="19"/>
                    <w:spacing w:after="0" w:line="240" w:lineRule="auto"/>
                    <w:ind w:left="0" w:leftChars="0"/>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3</w:t>
                  </w:r>
                </w:p>
              </w:tc>
              <w:tc>
                <w:tcPr>
                  <w:tcW w:w="2783" w:type="pct"/>
                  <w:tcBorders>
                    <w:tl2br w:val="nil"/>
                    <w:tr2bl w:val="nil"/>
                  </w:tcBorders>
                  <w:noWrap w:val="0"/>
                  <w:vAlign w:val="center"/>
                </w:tcPr>
                <w:p w14:paraId="4A072DA8">
                  <w:pPr>
                    <w:pStyle w:val="19"/>
                    <w:spacing w:after="0" w:line="240" w:lineRule="auto"/>
                    <w:ind w:left="0" w:left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设置1处盖板涵（总计12m）、6处涵管（总计52m）</w:t>
                  </w:r>
                </w:p>
              </w:tc>
              <w:tc>
                <w:tcPr>
                  <w:tcW w:w="1944" w:type="pct"/>
                  <w:tcBorders>
                    <w:tl2br w:val="nil"/>
                    <w:tr2bl w:val="nil"/>
                  </w:tcBorders>
                  <w:noWrap w:val="0"/>
                  <w:vAlign w:val="center"/>
                </w:tcPr>
                <w:p w14:paraId="46722197">
                  <w:pPr>
                    <w:pStyle w:val="19"/>
                    <w:spacing w:after="0" w:line="240" w:lineRule="auto"/>
                    <w:ind w:left="0" w:leftChars="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设置盖板涵1处，涵管1239.5m</w:t>
                  </w:r>
                </w:p>
              </w:tc>
            </w:tr>
            <w:tr w14:paraId="0F7480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2" w:type="pct"/>
                  <w:tcBorders>
                    <w:tl2br w:val="nil"/>
                    <w:tr2bl w:val="nil"/>
                  </w:tcBorders>
                  <w:noWrap w:val="0"/>
                  <w:vAlign w:val="center"/>
                </w:tcPr>
                <w:p w14:paraId="146B94F7">
                  <w:pPr>
                    <w:pStyle w:val="19"/>
                    <w:spacing w:after="0" w:line="240" w:lineRule="auto"/>
                    <w:ind w:left="0" w:leftChars="0"/>
                    <w:jc w:val="center"/>
                    <w:rPr>
                      <w:rFonts w:hint="default" w:cs="Times New Roman"/>
                      <w:color w:val="auto"/>
                      <w:sz w:val="21"/>
                      <w:szCs w:val="21"/>
                      <w:lang w:val="en-US" w:eastAsia="zh-CN"/>
                    </w:rPr>
                  </w:pPr>
                  <w:r>
                    <w:rPr>
                      <w:rFonts w:hint="eastAsia" w:cs="Times New Roman"/>
                      <w:color w:val="auto"/>
                      <w:sz w:val="21"/>
                      <w:szCs w:val="21"/>
                      <w:lang w:val="en-US" w:eastAsia="zh-CN"/>
                    </w:rPr>
                    <w:t>4</w:t>
                  </w:r>
                </w:p>
              </w:tc>
              <w:tc>
                <w:tcPr>
                  <w:tcW w:w="2783" w:type="pct"/>
                  <w:tcBorders>
                    <w:tl2br w:val="nil"/>
                    <w:tr2bl w:val="nil"/>
                  </w:tcBorders>
                  <w:noWrap w:val="0"/>
                  <w:vAlign w:val="center"/>
                </w:tcPr>
                <w:p w14:paraId="140223FC">
                  <w:pPr>
                    <w:pStyle w:val="19"/>
                    <w:spacing w:after="0" w:line="240" w:lineRule="auto"/>
                    <w:ind w:left="0" w:leftChars="0"/>
                    <w:jc w:val="center"/>
                    <w:rPr>
                      <w:rFonts w:hint="eastAsia" w:ascii="Times New Roman" w:hAnsi="Times New Roman" w:eastAsia="宋体" w:cs="Times New Roman"/>
                      <w:color w:val="auto"/>
                      <w:sz w:val="21"/>
                      <w:szCs w:val="21"/>
                      <w:lang w:val="en-US" w:eastAsia="zh-CN"/>
                    </w:rPr>
                  </w:pPr>
                  <w:r>
                    <w:rPr>
                      <w:sz w:val="21"/>
                      <w:szCs w:val="21"/>
                    </w:rPr>
                    <w:t>彭家沟生态湿地节点</w:t>
                  </w:r>
                  <w:r>
                    <w:rPr>
                      <w:rFonts w:hint="eastAsia"/>
                      <w:sz w:val="21"/>
                      <w:szCs w:val="21"/>
                      <w:lang w:eastAsia="zh-CN"/>
                    </w:rPr>
                    <w:t>：彭家沟生态湿地节点新建阶梯式跌水1处</w:t>
                  </w:r>
                </w:p>
              </w:tc>
              <w:tc>
                <w:tcPr>
                  <w:tcW w:w="1944" w:type="pct"/>
                  <w:tcBorders>
                    <w:tl2br w:val="nil"/>
                    <w:tr2bl w:val="nil"/>
                  </w:tcBorders>
                  <w:noWrap w:val="0"/>
                  <w:vAlign w:val="center"/>
                </w:tcPr>
                <w:p w14:paraId="4B8D87BA">
                  <w:pPr>
                    <w:pStyle w:val="19"/>
                    <w:spacing w:after="0" w:line="240" w:lineRule="auto"/>
                    <w:ind w:left="0" w:leftChars="0"/>
                    <w:jc w:val="center"/>
                    <w:rPr>
                      <w:rFonts w:hint="default" w:ascii="Times New Roman" w:hAnsi="Times New Roman" w:cs="Times New Roman"/>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按环评建设</w:t>
                  </w:r>
                </w:p>
              </w:tc>
            </w:tr>
            <w:tr w14:paraId="114698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2" w:type="pct"/>
                  <w:tcBorders>
                    <w:tl2br w:val="nil"/>
                    <w:tr2bl w:val="nil"/>
                  </w:tcBorders>
                  <w:noWrap w:val="0"/>
                  <w:vAlign w:val="center"/>
                </w:tcPr>
                <w:p w14:paraId="74F15787">
                  <w:pPr>
                    <w:pStyle w:val="19"/>
                    <w:spacing w:after="0" w:line="240" w:lineRule="auto"/>
                    <w:ind w:left="0" w:leftChars="0"/>
                    <w:jc w:val="center"/>
                    <w:rPr>
                      <w:rFonts w:hint="default" w:cs="Times New Roman"/>
                      <w:color w:val="auto"/>
                      <w:sz w:val="21"/>
                      <w:szCs w:val="21"/>
                      <w:lang w:val="en-US" w:eastAsia="zh-CN"/>
                    </w:rPr>
                  </w:pPr>
                  <w:r>
                    <w:rPr>
                      <w:rFonts w:hint="eastAsia" w:cs="Times New Roman"/>
                      <w:color w:val="auto"/>
                      <w:sz w:val="21"/>
                      <w:szCs w:val="21"/>
                      <w:lang w:val="en-US" w:eastAsia="zh-CN"/>
                    </w:rPr>
                    <w:t>5</w:t>
                  </w:r>
                </w:p>
              </w:tc>
              <w:tc>
                <w:tcPr>
                  <w:tcW w:w="2783" w:type="pct"/>
                  <w:tcBorders>
                    <w:tl2br w:val="nil"/>
                    <w:tr2bl w:val="nil"/>
                  </w:tcBorders>
                  <w:noWrap w:val="0"/>
                  <w:vAlign w:val="center"/>
                </w:tcPr>
                <w:p w14:paraId="400036F1">
                  <w:pPr>
                    <w:pStyle w:val="19"/>
                    <w:spacing w:after="0" w:line="240" w:lineRule="auto"/>
                    <w:ind w:left="0" w:leftChars="0"/>
                    <w:jc w:val="center"/>
                    <w:rPr>
                      <w:sz w:val="21"/>
                      <w:szCs w:val="21"/>
                    </w:rPr>
                  </w:pPr>
                  <w:r>
                    <w:rPr>
                      <w:rFonts w:hint="eastAsia"/>
                      <w:sz w:val="21"/>
                      <w:szCs w:val="21"/>
                    </w:rPr>
                    <w:t>在人口聚居点新建8处下河梯步</w:t>
                  </w:r>
                </w:p>
              </w:tc>
              <w:tc>
                <w:tcPr>
                  <w:tcW w:w="1944" w:type="pct"/>
                  <w:tcBorders>
                    <w:tl2br w:val="nil"/>
                    <w:tr2bl w:val="nil"/>
                  </w:tcBorders>
                  <w:noWrap w:val="0"/>
                  <w:vAlign w:val="center"/>
                </w:tcPr>
                <w:p w14:paraId="031F55F1">
                  <w:pPr>
                    <w:pStyle w:val="19"/>
                    <w:spacing w:after="0" w:line="240" w:lineRule="auto"/>
                    <w:ind w:left="0" w:leftChars="0"/>
                    <w:jc w:val="center"/>
                    <w:rPr>
                      <w:rFonts w:hint="eastAsia" w:ascii="Times New Roman" w:hAnsi="Times New Roman" w:eastAsia="宋体" w:cs="Times New Roman"/>
                      <w:b w:val="0"/>
                      <w:bCs w:val="0"/>
                      <w:color w:val="auto"/>
                      <w:sz w:val="21"/>
                      <w:szCs w:val="21"/>
                      <w:lang w:val="en-US" w:eastAsia="zh-CN"/>
                    </w:rPr>
                  </w:pPr>
                  <w:r>
                    <w:rPr>
                      <w:rFonts w:hint="eastAsia" w:ascii="Times New Roman" w:hAnsi="Times New Roman" w:eastAsia="宋体" w:cs="Times New Roman"/>
                      <w:b w:val="0"/>
                      <w:bCs w:val="0"/>
                      <w:color w:val="auto"/>
                      <w:sz w:val="21"/>
                      <w:szCs w:val="21"/>
                      <w:lang w:val="en-US" w:eastAsia="zh-CN"/>
                    </w:rPr>
                    <w:t>按环评建设</w:t>
                  </w:r>
                </w:p>
              </w:tc>
            </w:tr>
          </w:tbl>
          <w:p w14:paraId="7A9A1A54">
            <w:pPr>
              <w:pStyle w:val="8"/>
              <w:widowControl w:val="0"/>
              <w:numPr>
                <w:ilvl w:val="0"/>
                <w:numId w:val="0"/>
              </w:numPr>
              <w:spacing w:line="360" w:lineRule="auto"/>
              <w:jc w:val="both"/>
              <w:rPr>
                <w:rFonts w:hint="default" w:eastAsia="黑体"/>
                <w:b/>
                <w:bCs/>
                <w:sz w:val="24"/>
                <w:szCs w:val="24"/>
                <w:lang w:val="en-US" w:eastAsia="zh-CN"/>
              </w:rPr>
            </w:pPr>
            <w:r>
              <w:rPr>
                <w:rFonts w:hint="eastAsia" w:eastAsia="黑体"/>
                <w:b/>
                <w:bCs/>
                <w:sz w:val="24"/>
                <w:szCs w:val="24"/>
                <w:lang w:val="en-US" w:eastAsia="zh-CN"/>
              </w:rPr>
              <w:t xml:space="preserve">    3、项目组成</w:t>
            </w:r>
          </w:p>
          <w:p w14:paraId="203C48F4">
            <w:pPr>
              <w:pStyle w:val="8"/>
              <w:widowControl w:val="0"/>
              <w:numPr>
                <w:ilvl w:val="0"/>
                <w:numId w:val="0"/>
              </w:numPr>
              <w:spacing w:line="360" w:lineRule="auto"/>
              <w:ind w:firstLine="480" w:firstLineChars="200"/>
              <w:jc w:val="both"/>
              <w:rPr>
                <w:rFonts w:hint="default" w:eastAsia="宋体"/>
                <w:b/>
                <w:bCs/>
                <w:sz w:val="24"/>
                <w:szCs w:val="24"/>
                <w:lang w:val="en-US" w:eastAsia="zh-CN"/>
              </w:rPr>
            </w:pPr>
            <w:r>
              <w:rPr>
                <w:rFonts w:hint="eastAsia"/>
                <w:sz w:val="24"/>
                <w:szCs w:val="24"/>
                <w:lang w:val="en-US" w:eastAsia="zh-CN"/>
              </w:rPr>
              <w:t>实际验收内容和环评基本一致，项目组成表如下：</w:t>
            </w:r>
          </w:p>
          <w:p w14:paraId="0D5CA0A9">
            <w:pPr>
              <w:contextualSpacing/>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表</w:t>
            </w:r>
            <w:r>
              <w:rPr>
                <w:rFonts w:hint="eastAsia" w:cs="Times New Roman"/>
                <w:b/>
                <w:bCs/>
                <w:color w:val="auto"/>
                <w:szCs w:val="21"/>
                <w:lang w:val="en-US" w:eastAsia="zh-CN"/>
              </w:rPr>
              <w:t xml:space="preserve">4-3  </w:t>
            </w:r>
            <w:r>
              <w:rPr>
                <w:rFonts w:hint="default" w:ascii="Times New Roman" w:hAnsi="Times New Roman" w:cs="Times New Roman"/>
                <w:b/>
                <w:bCs/>
                <w:color w:val="auto"/>
                <w:szCs w:val="21"/>
              </w:rPr>
              <w:t xml:space="preserve"> 项目组成表</w:t>
            </w:r>
          </w:p>
          <w:tbl>
            <w:tblPr>
              <w:tblStyle w:val="3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04"/>
              <w:gridCol w:w="1003"/>
              <w:gridCol w:w="5602"/>
              <w:gridCol w:w="1292"/>
            </w:tblGrid>
            <w:tr w14:paraId="0FAFA6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945" w:type="pct"/>
                  <w:gridSpan w:val="2"/>
                  <w:vAlign w:val="center"/>
                </w:tcPr>
                <w:p w14:paraId="0FFABCFE">
                  <w:pPr>
                    <w:contextualSpacing/>
                    <w:jc w:val="center"/>
                    <w:rPr>
                      <w:bCs/>
                      <w:szCs w:val="21"/>
                    </w:rPr>
                  </w:pPr>
                  <w:r>
                    <w:rPr>
                      <w:bCs/>
                      <w:szCs w:val="21"/>
                    </w:rPr>
                    <w:t>项目组成名称</w:t>
                  </w:r>
                </w:p>
              </w:tc>
              <w:tc>
                <w:tcPr>
                  <w:tcW w:w="3294" w:type="pct"/>
                  <w:vAlign w:val="center"/>
                </w:tcPr>
                <w:p w14:paraId="5ACFA264">
                  <w:pPr>
                    <w:contextualSpacing/>
                    <w:jc w:val="center"/>
                    <w:rPr>
                      <w:bCs/>
                      <w:szCs w:val="21"/>
                    </w:rPr>
                  </w:pPr>
                  <w:r>
                    <w:rPr>
                      <w:bCs/>
                      <w:szCs w:val="21"/>
                    </w:rPr>
                    <w:t>建设内容及规模</w:t>
                  </w:r>
                </w:p>
              </w:tc>
              <w:tc>
                <w:tcPr>
                  <w:tcW w:w="760" w:type="pct"/>
                  <w:vAlign w:val="center"/>
                </w:tcPr>
                <w:p w14:paraId="512F200A">
                  <w:pPr>
                    <w:contextualSpacing/>
                    <w:jc w:val="center"/>
                    <w:rPr>
                      <w:rFonts w:hint="default" w:eastAsia="宋体"/>
                      <w:bCs/>
                      <w:szCs w:val="21"/>
                      <w:lang w:val="en-US" w:eastAsia="zh-CN"/>
                    </w:rPr>
                  </w:pPr>
                  <w:r>
                    <w:rPr>
                      <w:rFonts w:hint="eastAsia"/>
                      <w:bCs/>
                      <w:szCs w:val="21"/>
                      <w:lang w:val="en-US" w:eastAsia="zh-CN"/>
                    </w:rPr>
                    <w:t>实际验收情况</w:t>
                  </w:r>
                </w:p>
              </w:tc>
            </w:tr>
            <w:tr w14:paraId="7A3A51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57" w:hRule="atLeast"/>
                <w:jc w:val="center"/>
              </w:trPr>
              <w:tc>
                <w:tcPr>
                  <w:tcW w:w="355" w:type="pct"/>
                  <w:vMerge w:val="restart"/>
                  <w:vAlign w:val="center"/>
                </w:tcPr>
                <w:p w14:paraId="5043AE84">
                  <w:pPr>
                    <w:contextualSpacing/>
                    <w:jc w:val="center"/>
                    <w:rPr>
                      <w:bCs/>
                      <w:szCs w:val="21"/>
                    </w:rPr>
                  </w:pPr>
                  <w:r>
                    <w:rPr>
                      <w:bCs/>
                      <w:szCs w:val="21"/>
                    </w:rPr>
                    <w:t>主体工程</w:t>
                  </w:r>
                </w:p>
              </w:tc>
              <w:tc>
                <w:tcPr>
                  <w:tcW w:w="589" w:type="pct"/>
                  <w:vAlign w:val="center"/>
                </w:tcPr>
                <w:p w14:paraId="00EEA9AF">
                  <w:pPr>
                    <w:contextualSpacing/>
                    <w:jc w:val="center"/>
                    <w:rPr>
                      <w:szCs w:val="21"/>
                    </w:rPr>
                  </w:pPr>
                  <w:r>
                    <w:rPr>
                      <w:rFonts w:hint="eastAsia"/>
                      <w:szCs w:val="21"/>
                    </w:rPr>
                    <w:t>护岸工程</w:t>
                  </w:r>
                </w:p>
              </w:tc>
              <w:tc>
                <w:tcPr>
                  <w:tcW w:w="3294" w:type="pct"/>
                  <w:tcBorders>
                    <w:bottom w:val="single" w:color="000000" w:sz="2" w:space="0"/>
                  </w:tcBorders>
                  <w:vAlign w:val="center"/>
                </w:tcPr>
                <w:p w14:paraId="06446788">
                  <w:pPr>
                    <w:ind w:firstLine="315" w:firstLineChars="150"/>
                    <w:contextualSpacing/>
                    <w:jc w:val="left"/>
                    <w:outlineLvl w:val="0"/>
                    <w:rPr>
                      <w:szCs w:val="21"/>
                    </w:rPr>
                  </w:pPr>
                  <w:r>
                    <w:rPr>
                      <w:rFonts w:hint="eastAsia"/>
                      <w:szCs w:val="21"/>
                    </w:rPr>
                    <w:t>新建护岸11.96km（分为21段），护岸轴线布置基本沿河岸线布置，仅在有耕地的区域布置护岸工程。</w:t>
                  </w:r>
                </w:p>
                <w:p w14:paraId="656A3517">
                  <w:pPr>
                    <w:ind w:firstLine="315" w:firstLineChars="150"/>
                    <w:contextualSpacing/>
                    <w:outlineLvl w:val="0"/>
                    <w:rPr>
                      <w:szCs w:val="21"/>
                    </w:rPr>
                  </w:pPr>
                  <w:r>
                    <w:rPr>
                      <w:rFonts w:hint="eastAsia"/>
                      <w:szCs w:val="21"/>
                    </w:rPr>
                    <w:t>不设防洪标准。</w:t>
                  </w:r>
                </w:p>
                <w:p w14:paraId="0A8E8020">
                  <w:pPr>
                    <w:ind w:firstLine="315" w:firstLineChars="150"/>
                    <w:contextualSpacing/>
                    <w:outlineLvl w:val="0"/>
                    <w:rPr>
                      <w:szCs w:val="21"/>
                    </w:rPr>
                  </w:pPr>
                  <w:r>
                    <w:rPr>
                      <w:rFonts w:hint="eastAsia"/>
                      <w:szCs w:val="21"/>
                    </w:rPr>
                    <w:t>工程护岸型式：采用仿木桩+麦克加筋垫的型式，仿木桩采用外径为300mm，壁厚70mm的A型预应力混凝土管桩（PC桩）；</w:t>
                  </w:r>
                </w:p>
                <w:p w14:paraId="07378BC7">
                  <w:pPr>
                    <w:ind w:firstLine="315" w:firstLineChars="150"/>
                    <w:contextualSpacing/>
                    <w:outlineLvl w:val="0"/>
                    <w:rPr>
                      <w:szCs w:val="21"/>
                    </w:rPr>
                  </w:pPr>
                  <w:r>
                    <w:rPr>
                      <w:rFonts w:hint="eastAsia"/>
                      <w:szCs w:val="21"/>
                    </w:rPr>
                    <w:t>堤距：资水河中K0+000～中K0+460段河道堤距拟定为18～25m，资水河中K0+460～中K3+260段河道堤距拟定为18～28m，资水河中K3+260～中K4+350段河道堤距拟定为23-33m，资水河中K4+350～中K5+571段河道堤距拟定为19～28m，资水河中K5+571～中K5+716段河道堤距拟定为20～25m，永兴河永K0+000～永K0+400段河道堤距拟定为12～25m，资水河中K5+716～中K8+295段河道堤距拟定为26～40m，资水河中K8+295～中K11+500段河道堤距拟定为31～65m。</w:t>
                  </w:r>
                </w:p>
              </w:tc>
              <w:tc>
                <w:tcPr>
                  <w:tcW w:w="760" w:type="pct"/>
                  <w:tcBorders>
                    <w:bottom w:val="single" w:color="000000" w:sz="2" w:space="0"/>
                  </w:tcBorders>
                  <w:vAlign w:val="center"/>
                </w:tcPr>
                <w:p w14:paraId="1074CF94">
                  <w:pPr>
                    <w:ind w:firstLine="315" w:firstLineChars="150"/>
                    <w:contextualSpacing/>
                    <w:outlineLvl w:val="0"/>
                    <w:rPr>
                      <w:rFonts w:hint="default" w:eastAsia="宋体"/>
                      <w:szCs w:val="21"/>
                      <w:lang w:val="en-US" w:eastAsia="zh-CN"/>
                    </w:rPr>
                  </w:pPr>
                  <w:r>
                    <w:rPr>
                      <w:rFonts w:hint="eastAsia"/>
                      <w:szCs w:val="21"/>
                    </w:rPr>
                    <w:t>新建护岸12110m（转龙镇6999m，竹篙镇5111m，分为17段）</w:t>
                  </w:r>
                  <w:r>
                    <w:rPr>
                      <w:rFonts w:hint="eastAsia"/>
                      <w:szCs w:val="21"/>
                      <w:lang w:eastAsia="zh-CN"/>
                    </w:rPr>
                    <w:t>。</w:t>
                  </w:r>
                  <w:r>
                    <w:rPr>
                      <w:rFonts w:hint="eastAsia"/>
                      <w:szCs w:val="21"/>
                      <w:lang w:val="en-US" w:eastAsia="zh-CN"/>
                    </w:rPr>
                    <w:t>其余与环评一致</w:t>
                  </w:r>
                </w:p>
              </w:tc>
            </w:tr>
            <w:tr w14:paraId="78F3F1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355" w:type="pct"/>
                  <w:vMerge w:val="continue"/>
                  <w:vAlign w:val="center"/>
                </w:tcPr>
                <w:p w14:paraId="3108B927">
                  <w:pPr>
                    <w:contextualSpacing/>
                    <w:jc w:val="center"/>
                    <w:rPr>
                      <w:bCs/>
                      <w:szCs w:val="21"/>
                    </w:rPr>
                  </w:pPr>
                </w:p>
              </w:tc>
              <w:tc>
                <w:tcPr>
                  <w:tcW w:w="589" w:type="pct"/>
                  <w:tcBorders>
                    <w:top w:val="single" w:color="000000" w:sz="2" w:space="0"/>
                  </w:tcBorders>
                  <w:vAlign w:val="center"/>
                </w:tcPr>
                <w:p w14:paraId="182F44B0">
                  <w:pPr>
                    <w:contextualSpacing/>
                    <w:jc w:val="center"/>
                    <w:rPr>
                      <w:szCs w:val="21"/>
                    </w:rPr>
                  </w:pPr>
                  <w:r>
                    <w:rPr>
                      <w:rFonts w:hint="eastAsia"/>
                      <w:szCs w:val="21"/>
                    </w:rPr>
                    <w:t>生态</w:t>
                  </w:r>
                  <w:r>
                    <w:rPr>
                      <w:szCs w:val="21"/>
                    </w:rPr>
                    <w:t>节点</w:t>
                  </w:r>
                </w:p>
              </w:tc>
              <w:tc>
                <w:tcPr>
                  <w:tcW w:w="3294" w:type="pct"/>
                  <w:tcBorders>
                    <w:top w:val="single" w:color="000000" w:sz="2" w:space="0"/>
                    <w:bottom w:val="single" w:color="000000" w:sz="2" w:space="0"/>
                  </w:tcBorders>
                  <w:vAlign w:val="center"/>
                </w:tcPr>
                <w:p w14:paraId="19321E14">
                  <w:pPr>
                    <w:contextualSpacing/>
                    <w:jc w:val="center"/>
                    <w:outlineLvl w:val="0"/>
                    <w:rPr>
                      <w:szCs w:val="21"/>
                    </w:rPr>
                  </w:pPr>
                  <w:r>
                    <w:rPr>
                      <w:rFonts w:hint="eastAsia"/>
                      <w:szCs w:val="21"/>
                    </w:rPr>
                    <w:t>新建四处生态湿地节点（分为彭家沟生态湿地节点、资水河大桥生态湿地节点、神仙桥生态湿地节点、三绕生态湿地节点，主要内容包括梯田湿地11.17hm²，垛田湿地3.99hm²，生态隔离带1.45hm²，生产便道2.3km）。</w:t>
                  </w:r>
                </w:p>
                <w:p w14:paraId="417A6860">
                  <w:pPr>
                    <w:contextualSpacing/>
                    <w:jc w:val="left"/>
                    <w:outlineLvl w:val="0"/>
                    <w:rPr>
                      <w:szCs w:val="21"/>
                    </w:rPr>
                  </w:pPr>
                  <w:r>
                    <w:rPr>
                      <w:rFonts w:hint="eastAsia"/>
                      <w:szCs w:val="21"/>
                    </w:rPr>
                    <w:t xml:space="preserve">  湿地节点于堤岸后紧邻设置，用于景观的改造，同时辅助净化河流水质，湿地建设会不会改变河体流向，河宽等水文形式。</w:t>
                  </w:r>
                </w:p>
              </w:tc>
              <w:tc>
                <w:tcPr>
                  <w:tcW w:w="760" w:type="pct"/>
                  <w:tcBorders>
                    <w:top w:val="single" w:color="000000" w:sz="2" w:space="0"/>
                    <w:bottom w:val="single" w:color="000000" w:sz="2" w:space="0"/>
                  </w:tcBorders>
                  <w:vAlign w:val="center"/>
                </w:tcPr>
                <w:p w14:paraId="2D5A54A5">
                  <w:pPr>
                    <w:contextualSpacing/>
                    <w:jc w:val="center"/>
                    <w:outlineLvl w:val="0"/>
                    <w:rPr>
                      <w:rFonts w:hint="eastAsia"/>
                      <w:szCs w:val="21"/>
                    </w:rPr>
                  </w:pPr>
                  <w:r>
                    <w:rPr>
                      <w:rFonts w:hint="eastAsia"/>
                      <w:szCs w:val="21"/>
                      <w:lang w:val="en-US" w:eastAsia="zh-CN"/>
                    </w:rPr>
                    <w:t>与环评一致</w:t>
                  </w:r>
                </w:p>
              </w:tc>
            </w:tr>
            <w:tr w14:paraId="2F3F92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 w:hRule="atLeast"/>
                <w:jc w:val="center"/>
              </w:trPr>
              <w:tc>
                <w:tcPr>
                  <w:tcW w:w="355" w:type="pct"/>
                  <w:vMerge w:val="continue"/>
                  <w:vAlign w:val="center"/>
                </w:tcPr>
                <w:p w14:paraId="456D0E27">
                  <w:pPr>
                    <w:contextualSpacing/>
                    <w:jc w:val="center"/>
                    <w:rPr>
                      <w:bCs/>
                      <w:szCs w:val="21"/>
                    </w:rPr>
                  </w:pPr>
                </w:p>
              </w:tc>
              <w:tc>
                <w:tcPr>
                  <w:tcW w:w="589" w:type="pct"/>
                  <w:tcBorders>
                    <w:bottom w:val="single" w:color="auto" w:sz="4" w:space="0"/>
                  </w:tcBorders>
                  <w:vAlign w:val="center"/>
                </w:tcPr>
                <w:p w14:paraId="0B506A7A">
                  <w:pPr>
                    <w:contextualSpacing/>
                    <w:jc w:val="center"/>
                    <w:rPr>
                      <w:szCs w:val="21"/>
                    </w:rPr>
                  </w:pPr>
                  <w:r>
                    <w:rPr>
                      <w:rFonts w:hint="eastAsia"/>
                      <w:szCs w:val="21"/>
                    </w:rPr>
                    <w:t>滨河湿地</w:t>
                  </w:r>
                </w:p>
              </w:tc>
              <w:tc>
                <w:tcPr>
                  <w:tcW w:w="3294" w:type="pct"/>
                  <w:tcBorders>
                    <w:top w:val="single" w:color="000000" w:sz="2" w:space="0"/>
                    <w:bottom w:val="single" w:color="000000" w:sz="2" w:space="0"/>
                  </w:tcBorders>
                  <w:vAlign w:val="center"/>
                </w:tcPr>
                <w:p w14:paraId="133B2FD6">
                  <w:pPr>
                    <w:contextualSpacing/>
                    <w:jc w:val="center"/>
                    <w:outlineLvl w:val="0"/>
                    <w:rPr>
                      <w:szCs w:val="21"/>
                    </w:rPr>
                  </w:pPr>
                  <w:r>
                    <w:rPr>
                      <w:rFonts w:hint="eastAsia"/>
                      <w:szCs w:val="21"/>
                    </w:rPr>
                    <w:t xml:space="preserve">   在护岸工程范围的缓坡河段，根据地形设置1-5m宽的浅水区，构建浅水河流生态湿地。浅水区水深30cm，浅水区底部压实后，采用麦克加筋垫+20cm厚种植土+挺水植物护底。</w:t>
                  </w:r>
                  <w:r>
                    <w:rPr>
                      <w:rFonts w:hint="eastAsia"/>
                    </w:rPr>
                    <w:t>浅水区滨河湿地约3</w:t>
                  </w:r>
                  <w:r>
                    <w:t>1628.18</w:t>
                  </w:r>
                  <w:r>
                    <w:rPr>
                      <w:rFonts w:hint="eastAsia"/>
                    </w:rPr>
                    <w:t>㎡。</w:t>
                  </w:r>
                </w:p>
              </w:tc>
              <w:tc>
                <w:tcPr>
                  <w:tcW w:w="760" w:type="pct"/>
                  <w:tcBorders>
                    <w:top w:val="single" w:color="000000" w:sz="2" w:space="0"/>
                    <w:bottom w:val="single" w:color="000000" w:sz="2" w:space="0"/>
                  </w:tcBorders>
                  <w:vAlign w:val="center"/>
                </w:tcPr>
                <w:p w14:paraId="7C322F50">
                  <w:pPr>
                    <w:contextualSpacing/>
                    <w:jc w:val="center"/>
                    <w:outlineLvl w:val="0"/>
                    <w:rPr>
                      <w:rFonts w:hint="eastAsia"/>
                      <w:szCs w:val="21"/>
                    </w:rPr>
                  </w:pPr>
                  <w:r>
                    <w:rPr>
                      <w:rFonts w:hint="eastAsia"/>
                      <w:szCs w:val="21"/>
                      <w:lang w:val="en-US" w:eastAsia="zh-CN"/>
                    </w:rPr>
                    <w:t>与环评一致</w:t>
                  </w:r>
                </w:p>
              </w:tc>
            </w:tr>
            <w:tr w14:paraId="45254F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5" w:type="pct"/>
                  <w:vMerge w:val="restart"/>
                  <w:vAlign w:val="center"/>
                </w:tcPr>
                <w:p w14:paraId="343C1410">
                  <w:pPr>
                    <w:contextualSpacing/>
                    <w:jc w:val="center"/>
                    <w:rPr>
                      <w:bCs/>
                      <w:szCs w:val="21"/>
                    </w:rPr>
                  </w:pPr>
                  <w:r>
                    <w:rPr>
                      <w:bCs/>
                      <w:szCs w:val="21"/>
                    </w:rPr>
                    <w:t>辅助工程</w:t>
                  </w:r>
                </w:p>
              </w:tc>
              <w:tc>
                <w:tcPr>
                  <w:tcW w:w="589" w:type="pct"/>
                  <w:tcBorders>
                    <w:top w:val="single" w:color="auto" w:sz="4" w:space="0"/>
                    <w:bottom w:val="single" w:color="000000" w:sz="2" w:space="0"/>
                  </w:tcBorders>
                  <w:vAlign w:val="center"/>
                </w:tcPr>
                <w:p w14:paraId="138C2C99">
                  <w:pPr>
                    <w:contextualSpacing/>
                    <w:jc w:val="center"/>
                    <w:rPr>
                      <w:szCs w:val="21"/>
                    </w:rPr>
                  </w:pPr>
                  <w:r>
                    <w:rPr>
                      <w:rFonts w:hint="eastAsia"/>
                      <w:szCs w:val="21"/>
                    </w:rPr>
                    <w:t>排涝工程</w:t>
                  </w:r>
                </w:p>
              </w:tc>
              <w:tc>
                <w:tcPr>
                  <w:tcW w:w="3294" w:type="pct"/>
                  <w:tcBorders>
                    <w:top w:val="single" w:color="000000" w:sz="2" w:space="0"/>
                    <w:bottom w:val="single" w:color="000000" w:sz="2" w:space="0"/>
                  </w:tcBorders>
                  <w:vAlign w:val="center"/>
                </w:tcPr>
                <w:p w14:paraId="16243414">
                  <w:pPr>
                    <w:ind w:firstLine="420" w:firstLineChars="200"/>
                    <w:contextualSpacing/>
                    <w:jc w:val="left"/>
                    <w:outlineLvl w:val="0"/>
                    <w:rPr>
                      <w:szCs w:val="21"/>
                    </w:rPr>
                  </w:pPr>
                  <w:r>
                    <w:rPr>
                      <w:rFonts w:hint="eastAsia"/>
                      <w:szCs w:val="21"/>
                    </w:rPr>
                    <w:t>排涝标准为5年一遇；设置1处盖板涵（总计12m）、6处涵管（总计52m）；</w:t>
                  </w:r>
                </w:p>
              </w:tc>
              <w:tc>
                <w:tcPr>
                  <w:tcW w:w="760" w:type="pct"/>
                  <w:tcBorders>
                    <w:top w:val="single" w:color="000000" w:sz="2" w:space="0"/>
                    <w:bottom w:val="single" w:color="000000" w:sz="2" w:space="0"/>
                  </w:tcBorders>
                  <w:vAlign w:val="center"/>
                </w:tcPr>
                <w:p w14:paraId="3060F7B4">
                  <w:pPr>
                    <w:ind w:firstLine="420" w:firstLineChars="200"/>
                    <w:contextualSpacing/>
                    <w:jc w:val="center"/>
                    <w:outlineLvl w:val="0"/>
                    <w:rPr>
                      <w:rFonts w:hint="eastAsia"/>
                      <w:szCs w:val="21"/>
                    </w:rPr>
                  </w:pPr>
                </w:p>
              </w:tc>
            </w:tr>
            <w:tr w14:paraId="575B7A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355" w:type="pct"/>
                  <w:vMerge w:val="continue"/>
                  <w:vAlign w:val="center"/>
                </w:tcPr>
                <w:p w14:paraId="6CAE5CAA">
                  <w:pPr>
                    <w:contextualSpacing/>
                    <w:jc w:val="center"/>
                    <w:rPr>
                      <w:bCs/>
                      <w:szCs w:val="21"/>
                    </w:rPr>
                  </w:pPr>
                </w:p>
              </w:tc>
              <w:tc>
                <w:tcPr>
                  <w:tcW w:w="589" w:type="pct"/>
                  <w:tcBorders>
                    <w:top w:val="single" w:color="000000" w:sz="2" w:space="0"/>
                    <w:bottom w:val="single" w:color="000000" w:sz="2" w:space="0"/>
                  </w:tcBorders>
                  <w:vAlign w:val="center"/>
                </w:tcPr>
                <w:p w14:paraId="773BBFEE">
                  <w:pPr>
                    <w:contextualSpacing/>
                    <w:jc w:val="center"/>
                    <w:rPr>
                      <w:szCs w:val="21"/>
                    </w:rPr>
                  </w:pPr>
                  <w:r>
                    <w:rPr>
                      <w:rFonts w:hint="eastAsia"/>
                      <w:szCs w:val="21"/>
                    </w:rPr>
                    <w:t>清淤疏浚</w:t>
                  </w:r>
                </w:p>
              </w:tc>
              <w:tc>
                <w:tcPr>
                  <w:tcW w:w="3294" w:type="pct"/>
                  <w:tcBorders>
                    <w:top w:val="single" w:color="000000" w:sz="2" w:space="0"/>
                    <w:bottom w:val="single" w:color="000000" w:sz="2" w:space="0"/>
                  </w:tcBorders>
                  <w:vAlign w:val="center"/>
                </w:tcPr>
                <w:p w14:paraId="64A4ECDC">
                  <w:pPr>
                    <w:ind w:firstLine="420" w:firstLineChars="200"/>
                    <w:contextualSpacing/>
                    <w:jc w:val="left"/>
                    <w:outlineLvl w:val="0"/>
                    <w:rPr>
                      <w:szCs w:val="21"/>
                    </w:rPr>
                  </w:pPr>
                  <w:r>
                    <w:rPr>
                      <w:rFonts w:hint="eastAsia"/>
                      <w:szCs w:val="21"/>
                    </w:rPr>
                    <w:t>无</w:t>
                  </w:r>
                </w:p>
              </w:tc>
              <w:tc>
                <w:tcPr>
                  <w:tcW w:w="760" w:type="pct"/>
                  <w:tcBorders>
                    <w:top w:val="single" w:color="000000" w:sz="2" w:space="0"/>
                    <w:bottom w:val="single" w:color="000000" w:sz="2" w:space="0"/>
                  </w:tcBorders>
                  <w:vAlign w:val="center"/>
                </w:tcPr>
                <w:p w14:paraId="25A42FC0">
                  <w:pPr>
                    <w:ind w:firstLine="420" w:firstLineChars="200"/>
                    <w:contextualSpacing/>
                    <w:jc w:val="center"/>
                    <w:outlineLvl w:val="0"/>
                    <w:rPr>
                      <w:rFonts w:hint="eastAsia"/>
                      <w:szCs w:val="21"/>
                    </w:rPr>
                  </w:pPr>
                  <w:r>
                    <w:rPr>
                      <w:rFonts w:hint="eastAsia"/>
                      <w:szCs w:val="21"/>
                      <w:lang w:val="en-US" w:eastAsia="zh-CN"/>
                    </w:rPr>
                    <w:t>与环评一致</w:t>
                  </w:r>
                </w:p>
              </w:tc>
            </w:tr>
            <w:tr w14:paraId="31DFCA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355" w:type="pct"/>
                  <w:vMerge w:val="continue"/>
                  <w:vAlign w:val="center"/>
                </w:tcPr>
                <w:p w14:paraId="60C15E23">
                  <w:pPr>
                    <w:contextualSpacing/>
                    <w:jc w:val="center"/>
                    <w:rPr>
                      <w:bCs/>
                      <w:szCs w:val="21"/>
                    </w:rPr>
                  </w:pPr>
                </w:p>
              </w:tc>
              <w:tc>
                <w:tcPr>
                  <w:tcW w:w="589" w:type="pct"/>
                  <w:tcBorders>
                    <w:top w:val="single" w:color="000000" w:sz="2" w:space="0"/>
                    <w:bottom w:val="single" w:color="000000" w:sz="2" w:space="0"/>
                  </w:tcBorders>
                  <w:vAlign w:val="center"/>
                </w:tcPr>
                <w:p w14:paraId="540C1EFB">
                  <w:pPr>
                    <w:contextualSpacing/>
                    <w:jc w:val="center"/>
                    <w:rPr>
                      <w:szCs w:val="21"/>
                    </w:rPr>
                  </w:pPr>
                  <w:r>
                    <w:rPr>
                      <w:rFonts w:hint="eastAsia"/>
                      <w:szCs w:val="21"/>
                    </w:rPr>
                    <w:t>下河梯步</w:t>
                  </w:r>
                </w:p>
              </w:tc>
              <w:tc>
                <w:tcPr>
                  <w:tcW w:w="3294" w:type="pct"/>
                  <w:tcBorders>
                    <w:top w:val="single" w:color="000000" w:sz="2" w:space="0"/>
                    <w:bottom w:val="single" w:color="000000" w:sz="2" w:space="0"/>
                  </w:tcBorders>
                  <w:vAlign w:val="center"/>
                </w:tcPr>
                <w:p w14:paraId="046DFA19">
                  <w:pPr>
                    <w:ind w:firstLine="420" w:firstLineChars="200"/>
                    <w:contextualSpacing/>
                    <w:jc w:val="left"/>
                    <w:outlineLvl w:val="0"/>
                    <w:rPr>
                      <w:szCs w:val="21"/>
                    </w:rPr>
                  </w:pPr>
                  <w:r>
                    <w:rPr>
                      <w:rFonts w:hint="eastAsia"/>
                      <w:szCs w:val="21"/>
                    </w:rPr>
                    <w:t>在人口聚居点新建8处下河梯步</w:t>
                  </w:r>
                </w:p>
              </w:tc>
              <w:tc>
                <w:tcPr>
                  <w:tcW w:w="760" w:type="pct"/>
                  <w:tcBorders>
                    <w:top w:val="single" w:color="000000" w:sz="2" w:space="0"/>
                    <w:bottom w:val="single" w:color="000000" w:sz="2" w:space="0"/>
                  </w:tcBorders>
                  <w:vAlign w:val="center"/>
                </w:tcPr>
                <w:p w14:paraId="19025A95">
                  <w:pPr>
                    <w:ind w:firstLine="420" w:firstLineChars="200"/>
                    <w:contextualSpacing/>
                    <w:jc w:val="left"/>
                    <w:outlineLvl w:val="0"/>
                    <w:rPr>
                      <w:rFonts w:hint="eastAsia"/>
                      <w:szCs w:val="21"/>
                    </w:rPr>
                  </w:pPr>
                  <w:r>
                    <w:rPr>
                      <w:rFonts w:hint="eastAsia"/>
                      <w:szCs w:val="21"/>
                      <w:lang w:val="en-US" w:eastAsia="zh-CN"/>
                    </w:rPr>
                    <w:t>与环评一致</w:t>
                  </w:r>
                </w:p>
              </w:tc>
            </w:tr>
            <w:tr w14:paraId="6C8702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355" w:type="pct"/>
                  <w:vMerge w:val="restart"/>
                  <w:vAlign w:val="center"/>
                </w:tcPr>
                <w:p w14:paraId="6783B0FC">
                  <w:pPr>
                    <w:contextualSpacing/>
                    <w:jc w:val="center"/>
                    <w:rPr>
                      <w:bCs/>
                      <w:szCs w:val="21"/>
                    </w:rPr>
                  </w:pPr>
                  <w:r>
                    <w:rPr>
                      <w:rFonts w:hint="eastAsia"/>
                      <w:bCs/>
                      <w:szCs w:val="21"/>
                    </w:rPr>
                    <w:t>临时</w:t>
                  </w:r>
                  <w:r>
                    <w:rPr>
                      <w:bCs/>
                      <w:szCs w:val="21"/>
                    </w:rPr>
                    <w:t>工程及辅助工程</w:t>
                  </w:r>
                </w:p>
                <w:p w14:paraId="7B7FAA3A">
                  <w:pPr>
                    <w:contextualSpacing/>
                    <w:jc w:val="center"/>
                    <w:rPr>
                      <w:bCs/>
                      <w:szCs w:val="21"/>
                    </w:rPr>
                  </w:pPr>
                </w:p>
              </w:tc>
              <w:tc>
                <w:tcPr>
                  <w:tcW w:w="589" w:type="pct"/>
                  <w:tcBorders>
                    <w:bottom w:val="single" w:color="000000" w:sz="2" w:space="0"/>
                  </w:tcBorders>
                  <w:vAlign w:val="center"/>
                </w:tcPr>
                <w:p w14:paraId="46BD59B1">
                  <w:pPr>
                    <w:contextualSpacing/>
                    <w:jc w:val="center"/>
                    <w:rPr>
                      <w:szCs w:val="21"/>
                    </w:rPr>
                  </w:pPr>
                  <w:r>
                    <w:rPr>
                      <w:rFonts w:hint="eastAsia"/>
                      <w:szCs w:val="21"/>
                    </w:rPr>
                    <w:t>导流</w:t>
                  </w:r>
                  <w:r>
                    <w:rPr>
                      <w:szCs w:val="21"/>
                    </w:rPr>
                    <w:t>工程</w:t>
                  </w:r>
                </w:p>
              </w:tc>
              <w:tc>
                <w:tcPr>
                  <w:tcW w:w="3294" w:type="pct"/>
                  <w:tcBorders>
                    <w:bottom w:val="single" w:color="000000" w:sz="2" w:space="0"/>
                  </w:tcBorders>
                  <w:vAlign w:val="center"/>
                </w:tcPr>
                <w:p w14:paraId="15686C02">
                  <w:pPr>
                    <w:contextualSpacing/>
                    <w:jc w:val="center"/>
                    <w:rPr>
                      <w:szCs w:val="21"/>
                    </w:rPr>
                  </w:pPr>
                  <w:r>
                    <w:rPr>
                      <w:rFonts w:hint="eastAsia"/>
                      <w:szCs w:val="21"/>
                    </w:rPr>
                    <w:t>本工程安排在枯水期施工，由于工程采用桩基础，桩顶高程低于正常蓄水位0.1m，因此本工程不需进行导流。</w:t>
                  </w:r>
                </w:p>
                <w:p w14:paraId="69732F39">
                  <w:pPr>
                    <w:contextualSpacing/>
                    <w:jc w:val="center"/>
                    <w:rPr>
                      <w:szCs w:val="21"/>
                    </w:rPr>
                  </w:pPr>
                  <w:r>
                    <w:rPr>
                      <w:rFonts w:hint="eastAsia"/>
                      <w:szCs w:val="21"/>
                    </w:rPr>
                    <w:t xml:space="preserve">  考虑桩基施工及浅水区的建设（浅水区低于正常蓄水位0.3m），仅需将水位降低1m，即能满足施工条件。工程区拦河堰均具有放空放水洞，可通过拦河堰放水洞降低施工河段水位</w:t>
                  </w:r>
                </w:p>
              </w:tc>
              <w:tc>
                <w:tcPr>
                  <w:tcW w:w="760" w:type="pct"/>
                  <w:tcBorders>
                    <w:bottom w:val="single" w:color="000000" w:sz="2" w:space="0"/>
                  </w:tcBorders>
                  <w:vAlign w:val="center"/>
                </w:tcPr>
                <w:p w14:paraId="37BBC8F1">
                  <w:pPr>
                    <w:contextualSpacing/>
                    <w:jc w:val="center"/>
                    <w:rPr>
                      <w:rFonts w:hint="eastAsia"/>
                      <w:szCs w:val="21"/>
                    </w:rPr>
                  </w:pPr>
                  <w:r>
                    <w:rPr>
                      <w:rFonts w:hint="eastAsia"/>
                      <w:szCs w:val="21"/>
                      <w:lang w:val="en-US" w:eastAsia="zh-CN"/>
                    </w:rPr>
                    <w:t>与环评一致</w:t>
                  </w:r>
                </w:p>
              </w:tc>
            </w:tr>
            <w:tr w14:paraId="67133F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355" w:type="pct"/>
                  <w:vMerge w:val="continue"/>
                  <w:vAlign w:val="center"/>
                </w:tcPr>
                <w:p w14:paraId="6DAB1C59">
                  <w:pPr>
                    <w:contextualSpacing/>
                    <w:jc w:val="center"/>
                    <w:rPr>
                      <w:bCs/>
                      <w:szCs w:val="21"/>
                    </w:rPr>
                  </w:pPr>
                </w:p>
              </w:tc>
              <w:tc>
                <w:tcPr>
                  <w:tcW w:w="589" w:type="pct"/>
                  <w:tcBorders>
                    <w:top w:val="single" w:color="000000" w:sz="2" w:space="0"/>
                  </w:tcBorders>
                  <w:vAlign w:val="center"/>
                </w:tcPr>
                <w:p w14:paraId="1DB08B87">
                  <w:pPr>
                    <w:contextualSpacing/>
                    <w:jc w:val="center"/>
                    <w:rPr>
                      <w:szCs w:val="21"/>
                    </w:rPr>
                  </w:pPr>
                  <w:r>
                    <w:rPr>
                      <w:rFonts w:hint="eastAsia"/>
                      <w:szCs w:val="21"/>
                    </w:rPr>
                    <w:t>基础坑排水</w:t>
                  </w:r>
                </w:p>
              </w:tc>
              <w:tc>
                <w:tcPr>
                  <w:tcW w:w="3294" w:type="pct"/>
                  <w:tcBorders>
                    <w:top w:val="single" w:color="000000" w:sz="2" w:space="0"/>
                  </w:tcBorders>
                  <w:vAlign w:val="center"/>
                </w:tcPr>
                <w:p w14:paraId="529241BC">
                  <w:pPr>
                    <w:contextualSpacing/>
                    <w:jc w:val="center"/>
                    <w:rPr>
                      <w:szCs w:val="21"/>
                    </w:rPr>
                  </w:pPr>
                  <w:r>
                    <w:rPr>
                      <w:rFonts w:hint="eastAsia"/>
                      <w:szCs w:val="21"/>
                    </w:rPr>
                    <w:t>本工程不涉及基坑排水</w:t>
                  </w:r>
                </w:p>
              </w:tc>
              <w:tc>
                <w:tcPr>
                  <w:tcW w:w="760" w:type="pct"/>
                  <w:tcBorders>
                    <w:top w:val="single" w:color="000000" w:sz="2" w:space="0"/>
                  </w:tcBorders>
                  <w:vAlign w:val="center"/>
                </w:tcPr>
                <w:p w14:paraId="0DBA4EC8">
                  <w:pPr>
                    <w:contextualSpacing/>
                    <w:jc w:val="center"/>
                    <w:rPr>
                      <w:rFonts w:hint="eastAsia"/>
                      <w:szCs w:val="21"/>
                    </w:rPr>
                  </w:pPr>
                  <w:r>
                    <w:rPr>
                      <w:rFonts w:hint="eastAsia"/>
                      <w:szCs w:val="21"/>
                      <w:lang w:val="en-US" w:eastAsia="zh-CN"/>
                    </w:rPr>
                    <w:t>与环评一致</w:t>
                  </w:r>
                </w:p>
              </w:tc>
            </w:tr>
            <w:tr w14:paraId="06E79C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 w:type="pct"/>
                  <w:vMerge w:val="continue"/>
                  <w:vAlign w:val="center"/>
                </w:tcPr>
                <w:p w14:paraId="43182DA8">
                  <w:pPr>
                    <w:contextualSpacing/>
                    <w:jc w:val="center"/>
                    <w:rPr>
                      <w:bCs/>
                      <w:szCs w:val="21"/>
                    </w:rPr>
                  </w:pPr>
                </w:p>
              </w:tc>
              <w:tc>
                <w:tcPr>
                  <w:tcW w:w="589" w:type="pct"/>
                  <w:vAlign w:val="center"/>
                </w:tcPr>
                <w:p w14:paraId="4A98AA94">
                  <w:pPr>
                    <w:contextualSpacing/>
                    <w:jc w:val="center"/>
                    <w:rPr>
                      <w:szCs w:val="21"/>
                    </w:rPr>
                  </w:pPr>
                  <w:r>
                    <w:rPr>
                      <w:szCs w:val="21"/>
                    </w:rPr>
                    <w:t>施工工区</w:t>
                  </w:r>
                </w:p>
              </w:tc>
              <w:tc>
                <w:tcPr>
                  <w:tcW w:w="3294" w:type="pct"/>
                  <w:vAlign w:val="center"/>
                </w:tcPr>
                <w:p w14:paraId="243FB5C0">
                  <w:pPr>
                    <w:contextualSpacing/>
                    <w:jc w:val="center"/>
                    <w:rPr>
                      <w:szCs w:val="21"/>
                    </w:rPr>
                  </w:pPr>
                  <w:r>
                    <w:rPr>
                      <w:rFonts w:hint="eastAsia"/>
                      <w:szCs w:val="21"/>
                    </w:rPr>
                    <w:t>分2 个工区（</w:t>
                  </w:r>
                  <w:r>
                    <w:rPr>
                      <w:rFonts w:hint="eastAsia" w:ascii="仿宋" w:hAnsi="仿宋" w:eastAsia="仿宋"/>
                      <w:szCs w:val="21"/>
                    </w:rPr>
                    <w:t>1号位于资水河8段右岸，2号施工区位于三饶生态节点处</w:t>
                  </w:r>
                  <w:r>
                    <w:rPr>
                      <w:rFonts w:hint="eastAsia"/>
                      <w:szCs w:val="21"/>
                    </w:rPr>
                    <w:t>），施工区布置有加工区、设备停放区、临时堆料场等，其中施工生活区、施工仓库用房均租用附近民房</w:t>
                  </w:r>
                </w:p>
              </w:tc>
              <w:tc>
                <w:tcPr>
                  <w:tcW w:w="760" w:type="pct"/>
                  <w:vAlign w:val="center"/>
                </w:tcPr>
                <w:p w14:paraId="2F5F9CDD">
                  <w:pPr>
                    <w:contextualSpacing/>
                    <w:jc w:val="center"/>
                    <w:rPr>
                      <w:rFonts w:hint="eastAsia"/>
                      <w:szCs w:val="21"/>
                    </w:rPr>
                  </w:pPr>
                  <w:r>
                    <w:rPr>
                      <w:rFonts w:hint="eastAsia"/>
                      <w:szCs w:val="21"/>
                      <w:lang w:val="en-US" w:eastAsia="zh-CN"/>
                    </w:rPr>
                    <w:t>与环评一致</w:t>
                  </w:r>
                </w:p>
              </w:tc>
            </w:tr>
            <w:tr w14:paraId="522EA2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 w:type="pct"/>
                  <w:vMerge w:val="continue"/>
                  <w:vAlign w:val="center"/>
                </w:tcPr>
                <w:p w14:paraId="523EFB34">
                  <w:pPr>
                    <w:contextualSpacing/>
                    <w:jc w:val="center"/>
                    <w:rPr>
                      <w:bCs/>
                      <w:szCs w:val="21"/>
                    </w:rPr>
                  </w:pPr>
                </w:p>
              </w:tc>
              <w:tc>
                <w:tcPr>
                  <w:tcW w:w="589" w:type="pct"/>
                  <w:vAlign w:val="center"/>
                </w:tcPr>
                <w:p w14:paraId="2C8F1594">
                  <w:pPr>
                    <w:pStyle w:val="18"/>
                    <w:ind w:left="0" w:leftChars="0"/>
                    <w:contextualSpacing/>
                    <w:jc w:val="center"/>
                    <w:rPr>
                      <w:rFonts w:hint="eastAsia" w:ascii="宋体" w:hAnsi="宋体" w:eastAsia="宋体" w:cs="宋体"/>
                      <w:bCs/>
                      <w:sz w:val="21"/>
                      <w:szCs w:val="21"/>
                    </w:rPr>
                  </w:pPr>
                  <w:r>
                    <w:rPr>
                      <w:rFonts w:hint="eastAsia" w:ascii="宋体" w:hAnsi="宋体" w:eastAsia="宋体" w:cs="宋体"/>
                      <w:sz w:val="21"/>
                      <w:szCs w:val="21"/>
                    </w:rPr>
                    <w:t>临时道路</w:t>
                  </w:r>
                </w:p>
              </w:tc>
              <w:tc>
                <w:tcPr>
                  <w:tcW w:w="3294" w:type="pct"/>
                  <w:vAlign w:val="center"/>
                </w:tcPr>
                <w:p w14:paraId="39176D9B">
                  <w:pPr>
                    <w:contextualSpacing/>
                    <w:jc w:val="center"/>
                    <w:rPr>
                      <w:szCs w:val="21"/>
                    </w:rPr>
                  </w:pPr>
                  <w:r>
                    <w:rPr>
                      <w:szCs w:val="21"/>
                    </w:rPr>
                    <w:t>对外交通利用现有道路</w:t>
                  </w:r>
                  <w:r>
                    <w:rPr>
                      <w:rFonts w:hint="eastAsia"/>
                      <w:szCs w:val="21"/>
                    </w:rPr>
                    <w:t>；</w:t>
                  </w:r>
                  <w:r>
                    <w:rPr>
                      <w:szCs w:val="21"/>
                    </w:rPr>
                    <w:t>场内交通</w:t>
                  </w:r>
                  <w:r>
                    <w:rPr>
                      <w:rFonts w:hint="eastAsia"/>
                      <w:szCs w:val="21"/>
                    </w:rPr>
                    <w:t>新建1592m长3.5m宽临时道路连接场外交通。</w:t>
                  </w:r>
                </w:p>
              </w:tc>
              <w:tc>
                <w:tcPr>
                  <w:tcW w:w="760" w:type="pct"/>
                  <w:vAlign w:val="center"/>
                </w:tcPr>
                <w:p w14:paraId="04349D15">
                  <w:pPr>
                    <w:contextualSpacing/>
                    <w:jc w:val="center"/>
                    <w:rPr>
                      <w:szCs w:val="21"/>
                    </w:rPr>
                  </w:pPr>
                  <w:r>
                    <w:rPr>
                      <w:rFonts w:hint="eastAsia"/>
                      <w:szCs w:val="21"/>
                      <w:lang w:val="en-US" w:eastAsia="zh-CN"/>
                    </w:rPr>
                    <w:t>与环评一致</w:t>
                  </w:r>
                </w:p>
              </w:tc>
            </w:tr>
            <w:tr w14:paraId="4D5CEB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3" w:hRule="atLeast"/>
                <w:jc w:val="center"/>
              </w:trPr>
              <w:tc>
                <w:tcPr>
                  <w:tcW w:w="355" w:type="pct"/>
                  <w:vMerge w:val="continue"/>
                  <w:vAlign w:val="center"/>
                </w:tcPr>
                <w:p w14:paraId="6850D95A">
                  <w:pPr>
                    <w:contextualSpacing/>
                    <w:jc w:val="center"/>
                    <w:rPr>
                      <w:bCs/>
                      <w:szCs w:val="21"/>
                    </w:rPr>
                  </w:pPr>
                </w:p>
              </w:tc>
              <w:tc>
                <w:tcPr>
                  <w:tcW w:w="589" w:type="pct"/>
                  <w:tcBorders>
                    <w:bottom w:val="single" w:color="000000" w:sz="2" w:space="0"/>
                  </w:tcBorders>
                  <w:vAlign w:val="center"/>
                </w:tcPr>
                <w:p w14:paraId="768653BD">
                  <w:pPr>
                    <w:pStyle w:val="18"/>
                    <w:ind w:left="0" w:leftChars="0"/>
                    <w:contextualSpacing/>
                    <w:jc w:val="center"/>
                    <w:rPr>
                      <w:rFonts w:hint="eastAsia" w:ascii="宋体" w:hAnsi="宋体" w:eastAsia="宋体" w:cs="宋体"/>
                      <w:bCs/>
                      <w:sz w:val="21"/>
                      <w:szCs w:val="21"/>
                    </w:rPr>
                  </w:pPr>
                  <w:r>
                    <w:rPr>
                      <w:rFonts w:hint="eastAsia" w:ascii="宋体" w:hAnsi="宋体" w:eastAsia="宋体" w:cs="宋体"/>
                      <w:bCs/>
                      <w:sz w:val="21"/>
                      <w:szCs w:val="21"/>
                    </w:rPr>
                    <w:t>料场</w:t>
                  </w:r>
                </w:p>
              </w:tc>
              <w:tc>
                <w:tcPr>
                  <w:tcW w:w="3294" w:type="pct"/>
                  <w:tcBorders>
                    <w:bottom w:val="single" w:color="000000" w:sz="2" w:space="0"/>
                  </w:tcBorders>
                  <w:vAlign w:val="center"/>
                </w:tcPr>
                <w:p w14:paraId="0032C5AB">
                  <w:pPr>
                    <w:contextualSpacing/>
                    <w:jc w:val="center"/>
                    <w:rPr>
                      <w:bCs/>
                      <w:szCs w:val="21"/>
                    </w:rPr>
                  </w:pPr>
                  <w:r>
                    <w:rPr>
                      <w:rFonts w:hint="eastAsia"/>
                      <w:bCs/>
                      <w:szCs w:val="21"/>
                    </w:rPr>
                    <w:t>钢材、木材、水泥、混凝土等均外购，回填料充分利用开挖料</w:t>
                  </w:r>
                </w:p>
              </w:tc>
              <w:tc>
                <w:tcPr>
                  <w:tcW w:w="760" w:type="pct"/>
                  <w:tcBorders>
                    <w:bottom w:val="single" w:color="000000" w:sz="2" w:space="0"/>
                  </w:tcBorders>
                  <w:vAlign w:val="center"/>
                </w:tcPr>
                <w:p w14:paraId="4C8F5607">
                  <w:pPr>
                    <w:contextualSpacing/>
                    <w:jc w:val="center"/>
                    <w:rPr>
                      <w:rFonts w:hint="eastAsia"/>
                      <w:bCs/>
                      <w:szCs w:val="21"/>
                    </w:rPr>
                  </w:pPr>
                  <w:r>
                    <w:rPr>
                      <w:rFonts w:hint="eastAsia"/>
                      <w:szCs w:val="21"/>
                      <w:lang w:val="en-US" w:eastAsia="zh-CN"/>
                    </w:rPr>
                    <w:t>与环评一致</w:t>
                  </w:r>
                </w:p>
              </w:tc>
            </w:tr>
            <w:tr w14:paraId="357F33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0" w:hRule="atLeast"/>
                <w:jc w:val="center"/>
              </w:trPr>
              <w:tc>
                <w:tcPr>
                  <w:tcW w:w="355" w:type="pct"/>
                  <w:vMerge w:val="continue"/>
                  <w:vAlign w:val="center"/>
                </w:tcPr>
                <w:p w14:paraId="69FFB50F">
                  <w:pPr>
                    <w:contextualSpacing/>
                    <w:jc w:val="center"/>
                    <w:rPr>
                      <w:bCs/>
                      <w:szCs w:val="21"/>
                    </w:rPr>
                  </w:pPr>
                </w:p>
              </w:tc>
              <w:tc>
                <w:tcPr>
                  <w:tcW w:w="589" w:type="pct"/>
                  <w:tcBorders>
                    <w:top w:val="single" w:color="000000" w:sz="2" w:space="0"/>
                    <w:bottom w:val="single" w:color="000000" w:sz="2" w:space="0"/>
                  </w:tcBorders>
                  <w:vAlign w:val="center"/>
                </w:tcPr>
                <w:p w14:paraId="75E153F8">
                  <w:pPr>
                    <w:pStyle w:val="18"/>
                    <w:ind w:left="0" w:leftChars="0"/>
                    <w:contextualSpacing/>
                    <w:jc w:val="center"/>
                    <w:rPr>
                      <w:rFonts w:hint="eastAsia" w:ascii="宋体" w:hAnsi="宋体" w:eastAsia="宋体" w:cs="宋体"/>
                      <w:bCs/>
                      <w:sz w:val="21"/>
                      <w:szCs w:val="21"/>
                    </w:rPr>
                  </w:pPr>
                  <w:r>
                    <w:rPr>
                      <w:rFonts w:hint="eastAsia" w:ascii="宋体" w:hAnsi="宋体" w:eastAsia="宋体" w:cs="宋体"/>
                      <w:bCs/>
                      <w:sz w:val="21"/>
                      <w:szCs w:val="21"/>
                    </w:rPr>
                    <w:t>弃渣场</w:t>
                  </w:r>
                </w:p>
              </w:tc>
              <w:tc>
                <w:tcPr>
                  <w:tcW w:w="3294" w:type="pct"/>
                  <w:tcBorders>
                    <w:top w:val="single" w:color="000000" w:sz="2" w:space="0"/>
                    <w:bottom w:val="single" w:color="000000" w:sz="2" w:space="0"/>
                  </w:tcBorders>
                  <w:vAlign w:val="center"/>
                </w:tcPr>
                <w:p w14:paraId="0BF88D72">
                  <w:pPr>
                    <w:contextualSpacing/>
                    <w:jc w:val="center"/>
                    <w:rPr>
                      <w:szCs w:val="21"/>
                    </w:rPr>
                  </w:pPr>
                  <w:r>
                    <w:rPr>
                      <w:rFonts w:hint="eastAsia"/>
                      <w:bCs/>
                      <w:szCs w:val="21"/>
                    </w:rPr>
                    <w:t>开挖料均临时堆放于沿线临时弃渣堆放区（</w:t>
                  </w:r>
                  <w:r>
                    <w:rPr>
                      <w:rFonts w:hint="eastAsia" w:ascii="仿宋" w:hAnsi="仿宋" w:eastAsia="仿宋"/>
                      <w:bCs/>
                      <w:szCs w:val="21"/>
                    </w:rPr>
                    <w:t>即工程沿线的低洼地带回填区域和耕地恢复、绿化造地用土的区域；</w:t>
                  </w:r>
                  <w:r>
                    <w:rPr>
                      <w:rFonts w:ascii="仿宋" w:hAnsi="仿宋" w:eastAsia="仿宋"/>
                    </w:rPr>
                    <w:t>占地面积为0.95hm</w:t>
                  </w:r>
                  <w:r>
                    <w:rPr>
                      <w:rFonts w:eastAsia="仿宋"/>
                    </w:rPr>
                    <w:t>²</w:t>
                  </w:r>
                  <w:r>
                    <w:rPr>
                      <w:rFonts w:hint="eastAsia"/>
                      <w:bCs/>
                      <w:szCs w:val="21"/>
                    </w:rPr>
                    <w:t>），后运送至回填区用作沿线低洼地带回填和耕地恢复、绿化造地用土使用</w:t>
                  </w:r>
                </w:p>
              </w:tc>
              <w:tc>
                <w:tcPr>
                  <w:tcW w:w="760" w:type="pct"/>
                  <w:tcBorders>
                    <w:top w:val="single" w:color="000000" w:sz="2" w:space="0"/>
                    <w:bottom w:val="single" w:color="000000" w:sz="2" w:space="0"/>
                  </w:tcBorders>
                  <w:vAlign w:val="center"/>
                </w:tcPr>
                <w:p w14:paraId="7E5C7DEB">
                  <w:pPr>
                    <w:contextualSpacing/>
                    <w:jc w:val="center"/>
                    <w:rPr>
                      <w:rFonts w:hint="eastAsia"/>
                      <w:bCs/>
                      <w:szCs w:val="21"/>
                    </w:rPr>
                  </w:pPr>
                  <w:r>
                    <w:rPr>
                      <w:rFonts w:hint="eastAsia"/>
                      <w:szCs w:val="21"/>
                      <w:lang w:val="en-US" w:eastAsia="zh-CN"/>
                    </w:rPr>
                    <w:t>与环评一致</w:t>
                  </w:r>
                </w:p>
              </w:tc>
            </w:tr>
            <w:tr w14:paraId="17A21D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0" w:hRule="atLeast"/>
                <w:jc w:val="center"/>
              </w:trPr>
              <w:tc>
                <w:tcPr>
                  <w:tcW w:w="355" w:type="pct"/>
                  <w:vMerge w:val="continue"/>
                  <w:vAlign w:val="center"/>
                </w:tcPr>
                <w:p w14:paraId="2782F31D">
                  <w:pPr>
                    <w:contextualSpacing/>
                    <w:jc w:val="center"/>
                    <w:rPr>
                      <w:bCs/>
                      <w:szCs w:val="21"/>
                    </w:rPr>
                  </w:pPr>
                </w:p>
              </w:tc>
              <w:tc>
                <w:tcPr>
                  <w:tcW w:w="589" w:type="pct"/>
                  <w:tcBorders>
                    <w:top w:val="single" w:color="000000" w:sz="2" w:space="0"/>
                    <w:bottom w:val="single" w:color="000000" w:sz="2" w:space="0"/>
                  </w:tcBorders>
                  <w:vAlign w:val="center"/>
                </w:tcPr>
                <w:p w14:paraId="1BFAC90B">
                  <w:pPr>
                    <w:pStyle w:val="18"/>
                    <w:ind w:left="0" w:leftChars="0"/>
                    <w:contextualSpacing/>
                    <w:jc w:val="center"/>
                    <w:rPr>
                      <w:rFonts w:hint="eastAsia" w:ascii="宋体" w:hAnsi="宋体" w:eastAsia="宋体" w:cs="宋体"/>
                      <w:bCs/>
                      <w:sz w:val="21"/>
                      <w:szCs w:val="21"/>
                    </w:rPr>
                  </w:pPr>
                  <w:r>
                    <w:rPr>
                      <w:rFonts w:hint="eastAsia" w:ascii="宋体" w:hAnsi="宋体" w:eastAsia="宋体" w:cs="宋体"/>
                      <w:bCs/>
                      <w:sz w:val="21"/>
                      <w:szCs w:val="21"/>
                    </w:rPr>
                    <w:t>混凝土拌合系统</w:t>
                  </w:r>
                </w:p>
              </w:tc>
              <w:tc>
                <w:tcPr>
                  <w:tcW w:w="3294" w:type="pct"/>
                  <w:tcBorders>
                    <w:top w:val="single" w:color="000000" w:sz="2" w:space="0"/>
                    <w:bottom w:val="single" w:color="000000" w:sz="2" w:space="0"/>
                  </w:tcBorders>
                  <w:vAlign w:val="center"/>
                </w:tcPr>
                <w:p w14:paraId="5BEEBB64">
                  <w:pPr>
                    <w:contextualSpacing/>
                    <w:jc w:val="center"/>
                    <w:rPr>
                      <w:szCs w:val="21"/>
                    </w:rPr>
                  </w:pPr>
                  <w:r>
                    <w:rPr>
                      <w:rFonts w:hint="eastAsia"/>
                      <w:bCs/>
                      <w:szCs w:val="21"/>
                    </w:rPr>
                    <w:t>采用</w:t>
                  </w:r>
                  <w:r>
                    <w:rPr>
                      <w:bCs/>
                      <w:szCs w:val="21"/>
                    </w:rPr>
                    <w:t>商品混凝土</w:t>
                  </w:r>
                  <w:r>
                    <w:rPr>
                      <w:rFonts w:hint="eastAsia"/>
                      <w:bCs/>
                      <w:szCs w:val="21"/>
                    </w:rPr>
                    <w:t>，</w:t>
                  </w:r>
                  <w:r>
                    <w:rPr>
                      <w:bCs/>
                      <w:szCs w:val="21"/>
                    </w:rPr>
                    <w:t>不设混凝土拌合</w:t>
                  </w:r>
                  <w:r>
                    <w:rPr>
                      <w:rFonts w:hint="eastAsia"/>
                      <w:bCs/>
                      <w:szCs w:val="21"/>
                    </w:rPr>
                    <w:t>站</w:t>
                  </w:r>
                </w:p>
              </w:tc>
              <w:tc>
                <w:tcPr>
                  <w:tcW w:w="760" w:type="pct"/>
                  <w:tcBorders>
                    <w:top w:val="single" w:color="000000" w:sz="2" w:space="0"/>
                    <w:bottom w:val="single" w:color="000000" w:sz="2" w:space="0"/>
                  </w:tcBorders>
                  <w:vAlign w:val="center"/>
                </w:tcPr>
                <w:p w14:paraId="40EEBCAC">
                  <w:pPr>
                    <w:contextualSpacing/>
                    <w:jc w:val="center"/>
                    <w:rPr>
                      <w:rFonts w:hint="eastAsia"/>
                      <w:bCs/>
                      <w:szCs w:val="21"/>
                    </w:rPr>
                  </w:pPr>
                  <w:r>
                    <w:rPr>
                      <w:rFonts w:hint="eastAsia"/>
                      <w:szCs w:val="21"/>
                      <w:lang w:val="en-US" w:eastAsia="zh-CN"/>
                    </w:rPr>
                    <w:t>与环评一致</w:t>
                  </w:r>
                </w:p>
              </w:tc>
            </w:tr>
            <w:tr w14:paraId="7A7916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0" w:hRule="atLeast"/>
                <w:jc w:val="center"/>
              </w:trPr>
              <w:tc>
                <w:tcPr>
                  <w:tcW w:w="355" w:type="pct"/>
                  <w:vMerge w:val="continue"/>
                  <w:tcBorders>
                    <w:bottom w:val="single" w:color="000000" w:sz="2" w:space="0"/>
                  </w:tcBorders>
                  <w:vAlign w:val="center"/>
                </w:tcPr>
                <w:p w14:paraId="5BBFB5F0">
                  <w:pPr>
                    <w:contextualSpacing/>
                    <w:jc w:val="center"/>
                    <w:rPr>
                      <w:bCs/>
                      <w:szCs w:val="21"/>
                    </w:rPr>
                  </w:pPr>
                </w:p>
              </w:tc>
              <w:tc>
                <w:tcPr>
                  <w:tcW w:w="589" w:type="pct"/>
                  <w:tcBorders>
                    <w:top w:val="single" w:color="000000" w:sz="2" w:space="0"/>
                    <w:bottom w:val="single" w:color="000000" w:sz="2" w:space="0"/>
                  </w:tcBorders>
                  <w:vAlign w:val="center"/>
                </w:tcPr>
                <w:p w14:paraId="1B9873E0">
                  <w:pPr>
                    <w:pStyle w:val="18"/>
                    <w:ind w:left="0" w:leftChars="0"/>
                    <w:contextualSpacing/>
                    <w:jc w:val="center"/>
                    <w:rPr>
                      <w:rFonts w:hint="eastAsia" w:ascii="宋体" w:hAnsi="宋体" w:eastAsia="宋体" w:cs="宋体"/>
                      <w:bCs/>
                      <w:sz w:val="21"/>
                      <w:szCs w:val="21"/>
                    </w:rPr>
                  </w:pPr>
                  <w:r>
                    <w:rPr>
                      <w:rFonts w:hint="eastAsia" w:ascii="宋体" w:hAnsi="宋体" w:eastAsia="宋体" w:cs="宋体"/>
                      <w:bCs/>
                      <w:sz w:val="21"/>
                      <w:szCs w:val="21"/>
                    </w:rPr>
                    <w:t>土石方工程</w:t>
                  </w:r>
                </w:p>
              </w:tc>
              <w:tc>
                <w:tcPr>
                  <w:tcW w:w="3294" w:type="pct"/>
                  <w:tcBorders>
                    <w:top w:val="single" w:color="000000" w:sz="2" w:space="0"/>
                    <w:bottom w:val="single" w:color="000000" w:sz="2" w:space="0"/>
                  </w:tcBorders>
                  <w:vAlign w:val="center"/>
                </w:tcPr>
                <w:p w14:paraId="5678B545">
                  <w:pPr>
                    <w:contextualSpacing/>
                    <w:jc w:val="center"/>
                    <w:rPr>
                      <w:szCs w:val="21"/>
                    </w:rPr>
                  </w:pPr>
                  <w:r>
                    <w:rPr>
                      <w:rFonts w:hint="eastAsia"/>
                      <w:szCs w:val="21"/>
                    </w:rPr>
                    <w:t>土石方开挖量21.7万m</w:t>
                  </w:r>
                  <w:r>
                    <w:rPr>
                      <w:rFonts w:hint="eastAsia"/>
                      <w:szCs w:val="21"/>
                      <w:vertAlign w:val="superscript"/>
                    </w:rPr>
                    <w:t>3</w:t>
                  </w:r>
                  <w:r>
                    <w:rPr>
                      <w:rFonts w:hint="eastAsia"/>
                      <w:szCs w:val="21"/>
                    </w:rPr>
                    <w:t>（</w:t>
                  </w:r>
                  <w:r>
                    <w:rPr>
                      <w:rFonts w:hint="eastAsia"/>
                    </w:rPr>
                    <w:t>含</w:t>
                  </w:r>
                  <w:r>
                    <w:t>表土剥离</w:t>
                  </w:r>
                  <w:r>
                    <w:rPr>
                      <w:rFonts w:hint="eastAsia"/>
                    </w:rPr>
                    <w:t>3.11</w:t>
                  </w:r>
                  <w:r>
                    <w:t>万m³</w:t>
                  </w:r>
                  <w:r>
                    <w:rPr>
                      <w:rFonts w:hint="eastAsia"/>
                      <w:szCs w:val="21"/>
                    </w:rPr>
                    <w:t>），土石方回填量21.7万m</w:t>
                  </w:r>
                  <w:r>
                    <w:rPr>
                      <w:rFonts w:hint="eastAsia"/>
                      <w:szCs w:val="21"/>
                      <w:vertAlign w:val="superscript"/>
                    </w:rPr>
                    <w:t>3</w:t>
                  </w:r>
                  <w:r>
                    <w:rPr>
                      <w:rFonts w:hint="eastAsia"/>
                      <w:szCs w:val="21"/>
                    </w:rPr>
                    <w:t>（</w:t>
                  </w:r>
                  <w:r>
                    <w:rPr>
                      <w:rFonts w:hint="eastAsia"/>
                    </w:rPr>
                    <w:t>含表土回铺3.11</w:t>
                  </w:r>
                  <w:r>
                    <w:t>万m³</w:t>
                  </w:r>
                  <w:r>
                    <w:rPr>
                      <w:rFonts w:hint="eastAsia"/>
                      <w:szCs w:val="21"/>
                    </w:rPr>
                    <w:t>），无外借土石方，无多余土石方产生，最终本项目挖填平衡</w:t>
                  </w:r>
                </w:p>
              </w:tc>
              <w:tc>
                <w:tcPr>
                  <w:tcW w:w="760" w:type="pct"/>
                  <w:tcBorders>
                    <w:top w:val="single" w:color="000000" w:sz="2" w:space="0"/>
                    <w:bottom w:val="single" w:color="000000" w:sz="2" w:space="0"/>
                  </w:tcBorders>
                  <w:vAlign w:val="center"/>
                </w:tcPr>
                <w:p w14:paraId="2066E1B6">
                  <w:pPr>
                    <w:contextualSpacing/>
                    <w:jc w:val="center"/>
                    <w:rPr>
                      <w:rFonts w:hint="eastAsia"/>
                      <w:szCs w:val="21"/>
                    </w:rPr>
                  </w:pPr>
                  <w:r>
                    <w:t>项目土石方开挖总量为</w:t>
                  </w:r>
                  <w:r>
                    <w:rPr>
                      <w:rFonts w:hint="eastAsia"/>
                    </w:rPr>
                    <w:t>24.03</w:t>
                  </w:r>
                  <w:r>
                    <w:t>万m³（含表土剥离</w:t>
                  </w:r>
                  <w:r>
                    <w:rPr>
                      <w:rFonts w:hint="eastAsia"/>
                    </w:rPr>
                    <w:t>2.49</w:t>
                  </w:r>
                  <w:r>
                    <w:t>万m³），土石方回填总量为</w:t>
                  </w:r>
                  <w:r>
                    <w:rPr>
                      <w:rFonts w:hint="eastAsia"/>
                    </w:rPr>
                    <w:t>24.03</w:t>
                  </w:r>
                  <w:r>
                    <w:t>万m³（含表土回铺</w:t>
                  </w:r>
                  <w:r>
                    <w:rPr>
                      <w:rFonts w:hint="eastAsia"/>
                    </w:rPr>
                    <w:t>2.49</w:t>
                  </w:r>
                  <w:r>
                    <w:t>万m³），无外借土石方，无多余土石方产生，最终本项目实现土石方综合利用</w:t>
                  </w:r>
                </w:p>
              </w:tc>
            </w:tr>
            <w:tr w14:paraId="3F4A9B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355" w:type="pct"/>
                  <w:vMerge w:val="restart"/>
                  <w:tcBorders>
                    <w:top w:val="single" w:color="000000" w:sz="2" w:space="0"/>
                  </w:tcBorders>
                  <w:vAlign w:val="center"/>
                </w:tcPr>
                <w:p w14:paraId="1644F089">
                  <w:pPr>
                    <w:contextualSpacing/>
                    <w:jc w:val="center"/>
                    <w:rPr>
                      <w:bCs/>
                      <w:szCs w:val="21"/>
                    </w:rPr>
                  </w:pPr>
                  <w:r>
                    <w:rPr>
                      <w:bCs/>
                      <w:szCs w:val="21"/>
                    </w:rPr>
                    <w:t>公用工程</w:t>
                  </w:r>
                </w:p>
              </w:tc>
              <w:tc>
                <w:tcPr>
                  <w:tcW w:w="589" w:type="pct"/>
                  <w:tcBorders>
                    <w:top w:val="single" w:color="000000" w:sz="2" w:space="0"/>
                    <w:bottom w:val="single" w:color="000000" w:sz="2" w:space="0"/>
                  </w:tcBorders>
                  <w:vAlign w:val="center"/>
                </w:tcPr>
                <w:p w14:paraId="5B4E1535">
                  <w:pPr>
                    <w:pStyle w:val="18"/>
                    <w:ind w:left="0" w:leftChars="0"/>
                    <w:contextualSpacing/>
                    <w:jc w:val="center"/>
                    <w:rPr>
                      <w:rFonts w:hint="eastAsia" w:ascii="宋体" w:hAnsi="宋体" w:eastAsia="宋体" w:cs="宋体"/>
                      <w:bCs/>
                      <w:sz w:val="21"/>
                      <w:szCs w:val="21"/>
                    </w:rPr>
                  </w:pPr>
                  <w:r>
                    <w:rPr>
                      <w:rFonts w:hint="eastAsia" w:ascii="宋体" w:hAnsi="宋体" w:eastAsia="宋体" w:cs="宋体"/>
                      <w:bCs/>
                      <w:sz w:val="21"/>
                      <w:szCs w:val="21"/>
                    </w:rPr>
                    <w:t>施工供水</w:t>
                  </w:r>
                </w:p>
              </w:tc>
              <w:tc>
                <w:tcPr>
                  <w:tcW w:w="3294" w:type="pct"/>
                  <w:tcBorders>
                    <w:top w:val="single" w:color="000000" w:sz="2" w:space="0"/>
                    <w:bottom w:val="single" w:color="000000" w:sz="2" w:space="0"/>
                  </w:tcBorders>
                  <w:vAlign w:val="center"/>
                </w:tcPr>
                <w:p w14:paraId="4A9702FE">
                  <w:pPr>
                    <w:contextualSpacing/>
                    <w:rPr>
                      <w:szCs w:val="21"/>
                    </w:rPr>
                  </w:pPr>
                  <w:r>
                    <w:rPr>
                      <w:rFonts w:hint="eastAsia"/>
                      <w:szCs w:val="21"/>
                    </w:rPr>
                    <w:t>施工生产用水直接抽取从河道内抽取</w:t>
                  </w:r>
                </w:p>
                <w:p w14:paraId="72A32BAF">
                  <w:pPr>
                    <w:contextualSpacing/>
                    <w:rPr>
                      <w:szCs w:val="21"/>
                    </w:rPr>
                  </w:pPr>
                  <w:r>
                    <w:rPr>
                      <w:rFonts w:hint="eastAsia"/>
                      <w:szCs w:val="21"/>
                    </w:rPr>
                    <w:t>施工生活用水利用附件居民用水</w:t>
                  </w:r>
                </w:p>
              </w:tc>
              <w:tc>
                <w:tcPr>
                  <w:tcW w:w="760" w:type="pct"/>
                  <w:tcBorders>
                    <w:top w:val="single" w:color="000000" w:sz="2" w:space="0"/>
                    <w:bottom w:val="single" w:color="000000" w:sz="2" w:space="0"/>
                  </w:tcBorders>
                  <w:vAlign w:val="center"/>
                </w:tcPr>
                <w:p w14:paraId="2DDA862A">
                  <w:pPr>
                    <w:contextualSpacing/>
                    <w:rPr>
                      <w:rFonts w:hint="eastAsia"/>
                      <w:szCs w:val="21"/>
                    </w:rPr>
                  </w:pPr>
                  <w:r>
                    <w:rPr>
                      <w:rFonts w:hint="eastAsia"/>
                      <w:szCs w:val="21"/>
                      <w:lang w:val="en-US" w:eastAsia="zh-CN"/>
                    </w:rPr>
                    <w:t>与环评一致</w:t>
                  </w:r>
                </w:p>
              </w:tc>
            </w:tr>
            <w:tr w14:paraId="3828AE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8" w:hRule="atLeast"/>
                <w:jc w:val="center"/>
              </w:trPr>
              <w:tc>
                <w:tcPr>
                  <w:tcW w:w="355" w:type="pct"/>
                  <w:vMerge w:val="continue"/>
                  <w:tcBorders>
                    <w:bottom w:val="single" w:color="000000" w:sz="2" w:space="0"/>
                  </w:tcBorders>
                  <w:vAlign w:val="center"/>
                </w:tcPr>
                <w:p w14:paraId="3197BF2F">
                  <w:pPr>
                    <w:contextualSpacing/>
                    <w:jc w:val="center"/>
                    <w:rPr>
                      <w:bCs/>
                      <w:szCs w:val="21"/>
                    </w:rPr>
                  </w:pPr>
                </w:p>
              </w:tc>
              <w:tc>
                <w:tcPr>
                  <w:tcW w:w="589" w:type="pct"/>
                  <w:tcBorders>
                    <w:top w:val="single" w:color="000000" w:sz="2" w:space="0"/>
                    <w:bottom w:val="single" w:color="000000" w:sz="2" w:space="0"/>
                  </w:tcBorders>
                  <w:vAlign w:val="center"/>
                </w:tcPr>
                <w:p w14:paraId="7B6BA48E">
                  <w:pPr>
                    <w:pStyle w:val="18"/>
                    <w:ind w:left="0" w:leftChars="0"/>
                    <w:contextualSpacing/>
                    <w:jc w:val="center"/>
                    <w:rPr>
                      <w:rFonts w:hint="eastAsia" w:ascii="宋体" w:hAnsi="宋体" w:eastAsia="宋体" w:cs="宋体"/>
                      <w:bCs/>
                      <w:sz w:val="21"/>
                      <w:szCs w:val="21"/>
                    </w:rPr>
                  </w:pPr>
                  <w:r>
                    <w:rPr>
                      <w:rFonts w:hint="eastAsia" w:ascii="宋体" w:hAnsi="宋体" w:eastAsia="宋体" w:cs="宋体"/>
                      <w:bCs/>
                      <w:sz w:val="21"/>
                      <w:szCs w:val="21"/>
                    </w:rPr>
                    <w:t>施工供电</w:t>
                  </w:r>
                </w:p>
              </w:tc>
              <w:tc>
                <w:tcPr>
                  <w:tcW w:w="3294" w:type="pct"/>
                  <w:tcBorders>
                    <w:top w:val="single" w:color="000000" w:sz="2" w:space="0"/>
                    <w:bottom w:val="single" w:color="000000" w:sz="2" w:space="0"/>
                  </w:tcBorders>
                  <w:vAlign w:val="center"/>
                </w:tcPr>
                <w:p w14:paraId="5903DDC5">
                  <w:pPr>
                    <w:contextualSpacing/>
                    <w:jc w:val="center"/>
                    <w:rPr>
                      <w:szCs w:val="21"/>
                    </w:rPr>
                  </w:pPr>
                  <w:r>
                    <w:rPr>
                      <w:rFonts w:hint="eastAsia"/>
                      <w:szCs w:val="21"/>
                    </w:rPr>
                    <w:t>国家电网，就近架设短距离线路作为施工电源。</w:t>
                  </w:r>
                  <w:r>
                    <w:rPr>
                      <w:szCs w:val="21"/>
                    </w:rPr>
                    <w:t>临时用电采用柴油发电机</w:t>
                  </w:r>
                  <w:r>
                    <w:rPr>
                      <w:rFonts w:hint="eastAsia"/>
                      <w:szCs w:val="21"/>
                    </w:rPr>
                    <w:t>，整个工程区配备8台50kw的柴油发电机，作为临时电源，其中2台柴油发电机组做备用电源</w:t>
                  </w:r>
                </w:p>
              </w:tc>
              <w:tc>
                <w:tcPr>
                  <w:tcW w:w="760" w:type="pct"/>
                  <w:tcBorders>
                    <w:top w:val="single" w:color="000000" w:sz="2" w:space="0"/>
                    <w:bottom w:val="single" w:color="000000" w:sz="2" w:space="0"/>
                  </w:tcBorders>
                  <w:vAlign w:val="center"/>
                </w:tcPr>
                <w:p w14:paraId="5A16EE29">
                  <w:pPr>
                    <w:contextualSpacing/>
                    <w:jc w:val="center"/>
                    <w:rPr>
                      <w:rFonts w:hint="eastAsia"/>
                      <w:szCs w:val="21"/>
                    </w:rPr>
                  </w:pPr>
                  <w:r>
                    <w:rPr>
                      <w:rFonts w:hint="eastAsia"/>
                      <w:szCs w:val="21"/>
                      <w:lang w:val="en-US" w:eastAsia="zh-CN"/>
                    </w:rPr>
                    <w:t>与环评一致</w:t>
                  </w:r>
                </w:p>
              </w:tc>
            </w:tr>
            <w:tr w14:paraId="1CF045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355" w:type="pct"/>
                  <w:vMerge w:val="restart"/>
                  <w:tcBorders>
                    <w:top w:val="single" w:color="000000" w:sz="2" w:space="0"/>
                  </w:tcBorders>
                  <w:vAlign w:val="center"/>
                </w:tcPr>
                <w:p w14:paraId="20354F6F">
                  <w:pPr>
                    <w:contextualSpacing/>
                    <w:jc w:val="center"/>
                    <w:rPr>
                      <w:bCs/>
                      <w:szCs w:val="21"/>
                    </w:rPr>
                  </w:pPr>
                  <w:r>
                    <w:rPr>
                      <w:bCs/>
                      <w:szCs w:val="21"/>
                    </w:rPr>
                    <w:t>占地和移民安置</w:t>
                  </w:r>
                </w:p>
              </w:tc>
              <w:tc>
                <w:tcPr>
                  <w:tcW w:w="589" w:type="pct"/>
                  <w:tcBorders>
                    <w:top w:val="single" w:color="000000" w:sz="2" w:space="0"/>
                    <w:bottom w:val="single" w:color="000000" w:sz="2" w:space="0"/>
                  </w:tcBorders>
                  <w:vAlign w:val="center"/>
                </w:tcPr>
                <w:p w14:paraId="1062EEFA">
                  <w:pPr>
                    <w:pStyle w:val="18"/>
                    <w:ind w:left="0" w:leftChars="0"/>
                    <w:contextualSpacing/>
                    <w:jc w:val="center"/>
                    <w:rPr>
                      <w:rFonts w:hint="eastAsia" w:ascii="宋体" w:hAnsi="宋体" w:eastAsia="宋体" w:cs="宋体"/>
                      <w:bCs/>
                      <w:sz w:val="21"/>
                      <w:szCs w:val="21"/>
                    </w:rPr>
                  </w:pPr>
                  <w:r>
                    <w:rPr>
                      <w:rFonts w:hint="eastAsia" w:ascii="宋体" w:hAnsi="宋体" w:eastAsia="宋体" w:cs="宋体"/>
                      <w:bCs/>
                      <w:sz w:val="21"/>
                      <w:szCs w:val="21"/>
                    </w:rPr>
                    <w:t>永久占地</w:t>
                  </w:r>
                </w:p>
              </w:tc>
              <w:tc>
                <w:tcPr>
                  <w:tcW w:w="3294" w:type="pct"/>
                  <w:tcBorders>
                    <w:top w:val="single" w:color="000000" w:sz="2" w:space="0"/>
                    <w:bottom w:val="single" w:color="000000" w:sz="2" w:space="0"/>
                  </w:tcBorders>
                  <w:vAlign w:val="center"/>
                </w:tcPr>
                <w:p w14:paraId="36B28F61">
                  <w:pPr>
                    <w:contextualSpacing/>
                    <w:jc w:val="center"/>
                    <w:rPr>
                      <w:bCs/>
                      <w:szCs w:val="21"/>
                    </w:rPr>
                  </w:pPr>
                  <w:r>
                    <w:rPr>
                      <w:bCs/>
                      <w:szCs w:val="21"/>
                    </w:rPr>
                    <w:t>无新增永久占地</w:t>
                  </w:r>
                  <w:r>
                    <w:rPr>
                      <w:rFonts w:hint="eastAsia"/>
                      <w:bCs/>
                      <w:szCs w:val="21"/>
                    </w:rPr>
                    <w:t>，</w:t>
                  </w:r>
                  <w:r>
                    <w:rPr>
                      <w:bCs/>
                      <w:szCs w:val="21"/>
                    </w:rPr>
                    <w:t>永久占地面积</w:t>
                  </w:r>
                  <w:r>
                    <w:rPr>
                      <w:rFonts w:hint="eastAsia"/>
                      <w:bCs/>
                      <w:szCs w:val="21"/>
                    </w:rPr>
                    <w:t>208.45亩，用地为原河岸土地</w:t>
                  </w:r>
                </w:p>
              </w:tc>
              <w:tc>
                <w:tcPr>
                  <w:tcW w:w="760" w:type="pct"/>
                  <w:tcBorders>
                    <w:top w:val="single" w:color="000000" w:sz="2" w:space="0"/>
                    <w:bottom w:val="single" w:color="000000" w:sz="2" w:space="0"/>
                  </w:tcBorders>
                  <w:vAlign w:val="center"/>
                </w:tcPr>
                <w:p w14:paraId="5234A1D0">
                  <w:pPr>
                    <w:contextualSpacing/>
                    <w:jc w:val="center"/>
                    <w:rPr>
                      <w:bCs/>
                      <w:szCs w:val="21"/>
                    </w:rPr>
                  </w:pPr>
                  <w:r>
                    <w:rPr>
                      <w:rFonts w:hint="eastAsia"/>
                      <w:szCs w:val="21"/>
                      <w:lang w:val="en-US" w:eastAsia="zh-CN"/>
                    </w:rPr>
                    <w:t>与环评一致</w:t>
                  </w:r>
                </w:p>
              </w:tc>
            </w:tr>
            <w:tr w14:paraId="4300F9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55" w:type="pct"/>
                  <w:vMerge w:val="continue"/>
                  <w:vAlign w:val="center"/>
                </w:tcPr>
                <w:p w14:paraId="066640D1">
                  <w:pPr>
                    <w:contextualSpacing/>
                    <w:jc w:val="center"/>
                    <w:rPr>
                      <w:bCs/>
                      <w:szCs w:val="21"/>
                    </w:rPr>
                  </w:pPr>
                </w:p>
              </w:tc>
              <w:tc>
                <w:tcPr>
                  <w:tcW w:w="589" w:type="pct"/>
                  <w:tcBorders>
                    <w:top w:val="single" w:color="000000" w:sz="2" w:space="0"/>
                    <w:bottom w:val="single" w:color="000000" w:sz="2" w:space="0"/>
                  </w:tcBorders>
                  <w:vAlign w:val="center"/>
                </w:tcPr>
                <w:p w14:paraId="454E457B">
                  <w:pPr>
                    <w:pStyle w:val="18"/>
                    <w:ind w:left="0" w:leftChars="0"/>
                    <w:contextualSpacing/>
                    <w:jc w:val="center"/>
                    <w:rPr>
                      <w:rFonts w:hint="eastAsia" w:ascii="宋体" w:hAnsi="宋体" w:eastAsia="宋体" w:cs="宋体"/>
                      <w:bCs/>
                      <w:sz w:val="21"/>
                      <w:szCs w:val="21"/>
                    </w:rPr>
                  </w:pPr>
                  <w:r>
                    <w:rPr>
                      <w:rFonts w:hint="eastAsia" w:ascii="宋体" w:hAnsi="宋体" w:eastAsia="宋体" w:cs="宋体"/>
                      <w:bCs/>
                      <w:sz w:val="21"/>
                      <w:szCs w:val="21"/>
                    </w:rPr>
                    <w:t>临时占地</w:t>
                  </w:r>
                </w:p>
              </w:tc>
              <w:tc>
                <w:tcPr>
                  <w:tcW w:w="3294" w:type="pct"/>
                  <w:tcBorders>
                    <w:top w:val="single" w:color="000000" w:sz="2" w:space="0"/>
                    <w:bottom w:val="single" w:color="000000" w:sz="2" w:space="0"/>
                  </w:tcBorders>
                  <w:vAlign w:val="center"/>
                </w:tcPr>
                <w:p w14:paraId="4008DFCC">
                  <w:pPr>
                    <w:contextualSpacing/>
                    <w:jc w:val="center"/>
                    <w:rPr>
                      <w:bCs/>
                      <w:szCs w:val="21"/>
                    </w:rPr>
                  </w:pPr>
                  <w:r>
                    <w:rPr>
                      <w:rFonts w:hint="eastAsia"/>
                      <w:bCs/>
                      <w:szCs w:val="21"/>
                    </w:rPr>
                    <w:t>施工临时用地共27.67亩，其中耕地14.66亩，林地6.48亩，草地6.53亩。临时占地均布不涉及基本农田</w:t>
                  </w:r>
                </w:p>
              </w:tc>
              <w:tc>
                <w:tcPr>
                  <w:tcW w:w="760" w:type="pct"/>
                  <w:tcBorders>
                    <w:top w:val="single" w:color="000000" w:sz="2" w:space="0"/>
                    <w:bottom w:val="single" w:color="000000" w:sz="2" w:space="0"/>
                  </w:tcBorders>
                  <w:vAlign w:val="center"/>
                </w:tcPr>
                <w:p w14:paraId="0D032437">
                  <w:pPr>
                    <w:contextualSpacing/>
                    <w:jc w:val="center"/>
                    <w:rPr>
                      <w:rFonts w:hint="eastAsia"/>
                      <w:bCs/>
                      <w:szCs w:val="21"/>
                    </w:rPr>
                  </w:pPr>
                  <w:r>
                    <w:rPr>
                      <w:rFonts w:hint="eastAsia"/>
                      <w:szCs w:val="21"/>
                      <w:lang w:val="en-US" w:eastAsia="zh-CN"/>
                    </w:rPr>
                    <w:t>与环评一致</w:t>
                  </w:r>
                </w:p>
              </w:tc>
            </w:tr>
            <w:tr w14:paraId="6DBDEA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2" w:hRule="atLeast"/>
                <w:jc w:val="center"/>
              </w:trPr>
              <w:tc>
                <w:tcPr>
                  <w:tcW w:w="355" w:type="pct"/>
                  <w:vMerge w:val="continue"/>
                  <w:vAlign w:val="center"/>
                </w:tcPr>
                <w:p w14:paraId="5FB7BA38">
                  <w:pPr>
                    <w:contextualSpacing/>
                    <w:jc w:val="center"/>
                    <w:rPr>
                      <w:bCs/>
                      <w:szCs w:val="21"/>
                    </w:rPr>
                  </w:pPr>
                </w:p>
              </w:tc>
              <w:tc>
                <w:tcPr>
                  <w:tcW w:w="589" w:type="pct"/>
                  <w:tcBorders>
                    <w:top w:val="single" w:color="000000" w:sz="2" w:space="0"/>
                  </w:tcBorders>
                  <w:vAlign w:val="center"/>
                </w:tcPr>
                <w:p w14:paraId="05F41254">
                  <w:pPr>
                    <w:pStyle w:val="18"/>
                    <w:ind w:left="0" w:leftChars="0"/>
                    <w:contextualSpacing/>
                    <w:jc w:val="center"/>
                    <w:rPr>
                      <w:rFonts w:hint="eastAsia" w:ascii="宋体" w:hAnsi="宋体" w:eastAsia="宋体" w:cs="宋体"/>
                      <w:bCs/>
                      <w:sz w:val="21"/>
                      <w:szCs w:val="21"/>
                    </w:rPr>
                  </w:pPr>
                  <w:r>
                    <w:rPr>
                      <w:rFonts w:hint="eastAsia" w:ascii="宋体" w:hAnsi="宋体" w:eastAsia="宋体" w:cs="宋体"/>
                      <w:bCs/>
                      <w:sz w:val="21"/>
                      <w:szCs w:val="21"/>
                    </w:rPr>
                    <w:t>移民安置</w:t>
                  </w:r>
                </w:p>
              </w:tc>
              <w:tc>
                <w:tcPr>
                  <w:tcW w:w="3294" w:type="pct"/>
                  <w:tcBorders>
                    <w:top w:val="single" w:color="000000" w:sz="2" w:space="0"/>
                  </w:tcBorders>
                  <w:vAlign w:val="center"/>
                </w:tcPr>
                <w:p w14:paraId="00DFE176">
                  <w:pPr>
                    <w:contextualSpacing/>
                    <w:jc w:val="center"/>
                    <w:rPr>
                      <w:bCs/>
                      <w:szCs w:val="21"/>
                    </w:rPr>
                  </w:pPr>
                  <w:r>
                    <w:rPr>
                      <w:bCs/>
                      <w:szCs w:val="21"/>
                    </w:rPr>
                    <w:t>不涉及人口和房屋搬迁</w:t>
                  </w:r>
                </w:p>
              </w:tc>
              <w:tc>
                <w:tcPr>
                  <w:tcW w:w="760" w:type="pct"/>
                  <w:tcBorders>
                    <w:top w:val="single" w:color="000000" w:sz="2" w:space="0"/>
                  </w:tcBorders>
                  <w:vAlign w:val="center"/>
                </w:tcPr>
                <w:p w14:paraId="29D5C581">
                  <w:pPr>
                    <w:contextualSpacing/>
                    <w:jc w:val="center"/>
                    <w:rPr>
                      <w:bCs/>
                      <w:szCs w:val="21"/>
                    </w:rPr>
                  </w:pPr>
                  <w:r>
                    <w:rPr>
                      <w:rFonts w:hint="eastAsia"/>
                      <w:szCs w:val="21"/>
                      <w:lang w:val="en-US" w:eastAsia="zh-CN"/>
                    </w:rPr>
                    <w:t>与环评一致</w:t>
                  </w:r>
                </w:p>
              </w:tc>
            </w:tr>
            <w:tr w14:paraId="1CD6D6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4" w:hRule="atLeast"/>
                <w:jc w:val="center"/>
              </w:trPr>
              <w:tc>
                <w:tcPr>
                  <w:tcW w:w="355" w:type="pct"/>
                  <w:vMerge w:val="restart"/>
                  <w:vAlign w:val="center"/>
                </w:tcPr>
                <w:p w14:paraId="615FD66F">
                  <w:pPr>
                    <w:contextualSpacing/>
                    <w:jc w:val="center"/>
                    <w:rPr>
                      <w:bCs/>
                      <w:szCs w:val="21"/>
                    </w:rPr>
                  </w:pPr>
                  <w:r>
                    <w:rPr>
                      <w:bCs/>
                      <w:szCs w:val="21"/>
                    </w:rPr>
                    <w:t>环保</w:t>
                  </w:r>
                </w:p>
                <w:p w14:paraId="77E1ADE7">
                  <w:pPr>
                    <w:contextualSpacing/>
                    <w:jc w:val="center"/>
                    <w:rPr>
                      <w:bCs/>
                      <w:szCs w:val="21"/>
                    </w:rPr>
                  </w:pPr>
                  <w:r>
                    <w:rPr>
                      <w:bCs/>
                      <w:szCs w:val="21"/>
                    </w:rPr>
                    <w:t>工程</w:t>
                  </w:r>
                </w:p>
              </w:tc>
              <w:tc>
                <w:tcPr>
                  <w:tcW w:w="589" w:type="pct"/>
                  <w:tcBorders>
                    <w:bottom w:val="single" w:color="000000" w:sz="2" w:space="0"/>
                  </w:tcBorders>
                  <w:vAlign w:val="center"/>
                </w:tcPr>
                <w:p w14:paraId="42C0C911">
                  <w:pPr>
                    <w:pStyle w:val="18"/>
                    <w:ind w:left="0" w:leftChars="0"/>
                    <w:contextualSpacing/>
                    <w:jc w:val="center"/>
                    <w:rPr>
                      <w:rFonts w:hint="eastAsia" w:ascii="宋体" w:hAnsi="宋体" w:eastAsia="宋体" w:cs="宋体"/>
                      <w:sz w:val="21"/>
                      <w:szCs w:val="21"/>
                    </w:rPr>
                  </w:pPr>
                  <w:r>
                    <w:rPr>
                      <w:rFonts w:hint="eastAsia" w:ascii="宋体" w:hAnsi="宋体" w:eastAsia="宋体" w:cs="宋体"/>
                      <w:sz w:val="21"/>
                      <w:szCs w:val="21"/>
                    </w:rPr>
                    <w:t>生态保护</w:t>
                  </w:r>
                </w:p>
              </w:tc>
              <w:tc>
                <w:tcPr>
                  <w:tcW w:w="3294" w:type="pct"/>
                  <w:tcBorders>
                    <w:bottom w:val="single" w:color="000000" w:sz="2" w:space="0"/>
                  </w:tcBorders>
                  <w:vAlign w:val="center"/>
                </w:tcPr>
                <w:p w14:paraId="0E54F354">
                  <w:pPr>
                    <w:contextualSpacing/>
                    <w:jc w:val="center"/>
                    <w:outlineLvl w:val="0"/>
                    <w:rPr>
                      <w:bCs/>
                      <w:szCs w:val="21"/>
                    </w:rPr>
                  </w:pPr>
                  <w:r>
                    <w:rPr>
                      <w:rFonts w:hint="eastAsia"/>
                      <w:bCs/>
                      <w:szCs w:val="21"/>
                    </w:rPr>
                    <w:t>优化布局，控制施工范围；表土单独剥离，妥善保存；采用分层开挖、分层回填措施；合理安排土石方开挖的时期，避开大雨天气，开挖土方及时回填；临时堆场进行拦挡、覆盖；优化建材和弃渣运输线路和时间；禁止将施工废水、弃渣排入河道；采用分段施工、分段防护方式，加强管理，施工结束后立即进行土地平整、生态恢复</w:t>
                  </w:r>
                </w:p>
              </w:tc>
              <w:tc>
                <w:tcPr>
                  <w:tcW w:w="760" w:type="pct"/>
                  <w:tcBorders>
                    <w:bottom w:val="single" w:color="000000" w:sz="2" w:space="0"/>
                  </w:tcBorders>
                  <w:vAlign w:val="center"/>
                </w:tcPr>
                <w:p w14:paraId="6BE00EE9">
                  <w:pPr>
                    <w:contextualSpacing/>
                    <w:jc w:val="center"/>
                    <w:outlineLvl w:val="0"/>
                    <w:rPr>
                      <w:rFonts w:hint="eastAsia"/>
                      <w:bCs/>
                      <w:szCs w:val="21"/>
                    </w:rPr>
                  </w:pPr>
                  <w:r>
                    <w:rPr>
                      <w:rFonts w:hint="eastAsia"/>
                      <w:szCs w:val="21"/>
                      <w:lang w:val="en-US" w:eastAsia="zh-CN"/>
                    </w:rPr>
                    <w:t>与环评一致</w:t>
                  </w:r>
                </w:p>
              </w:tc>
            </w:tr>
            <w:tr w14:paraId="284B6F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355" w:type="pct"/>
                  <w:vMerge w:val="continue"/>
                  <w:vAlign w:val="center"/>
                </w:tcPr>
                <w:p w14:paraId="13B176BB">
                  <w:pPr>
                    <w:contextualSpacing/>
                    <w:jc w:val="center"/>
                    <w:rPr>
                      <w:bCs/>
                      <w:szCs w:val="21"/>
                    </w:rPr>
                  </w:pPr>
                </w:p>
              </w:tc>
              <w:tc>
                <w:tcPr>
                  <w:tcW w:w="589" w:type="pct"/>
                  <w:vMerge w:val="restart"/>
                  <w:tcBorders>
                    <w:top w:val="single" w:color="000000" w:sz="2" w:space="0"/>
                  </w:tcBorders>
                  <w:vAlign w:val="center"/>
                </w:tcPr>
                <w:p w14:paraId="7EB0C825">
                  <w:pPr>
                    <w:pStyle w:val="18"/>
                    <w:ind w:left="0" w:leftChars="0"/>
                    <w:contextualSpacing/>
                    <w:jc w:val="center"/>
                    <w:rPr>
                      <w:rFonts w:hint="eastAsia" w:ascii="宋体" w:hAnsi="宋体" w:eastAsia="宋体" w:cs="宋体"/>
                      <w:sz w:val="21"/>
                      <w:szCs w:val="21"/>
                    </w:rPr>
                  </w:pPr>
                  <w:r>
                    <w:rPr>
                      <w:rFonts w:hint="eastAsia" w:ascii="宋体" w:hAnsi="宋体" w:eastAsia="宋体" w:cs="宋体"/>
                      <w:sz w:val="21"/>
                      <w:szCs w:val="21"/>
                    </w:rPr>
                    <w:t>废水治理</w:t>
                  </w:r>
                </w:p>
              </w:tc>
              <w:tc>
                <w:tcPr>
                  <w:tcW w:w="3294" w:type="pct"/>
                  <w:tcBorders>
                    <w:top w:val="single" w:color="000000" w:sz="2" w:space="0"/>
                    <w:bottom w:val="single" w:color="000000" w:sz="2" w:space="0"/>
                  </w:tcBorders>
                  <w:vAlign w:val="center"/>
                </w:tcPr>
                <w:p w14:paraId="509352DF">
                  <w:pPr>
                    <w:ind w:firstLine="315" w:firstLineChars="150"/>
                    <w:contextualSpacing/>
                    <w:jc w:val="left"/>
                    <w:outlineLvl w:val="0"/>
                    <w:rPr>
                      <w:bCs/>
                      <w:szCs w:val="21"/>
                    </w:rPr>
                  </w:pPr>
                  <w:r>
                    <w:rPr>
                      <w:rFonts w:hint="eastAsia"/>
                      <w:bCs/>
                      <w:szCs w:val="21"/>
                    </w:rPr>
                    <w:t>施工生产废水：施工机械和车辆冲洗废水经隔油和沉淀池（各工区1个，大小约0.5m</w:t>
                  </w:r>
                  <w:r>
                    <w:rPr>
                      <w:rFonts w:hint="eastAsia"/>
                      <w:bCs/>
                      <w:szCs w:val="21"/>
                      <w:vertAlign w:val="superscript"/>
                    </w:rPr>
                    <w:t>3</w:t>
                  </w:r>
                  <w:r>
                    <w:rPr>
                      <w:rFonts w:hint="eastAsia"/>
                      <w:bCs/>
                      <w:szCs w:val="21"/>
                    </w:rPr>
                    <w:t>/个）处理后回用于工地洒水降尘等，不外排；</w:t>
                  </w:r>
                </w:p>
              </w:tc>
              <w:tc>
                <w:tcPr>
                  <w:tcW w:w="760" w:type="pct"/>
                  <w:tcBorders>
                    <w:top w:val="single" w:color="000000" w:sz="2" w:space="0"/>
                    <w:bottom w:val="single" w:color="000000" w:sz="2" w:space="0"/>
                  </w:tcBorders>
                  <w:vAlign w:val="center"/>
                </w:tcPr>
                <w:p w14:paraId="0D4C3EC5">
                  <w:pPr>
                    <w:contextualSpacing/>
                    <w:jc w:val="both"/>
                    <w:outlineLvl w:val="0"/>
                    <w:rPr>
                      <w:rFonts w:hint="eastAsia"/>
                      <w:bCs/>
                      <w:szCs w:val="21"/>
                    </w:rPr>
                  </w:pPr>
                  <w:r>
                    <w:rPr>
                      <w:rFonts w:hint="eastAsia"/>
                      <w:szCs w:val="21"/>
                      <w:lang w:val="en-US" w:eastAsia="zh-CN"/>
                    </w:rPr>
                    <w:t>与环评一致</w:t>
                  </w:r>
                </w:p>
              </w:tc>
            </w:tr>
            <w:tr w14:paraId="23160C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3" w:hRule="atLeast"/>
                <w:jc w:val="center"/>
              </w:trPr>
              <w:tc>
                <w:tcPr>
                  <w:tcW w:w="355" w:type="pct"/>
                  <w:vMerge w:val="continue"/>
                  <w:vAlign w:val="center"/>
                </w:tcPr>
                <w:p w14:paraId="4EFEC407">
                  <w:pPr>
                    <w:contextualSpacing/>
                    <w:jc w:val="center"/>
                    <w:rPr>
                      <w:bCs/>
                      <w:szCs w:val="21"/>
                    </w:rPr>
                  </w:pPr>
                </w:p>
              </w:tc>
              <w:tc>
                <w:tcPr>
                  <w:tcW w:w="589" w:type="pct"/>
                  <w:vMerge w:val="continue"/>
                  <w:vAlign w:val="center"/>
                </w:tcPr>
                <w:p w14:paraId="4F1F7F85">
                  <w:pPr>
                    <w:pStyle w:val="18"/>
                    <w:ind w:left="0" w:leftChars="0"/>
                    <w:contextualSpacing/>
                    <w:jc w:val="center"/>
                    <w:rPr>
                      <w:sz w:val="21"/>
                      <w:szCs w:val="21"/>
                    </w:rPr>
                  </w:pPr>
                </w:p>
              </w:tc>
              <w:tc>
                <w:tcPr>
                  <w:tcW w:w="3294" w:type="pct"/>
                  <w:tcBorders>
                    <w:top w:val="single" w:color="000000" w:sz="2" w:space="0"/>
                    <w:bottom w:val="single" w:color="000000" w:sz="2" w:space="0"/>
                  </w:tcBorders>
                  <w:vAlign w:val="center"/>
                </w:tcPr>
                <w:p w14:paraId="50EB553F">
                  <w:pPr>
                    <w:ind w:firstLine="315" w:firstLineChars="150"/>
                    <w:contextualSpacing/>
                    <w:jc w:val="left"/>
                    <w:outlineLvl w:val="0"/>
                    <w:rPr>
                      <w:bCs/>
                      <w:szCs w:val="21"/>
                    </w:rPr>
                  </w:pPr>
                  <w:r>
                    <w:rPr>
                      <w:rFonts w:hint="eastAsia"/>
                      <w:bCs/>
                      <w:szCs w:val="21"/>
                    </w:rPr>
                    <w:t>施工安排在枯水期施工，并避开降雨施工，本工程不涉及基坑排水。</w:t>
                  </w:r>
                </w:p>
              </w:tc>
              <w:tc>
                <w:tcPr>
                  <w:tcW w:w="760" w:type="pct"/>
                  <w:tcBorders>
                    <w:top w:val="single" w:color="000000" w:sz="2" w:space="0"/>
                    <w:bottom w:val="single" w:color="000000" w:sz="2" w:space="0"/>
                  </w:tcBorders>
                  <w:vAlign w:val="center"/>
                </w:tcPr>
                <w:p w14:paraId="17A018EC">
                  <w:pPr>
                    <w:contextualSpacing/>
                    <w:jc w:val="both"/>
                    <w:outlineLvl w:val="0"/>
                    <w:rPr>
                      <w:rFonts w:hint="eastAsia"/>
                      <w:bCs/>
                      <w:szCs w:val="21"/>
                    </w:rPr>
                  </w:pPr>
                  <w:r>
                    <w:rPr>
                      <w:rFonts w:hint="eastAsia"/>
                      <w:szCs w:val="21"/>
                      <w:lang w:val="en-US" w:eastAsia="zh-CN"/>
                    </w:rPr>
                    <w:t>与环评一致</w:t>
                  </w:r>
                </w:p>
              </w:tc>
            </w:tr>
            <w:tr w14:paraId="5BD660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355" w:type="pct"/>
                  <w:vMerge w:val="continue"/>
                  <w:vAlign w:val="center"/>
                </w:tcPr>
                <w:p w14:paraId="381C10B3">
                  <w:pPr>
                    <w:contextualSpacing/>
                    <w:jc w:val="center"/>
                    <w:rPr>
                      <w:bCs/>
                      <w:szCs w:val="21"/>
                    </w:rPr>
                  </w:pPr>
                </w:p>
              </w:tc>
              <w:tc>
                <w:tcPr>
                  <w:tcW w:w="589" w:type="pct"/>
                  <w:vMerge w:val="continue"/>
                  <w:vAlign w:val="center"/>
                </w:tcPr>
                <w:p w14:paraId="00AE6E53">
                  <w:pPr>
                    <w:pStyle w:val="18"/>
                    <w:ind w:left="0" w:leftChars="0"/>
                    <w:contextualSpacing/>
                    <w:jc w:val="center"/>
                    <w:rPr>
                      <w:sz w:val="21"/>
                      <w:szCs w:val="21"/>
                    </w:rPr>
                  </w:pPr>
                </w:p>
              </w:tc>
              <w:tc>
                <w:tcPr>
                  <w:tcW w:w="3294" w:type="pct"/>
                  <w:tcBorders>
                    <w:top w:val="single" w:color="000000" w:sz="2" w:space="0"/>
                  </w:tcBorders>
                  <w:vAlign w:val="center"/>
                </w:tcPr>
                <w:p w14:paraId="3432345B">
                  <w:pPr>
                    <w:ind w:firstLine="315" w:firstLineChars="150"/>
                    <w:contextualSpacing/>
                    <w:jc w:val="left"/>
                    <w:outlineLvl w:val="0"/>
                    <w:rPr>
                      <w:bCs/>
                      <w:szCs w:val="21"/>
                    </w:rPr>
                  </w:pPr>
                  <w:r>
                    <w:rPr>
                      <w:rFonts w:hint="eastAsia"/>
                      <w:bCs/>
                      <w:szCs w:val="21"/>
                    </w:rPr>
                    <w:t>施工人员生活污水：利用当地已有环卫设施进行收集处理。</w:t>
                  </w:r>
                </w:p>
              </w:tc>
              <w:tc>
                <w:tcPr>
                  <w:tcW w:w="760" w:type="pct"/>
                  <w:tcBorders>
                    <w:top w:val="single" w:color="000000" w:sz="2" w:space="0"/>
                  </w:tcBorders>
                  <w:vAlign w:val="center"/>
                </w:tcPr>
                <w:p w14:paraId="30C6F0C7">
                  <w:pPr>
                    <w:contextualSpacing/>
                    <w:jc w:val="both"/>
                    <w:outlineLvl w:val="0"/>
                    <w:rPr>
                      <w:rFonts w:hint="eastAsia"/>
                      <w:bCs/>
                      <w:szCs w:val="21"/>
                    </w:rPr>
                  </w:pPr>
                  <w:r>
                    <w:rPr>
                      <w:rFonts w:hint="eastAsia"/>
                      <w:szCs w:val="21"/>
                      <w:lang w:val="en-US" w:eastAsia="zh-CN"/>
                    </w:rPr>
                    <w:t>与环评一致</w:t>
                  </w:r>
                </w:p>
              </w:tc>
            </w:tr>
            <w:tr w14:paraId="65B007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55" w:type="pct"/>
                  <w:vMerge w:val="continue"/>
                  <w:vAlign w:val="center"/>
                </w:tcPr>
                <w:p w14:paraId="056A88EA">
                  <w:pPr>
                    <w:contextualSpacing/>
                    <w:jc w:val="center"/>
                    <w:rPr>
                      <w:bCs/>
                      <w:szCs w:val="21"/>
                    </w:rPr>
                  </w:pPr>
                </w:p>
              </w:tc>
              <w:tc>
                <w:tcPr>
                  <w:tcW w:w="589" w:type="pct"/>
                  <w:vMerge w:val="restart"/>
                  <w:vAlign w:val="center"/>
                </w:tcPr>
                <w:p w14:paraId="69E4E33D">
                  <w:pPr>
                    <w:pStyle w:val="18"/>
                    <w:ind w:left="0" w:leftChars="0"/>
                    <w:contextualSpacing/>
                    <w:jc w:val="center"/>
                    <w:rPr>
                      <w:rFonts w:hint="eastAsia" w:ascii="宋体" w:hAnsi="宋体" w:eastAsia="宋体" w:cs="宋体"/>
                      <w:sz w:val="21"/>
                      <w:szCs w:val="21"/>
                    </w:rPr>
                  </w:pPr>
                  <w:r>
                    <w:rPr>
                      <w:rFonts w:hint="eastAsia" w:ascii="宋体" w:hAnsi="宋体" w:eastAsia="宋体" w:cs="宋体"/>
                      <w:sz w:val="21"/>
                      <w:szCs w:val="21"/>
                    </w:rPr>
                    <w:t>废气治理</w:t>
                  </w:r>
                </w:p>
              </w:tc>
              <w:tc>
                <w:tcPr>
                  <w:tcW w:w="3294" w:type="pct"/>
                  <w:tcBorders>
                    <w:bottom w:val="single" w:color="000000" w:sz="2" w:space="0"/>
                  </w:tcBorders>
                  <w:vAlign w:val="center"/>
                </w:tcPr>
                <w:p w14:paraId="18DA0313">
                  <w:pPr>
                    <w:ind w:firstLine="210" w:firstLineChars="100"/>
                    <w:contextualSpacing/>
                    <w:jc w:val="left"/>
                    <w:outlineLvl w:val="0"/>
                    <w:rPr>
                      <w:bCs/>
                      <w:szCs w:val="21"/>
                    </w:rPr>
                  </w:pPr>
                  <w:r>
                    <w:rPr>
                      <w:rFonts w:hint="eastAsia"/>
                      <w:bCs/>
                      <w:szCs w:val="21"/>
                    </w:rPr>
                    <w:t>施工扬尘：科学施工、文明施工，定期对地面洒水严格控制扬尘；使用商品混凝土，禁止现场搅拌；全面落实工地周边打围、物料堆放覆盖、土方开挖湿法作业、进出口路面硬化、出入车辆冲洗、渣土车辆密闭运输；合理规划运输通道，避开敏感路段。</w:t>
                  </w:r>
                </w:p>
              </w:tc>
              <w:tc>
                <w:tcPr>
                  <w:tcW w:w="760" w:type="pct"/>
                  <w:tcBorders>
                    <w:bottom w:val="single" w:color="000000" w:sz="2" w:space="0"/>
                  </w:tcBorders>
                  <w:vAlign w:val="center"/>
                </w:tcPr>
                <w:p w14:paraId="2FE73DEC">
                  <w:pPr>
                    <w:contextualSpacing/>
                    <w:jc w:val="both"/>
                    <w:outlineLvl w:val="0"/>
                    <w:rPr>
                      <w:rFonts w:hint="eastAsia"/>
                      <w:bCs/>
                      <w:szCs w:val="21"/>
                    </w:rPr>
                  </w:pPr>
                  <w:r>
                    <w:rPr>
                      <w:rFonts w:hint="eastAsia"/>
                      <w:szCs w:val="21"/>
                      <w:lang w:val="en-US" w:eastAsia="zh-CN"/>
                    </w:rPr>
                    <w:t>与环评一致</w:t>
                  </w:r>
                </w:p>
              </w:tc>
            </w:tr>
            <w:tr w14:paraId="01150A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0" w:hRule="atLeast"/>
                <w:jc w:val="center"/>
              </w:trPr>
              <w:tc>
                <w:tcPr>
                  <w:tcW w:w="355" w:type="pct"/>
                  <w:vMerge w:val="continue"/>
                  <w:vAlign w:val="center"/>
                </w:tcPr>
                <w:p w14:paraId="0FAE97F5">
                  <w:pPr>
                    <w:contextualSpacing/>
                    <w:jc w:val="center"/>
                    <w:rPr>
                      <w:bCs/>
                      <w:szCs w:val="21"/>
                    </w:rPr>
                  </w:pPr>
                </w:p>
              </w:tc>
              <w:tc>
                <w:tcPr>
                  <w:tcW w:w="589" w:type="pct"/>
                  <w:vMerge w:val="continue"/>
                  <w:vAlign w:val="center"/>
                </w:tcPr>
                <w:p w14:paraId="500B5BB5">
                  <w:pPr>
                    <w:pStyle w:val="18"/>
                    <w:ind w:left="0" w:leftChars="0"/>
                    <w:contextualSpacing/>
                    <w:jc w:val="center"/>
                    <w:rPr>
                      <w:rFonts w:hint="eastAsia" w:ascii="宋体" w:hAnsi="宋体" w:eastAsia="宋体" w:cs="宋体"/>
                      <w:sz w:val="21"/>
                      <w:szCs w:val="21"/>
                    </w:rPr>
                  </w:pPr>
                </w:p>
              </w:tc>
              <w:tc>
                <w:tcPr>
                  <w:tcW w:w="3294" w:type="pct"/>
                  <w:tcBorders>
                    <w:top w:val="single" w:color="000000" w:sz="2" w:space="0"/>
                    <w:bottom w:val="single" w:color="auto" w:sz="2" w:space="0"/>
                  </w:tcBorders>
                  <w:vAlign w:val="center"/>
                </w:tcPr>
                <w:p w14:paraId="6AF96B0C">
                  <w:pPr>
                    <w:contextualSpacing/>
                    <w:jc w:val="left"/>
                    <w:outlineLvl w:val="0"/>
                    <w:rPr>
                      <w:bCs/>
                      <w:szCs w:val="21"/>
                    </w:rPr>
                  </w:pPr>
                  <w:r>
                    <w:rPr>
                      <w:rFonts w:hint="eastAsia"/>
                      <w:bCs/>
                      <w:szCs w:val="21"/>
                    </w:rPr>
                    <w:t>施工机械废气：加强对机械、车辆的维修保养</w:t>
                  </w:r>
                </w:p>
              </w:tc>
              <w:tc>
                <w:tcPr>
                  <w:tcW w:w="760" w:type="pct"/>
                  <w:tcBorders>
                    <w:top w:val="single" w:color="000000" w:sz="2" w:space="0"/>
                    <w:bottom w:val="single" w:color="auto" w:sz="2" w:space="0"/>
                  </w:tcBorders>
                  <w:vAlign w:val="center"/>
                </w:tcPr>
                <w:p w14:paraId="1328318C">
                  <w:pPr>
                    <w:contextualSpacing/>
                    <w:jc w:val="center"/>
                    <w:outlineLvl w:val="0"/>
                    <w:rPr>
                      <w:rFonts w:hint="eastAsia"/>
                      <w:bCs/>
                      <w:szCs w:val="21"/>
                    </w:rPr>
                  </w:pPr>
                  <w:r>
                    <w:rPr>
                      <w:rFonts w:hint="eastAsia"/>
                      <w:szCs w:val="21"/>
                      <w:lang w:val="en-US" w:eastAsia="zh-CN"/>
                    </w:rPr>
                    <w:t>与环评一致</w:t>
                  </w:r>
                </w:p>
              </w:tc>
            </w:tr>
            <w:tr w14:paraId="6CE21F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 w:type="pct"/>
                  <w:vMerge w:val="continue"/>
                  <w:vAlign w:val="center"/>
                </w:tcPr>
                <w:p w14:paraId="592C05ED">
                  <w:pPr>
                    <w:contextualSpacing/>
                    <w:jc w:val="center"/>
                    <w:rPr>
                      <w:bCs/>
                      <w:szCs w:val="21"/>
                    </w:rPr>
                  </w:pPr>
                </w:p>
              </w:tc>
              <w:tc>
                <w:tcPr>
                  <w:tcW w:w="589" w:type="pct"/>
                  <w:vAlign w:val="center"/>
                </w:tcPr>
                <w:p w14:paraId="60A7BA94">
                  <w:pPr>
                    <w:pStyle w:val="18"/>
                    <w:ind w:left="0" w:leftChars="0"/>
                    <w:contextualSpacing/>
                    <w:jc w:val="center"/>
                    <w:rPr>
                      <w:rFonts w:hint="eastAsia" w:ascii="宋体" w:hAnsi="宋体" w:eastAsia="宋体" w:cs="宋体"/>
                      <w:sz w:val="21"/>
                      <w:szCs w:val="21"/>
                    </w:rPr>
                  </w:pPr>
                  <w:r>
                    <w:rPr>
                      <w:rFonts w:hint="eastAsia" w:ascii="宋体" w:hAnsi="宋体" w:eastAsia="宋体" w:cs="宋体"/>
                      <w:sz w:val="21"/>
                      <w:szCs w:val="21"/>
                    </w:rPr>
                    <w:t>噪声治理</w:t>
                  </w:r>
                </w:p>
              </w:tc>
              <w:tc>
                <w:tcPr>
                  <w:tcW w:w="3294" w:type="pct"/>
                  <w:vAlign w:val="center"/>
                </w:tcPr>
                <w:p w14:paraId="419A676B">
                  <w:pPr>
                    <w:ind w:firstLine="210" w:firstLineChars="100"/>
                    <w:contextualSpacing/>
                    <w:jc w:val="left"/>
                    <w:outlineLvl w:val="0"/>
                    <w:rPr>
                      <w:bCs/>
                      <w:szCs w:val="21"/>
                    </w:rPr>
                  </w:pPr>
                  <w:r>
                    <w:rPr>
                      <w:rFonts w:hint="eastAsia"/>
                      <w:bCs/>
                      <w:szCs w:val="21"/>
                    </w:rPr>
                    <w:t>施工机械运行噪声：选用低噪声设备、加强机械设备维修保养；合理布置施工场地，敏感点附近施工加设临时隔声围挡；合理安排施工时间、避开敏感时段施工；合理安排工期，把施工时间控制在最短范围内。</w:t>
                  </w:r>
                </w:p>
                <w:p w14:paraId="62B515A8">
                  <w:pPr>
                    <w:ind w:firstLine="210" w:firstLineChars="100"/>
                    <w:contextualSpacing/>
                    <w:jc w:val="left"/>
                    <w:outlineLvl w:val="0"/>
                    <w:rPr>
                      <w:bCs/>
                      <w:szCs w:val="21"/>
                    </w:rPr>
                  </w:pPr>
                  <w:r>
                    <w:rPr>
                      <w:rFonts w:hint="eastAsia"/>
                      <w:bCs/>
                      <w:szCs w:val="21"/>
                    </w:rPr>
                    <w:t>运输车辆交通噪声：合理安排运输路线和时间，避开敏感路段和敏感时间。</w:t>
                  </w:r>
                </w:p>
              </w:tc>
              <w:tc>
                <w:tcPr>
                  <w:tcW w:w="760" w:type="pct"/>
                  <w:vAlign w:val="center"/>
                </w:tcPr>
                <w:p w14:paraId="238CEFD3">
                  <w:pPr>
                    <w:contextualSpacing/>
                    <w:jc w:val="both"/>
                    <w:outlineLvl w:val="0"/>
                    <w:rPr>
                      <w:rFonts w:hint="eastAsia"/>
                      <w:bCs/>
                      <w:szCs w:val="21"/>
                    </w:rPr>
                  </w:pPr>
                  <w:r>
                    <w:rPr>
                      <w:rFonts w:hint="eastAsia"/>
                      <w:szCs w:val="21"/>
                      <w:lang w:val="en-US" w:eastAsia="zh-CN"/>
                    </w:rPr>
                    <w:t>与环评一致</w:t>
                  </w:r>
                </w:p>
              </w:tc>
            </w:tr>
            <w:tr w14:paraId="51A50B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 w:type="pct"/>
                  <w:vMerge w:val="continue"/>
                  <w:vAlign w:val="center"/>
                </w:tcPr>
                <w:p w14:paraId="2BED5205">
                  <w:pPr>
                    <w:contextualSpacing/>
                    <w:jc w:val="center"/>
                    <w:rPr>
                      <w:bCs/>
                      <w:szCs w:val="21"/>
                    </w:rPr>
                  </w:pPr>
                </w:p>
              </w:tc>
              <w:tc>
                <w:tcPr>
                  <w:tcW w:w="589" w:type="pct"/>
                  <w:vMerge w:val="restart"/>
                  <w:vAlign w:val="center"/>
                </w:tcPr>
                <w:p w14:paraId="31DD0789">
                  <w:pPr>
                    <w:pStyle w:val="18"/>
                    <w:ind w:left="0" w:leftChars="0"/>
                    <w:contextualSpacing/>
                    <w:jc w:val="center"/>
                    <w:rPr>
                      <w:rFonts w:hint="eastAsia" w:ascii="宋体" w:hAnsi="宋体" w:eastAsia="宋体" w:cs="宋体"/>
                      <w:sz w:val="21"/>
                      <w:szCs w:val="21"/>
                    </w:rPr>
                  </w:pPr>
                  <w:r>
                    <w:rPr>
                      <w:rFonts w:hint="eastAsia" w:ascii="宋体" w:hAnsi="宋体" w:eastAsia="宋体" w:cs="宋体"/>
                      <w:sz w:val="21"/>
                      <w:szCs w:val="21"/>
                    </w:rPr>
                    <w:t>固废治理</w:t>
                  </w:r>
                </w:p>
              </w:tc>
              <w:tc>
                <w:tcPr>
                  <w:tcW w:w="3294" w:type="pct"/>
                  <w:vAlign w:val="center"/>
                </w:tcPr>
                <w:p w14:paraId="24509AD4">
                  <w:pPr>
                    <w:contextualSpacing/>
                    <w:jc w:val="center"/>
                    <w:outlineLvl w:val="0"/>
                    <w:rPr>
                      <w:bCs/>
                      <w:szCs w:val="21"/>
                    </w:rPr>
                  </w:pPr>
                  <w:r>
                    <w:rPr>
                      <w:rFonts w:hint="eastAsia"/>
                      <w:bCs/>
                      <w:szCs w:val="21"/>
                    </w:rPr>
                    <w:t>土石方：开挖土方用于工程回填或周边市政工程、河道低洼段回填。</w:t>
                  </w:r>
                </w:p>
                <w:p w14:paraId="3642C3C9">
                  <w:pPr>
                    <w:contextualSpacing/>
                    <w:jc w:val="center"/>
                    <w:outlineLvl w:val="0"/>
                    <w:rPr>
                      <w:bCs/>
                      <w:szCs w:val="21"/>
                    </w:rPr>
                  </w:pPr>
                  <w:r>
                    <w:rPr>
                      <w:rFonts w:hint="eastAsia"/>
                      <w:bCs/>
                      <w:szCs w:val="21"/>
                    </w:rPr>
                    <w:t>建筑垃圾：分类收集，尽可能综合利用，不能回收利用建筑垃圾及时清运。</w:t>
                  </w:r>
                </w:p>
              </w:tc>
              <w:tc>
                <w:tcPr>
                  <w:tcW w:w="760" w:type="pct"/>
                  <w:vAlign w:val="center"/>
                </w:tcPr>
                <w:p w14:paraId="0BC4B4D4">
                  <w:pPr>
                    <w:contextualSpacing/>
                    <w:jc w:val="center"/>
                    <w:outlineLvl w:val="0"/>
                    <w:rPr>
                      <w:rFonts w:hint="eastAsia"/>
                      <w:bCs/>
                      <w:szCs w:val="21"/>
                    </w:rPr>
                  </w:pPr>
                  <w:r>
                    <w:rPr>
                      <w:rFonts w:hint="eastAsia"/>
                      <w:szCs w:val="21"/>
                      <w:lang w:val="en-US" w:eastAsia="zh-CN"/>
                    </w:rPr>
                    <w:t>与环评一致</w:t>
                  </w:r>
                </w:p>
              </w:tc>
            </w:tr>
            <w:tr w14:paraId="1E6184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55" w:type="pct"/>
                  <w:vMerge w:val="continue"/>
                  <w:vAlign w:val="center"/>
                </w:tcPr>
                <w:p w14:paraId="5CC29AE4">
                  <w:pPr>
                    <w:contextualSpacing/>
                    <w:jc w:val="center"/>
                    <w:rPr>
                      <w:bCs/>
                      <w:szCs w:val="21"/>
                    </w:rPr>
                  </w:pPr>
                </w:p>
              </w:tc>
              <w:tc>
                <w:tcPr>
                  <w:tcW w:w="589" w:type="pct"/>
                  <w:vMerge w:val="continue"/>
                  <w:vAlign w:val="center"/>
                </w:tcPr>
                <w:p w14:paraId="45543A6C">
                  <w:pPr>
                    <w:pStyle w:val="18"/>
                    <w:ind w:left="0" w:leftChars="0"/>
                    <w:contextualSpacing/>
                    <w:jc w:val="center"/>
                    <w:rPr>
                      <w:sz w:val="21"/>
                      <w:szCs w:val="21"/>
                    </w:rPr>
                  </w:pPr>
                </w:p>
              </w:tc>
              <w:tc>
                <w:tcPr>
                  <w:tcW w:w="3294" w:type="pct"/>
                  <w:vAlign w:val="center"/>
                </w:tcPr>
                <w:p w14:paraId="0F86307C">
                  <w:pPr>
                    <w:contextualSpacing/>
                    <w:jc w:val="center"/>
                    <w:outlineLvl w:val="0"/>
                    <w:rPr>
                      <w:bCs/>
                      <w:szCs w:val="21"/>
                    </w:rPr>
                  </w:pPr>
                  <w:r>
                    <w:rPr>
                      <w:rFonts w:hint="eastAsia"/>
                      <w:bCs/>
                      <w:szCs w:val="21"/>
                    </w:rPr>
                    <w:t>生活垃圾：集中收集后交由环卫部门统一清运处置</w:t>
                  </w:r>
                </w:p>
              </w:tc>
              <w:tc>
                <w:tcPr>
                  <w:tcW w:w="760" w:type="pct"/>
                  <w:vAlign w:val="center"/>
                </w:tcPr>
                <w:p w14:paraId="172137BF">
                  <w:pPr>
                    <w:contextualSpacing/>
                    <w:jc w:val="center"/>
                    <w:outlineLvl w:val="0"/>
                    <w:rPr>
                      <w:rFonts w:hint="eastAsia"/>
                      <w:bCs/>
                      <w:szCs w:val="21"/>
                    </w:rPr>
                  </w:pPr>
                  <w:r>
                    <w:rPr>
                      <w:rFonts w:hint="eastAsia"/>
                      <w:szCs w:val="21"/>
                      <w:lang w:val="en-US" w:eastAsia="zh-CN"/>
                    </w:rPr>
                    <w:t>与环评一致</w:t>
                  </w:r>
                </w:p>
              </w:tc>
            </w:tr>
          </w:tbl>
          <w:p w14:paraId="60A8DDAD">
            <w:pPr>
              <w:pStyle w:val="8"/>
              <w:widowControl w:val="0"/>
              <w:numPr>
                <w:ilvl w:val="0"/>
                <w:numId w:val="0"/>
              </w:numPr>
              <w:spacing w:line="360" w:lineRule="auto"/>
              <w:ind w:firstLine="482" w:firstLineChars="200"/>
              <w:jc w:val="both"/>
              <w:rPr>
                <w:rFonts w:hint="default" w:eastAsia="黑体"/>
                <w:b/>
                <w:bCs/>
                <w:sz w:val="24"/>
                <w:szCs w:val="24"/>
                <w:lang w:val="en-US" w:eastAsia="zh-CN"/>
              </w:rPr>
            </w:pPr>
            <w:r>
              <w:rPr>
                <w:rFonts w:hint="eastAsia" w:eastAsia="黑体"/>
                <w:b/>
                <w:bCs/>
                <w:sz w:val="24"/>
                <w:szCs w:val="24"/>
                <w:lang w:val="en-US" w:eastAsia="zh-CN"/>
              </w:rPr>
              <w:t>5、建设方案</w:t>
            </w:r>
          </w:p>
          <w:p w14:paraId="75936A65">
            <w:pPr>
              <w:spacing w:line="360" w:lineRule="auto"/>
              <w:ind w:firstLine="480"/>
              <w:jc w:val="left"/>
              <w:rPr>
                <w:rFonts w:hint="default" w:ascii="Times New Roman" w:hAnsi="Times New Roman" w:cs="Times New Roman"/>
                <w:b/>
                <w:color w:val="auto"/>
                <w:sz w:val="24"/>
                <w:lang w:val="en-US"/>
              </w:rPr>
            </w:pPr>
            <w:bookmarkStart w:id="128" w:name="_Toc339233973"/>
            <w:r>
              <w:rPr>
                <w:rFonts w:hint="eastAsia" w:eastAsia="黑体"/>
                <w:b/>
                <w:bCs/>
                <w:sz w:val="24"/>
                <w:szCs w:val="24"/>
                <w:lang w:val="en-US" w:eastAsia="zh-CN"/>
              </w:rPr>
              <w:t>（1）防洪、排涝标准及工程等级</w:t>
            </w:r>
          </w:p>
          <w:p w14:paraId="7326C88A">
            <w:pPr>
              <w:spacing w:line="360" w:lineRule="auto"/>
              <w:ind w:firstLine="480" w:firstLineChars="200"/>
              <w:jc w:val="left"/>
              <w:rPr>
                <w:rFonts w:hint="eastAsia" w:cs="Times New Roman"/>
                <w:bCs/>
                <w:color w:val="auto"/>
                <w:sz w:val="24"/>
                <w:lang w:eastAsia="zh-CN"/>
              </w:rPr>
            </w:pPr>
            <w:r>
              <w:rPr>
                <w:rFonts w:hint="default" w:ascii="Times New Roman" w:hAnsi="Times New Roman" w:cs="Times New Roman"/>
                <w:bCs/>
                <w:color w:val="auto"/>
                <w:sz w:val="24"/>
              </w:rPr>
              <w:t>本工程为护岸工程，不设防洪标准，排涝设计洪水标准为5年一遇</w:t>
            </w:r>
            <w:r>
              <w:rPr>
                <w:rFonts w:hint="eastAsia" w:cs="Times New Roman"/>
                <w:bCs/>
                <w:color w:val="auto"/>
                <w:sz w:val="24"/>
                <w:lang w:eastAsia="zh-CN"/>
              </w:rPr>
              <w:t>。</w:t>
            </w:r>
          </w:p>
          <w:p w14:paraId="1974967C">
            <w:pPr>
              <w:spacing w:line="360" w:lineRule="auto"/>
              <w:ind w:firstLine="480" w:firstLineChars="200"/>
              <w:jc w:val="left"/>
              <w:rPr>
                <w:rFonts w:hint="default" w:ascii="Times New Roman" w:hAnsi="Times New Roman" w:cs="Times New Roman"/>
                <w:b/>
                <w:color w:val="auto"/>
                <w:sz w:val="24"/>
              </w:rPr>
            </w:pPr>
            <w:r>
              <w:rPr>
                <w:rFonts w:hint="default" w:ascii="Times New Roman" w:hAnsi="Times New Roman" w:cs="Times New Roman"/>
                <w:bCs/>
                <w:color w:val="auto"/>
                <w:sz w:val="24"/>
              </w:rPr>
              <w:t>根据《水利水电工程等级划分及防洪标准》（SL252-2017），本工程为Ⅴ等工程，根据《堤防工程设计规范》（GB50286-2013），护岸工程级别为5级，主要建筑物按5级设计，次要建筑物按5级设计，临时建筑物按5级设计。</w:t>
            </w:r>
          </w:p>
          <w:p w14:paraId="57C2DD87">
            <w:pPr>
              <w:numPr>
                <w:ilvl w:val="0"/>
                <w:numId w:val="0"/>
              </w:numPr>
              <w:spacing w:line="360" w:lineRule="auto"/>
              <w:ind w:firstLine="482" w:firstLineChars="200"/>
              <w:jc w:val="left"/>
              <w:rPr>
                <w:rFonts w:hint="default" w:ascii="Times New Roman" w:hAnsi="Times New Roman" w:cs="Times New Roman"/>
                <w:b/>
                <w:color w:val="auto"/>
                <w:sz w:val="24"/>
              </w:rPr>
            </w:pPr>
            <w:r>
              <w:rPr>
                <w:rFonts w:hint="eastAsia" w:cs="Times New Roman"/>
                <w:b/>
                <w:color w:val="auto"/>
                <w:sz w:val="24"/>
                <w:lang w:eastAsia="zh-CN"/>
              </w:rPr>
              <w:t>（</w:t>
            </w:r>
            <w:r>
              <w:rPr>
                <w:rFonts w:hint="eastAsia" w:cs="Times New Roman"/>
                <w:b/>
                <w:color w:val="auto"/>
                <w:sz w:val="24"/>
                <w:lang w:val="en-US" w:eastAsia="zh-CN"/>
              </w:rPr>
              <w:t>2</w:t>
            </w:r>
            <w:r>
              <w:rPr>
                <w:rFonts w:hint="eastAsia" w:cs="Times New Roman"/>
                <w:b/>
                <w:color w:val="auto"/>
                <w:sz w:val="24"/>
                <w:lang w:eastAsia="zh-CN"/>
              </w:rPr>
              <w:t>）护岸工程</w:t>
            </w:r>
          </w:p>
          <w:p w14:paraId="3DAF1335">
            <w:pPr>
              <w:numPr>
                <w:ilvl w:val="0"/>
                <w:numId w:val="0"/>
              </w:numPr>
              <w:spacing w:line="360" w:lineRule="auto"/>
              <w:ind w:firstLine="480" w:firstLineChars="200"/>
              <w:jc w:val="left"/>
              <w:rPr>
                <w:rFonts w:hint="default" w:ascii="Times New Roman" w:hAnsi="Times New Roman" w:eastAsia="宋体" w:cs="Times New Roman"/>
                <w:bCs/>
                <w:color w:val="auto"/>
                <w:sz w:val="24"/>
                <w:lang w:val="en-US" w:eastAsia="zh-CN"/>
              </w:rPr>
            </w:pPr>
            <w:r>
              <w:rPr>
                <w:rFonts w:hint="eastAsia" w:cs="Times New Roman"/>
                <w:bCs/>
                <w:color w:val="auto"/>
                <w:sz w:val="24"/>
                <w:lang w:val="en-US" w:eastAsia="zh-CN"/>
              </w:rPr>
              <w:t>①</w:t>
            </w:r>
            <w:r>
              <w:rPr>
                <w:rFonts w:hint="default" w:ascii="Times New Roman" w:hAnsi="Times New Roman" w:eastAsia="宋体" w:cs="Times New Roman"/>
                <w:bCs/>
                <w:color w:val="auto"/>
                <w:sz w:val="24"/>
                <w:lang w:val="en-US" w:eastAsia="zh-CN"/>
              </w:rPr>
              <w:t>护岸横断面</w:t>
            </w:r>
          </w:p>
          <w:p w14:paraId="36DACF4A">
            <w:pPr>
              <w:numPr>
                <w:ilvl w:val="0"/>
                <w:numId w:val="0"/>
              </w:numPr>
              <w:spacing w:line="360" w:lineRule="auto"/>
              <w:ind w:firstLine="480" w:firstLineChars="200"/>
              <w:jc w:val="left"/>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bCs/>
                <w:color w:val="auto"/>
                <w:sz w:val="24"/>
                <w:lang w:val="en-US" w:eastAsia="zh-CN"/>
              </w:rPr>
              <w:t>本工程采用仿木桩+麦克加筋垫的护岸型式。正常蓄水位以下采用仿木桩护坡，仿木桩采用外径为300mm，壁厚70mm的A型预应力混凝土管桩（PC桩），采用密排布置，桩与桩之间的间隙不大于20mm，桩顶高程低于正常蓄水位10cm，桩底嵌入基岩至少0.5m。正常蓄水位以上采用麦克加筋垫植草护坡，边坡坡比缓于1:2，麦克加筋垫是一种加筋的三维土工网垫，钢丝进行镀高尔凡防腐处理，钢丝网面抗拉强度35KN/m；U型钉采用φ8钢筋制作，梅花形布置，间距1m，单根锚入地面以下50cm。</w:t>
            </w:r>
          </w:p>
          <w:p w14:paraId="1F5B8128">
            <w:pPr>
              <w:pStyle w:val="115"/>
            </w:pPr>
            <w:r>
              <w:drawing>
                <wp:inline distT="0" distB="0" distL="114300" distR="114300">
                  <wp:extent cx="5284470" cy="2694305"/>
                  <wp:effectExtent l="0" t="0" r="6985" b="508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6"/>
                          <a:stretch>
                            <a:fillRect/>
                          </a:stretch>
                        </pic:blipFill>
                        <pic:spPr>
                          <a:xfrm>
                            <a:off x="0" y="0"/>
                            <a:ext cx="5284470" cy="2694305"/>
                          </a:xfrm>
                          <a:prstGeom prst="rect">
                            <a:avLst/>
                          </a:prstGeom>
                          <a:noFill/>
                          <a:ln>
                            <a:noFill/>
                          </a:ln>
                        </pic:spPr>
                      </pic:pic>
                    </a:graphicData>
                  </a:graphic>
                </wp:inline>
              </w:drawing>
            </w:r>
          </w:p>
          <w:p w14:paraId="6E80E62B">
            <w:pPr>
              <w:pStyle w:val="117"/>
              <w:rPr>
                <w:rFonts w:cs="Times New Roman"/>
              </w:rPr>
            </w:pPr>
            <w:r>
              <w:rPr>
                <w:rFonts w:cs="Times New Roman"/>
              </w:rPr>
              <w:t>图</w:t>
            </w:r>
            <w:r>
              <w:rPr>
                <w:rFonts w:hint="eastAsia" w:cs="Times New Roman"/>
                <w:lang w:val="en-US" w:eastAsia="zh-CN"/>
              </w:rPr>
              <w:t>4</w:t>
            </w:r>
            <w:r>
              <w:rPr>
                <w:rFonts w:cs="Times New Roman"/>
              </w:rPr>
              <w:t>-1   护岸工程断面设计图1</w:t>
            </w:r>
          </w:p>
          <w:p w14:paraId="529A88D3">
            <w:pPr>
              <w:pStyle w:val="117"/>
              <w:rPr>
                <w:rFonts w:cs="Times New Roman"/>
                <w:snapToGrid/>
              </w:rPr>
            </w:pPr>
            <w:r>
              <w:rPr>
                <w:rFonts w:cs="Times New Roman"/>
                <w:snapToGrid/>
              </w:rPr>
              <w:drawing>
                <wp:inline distT="0" distB="0" distL="114300" distR="114300">
                  <wp:extent cx="5280025" cy="2112010"/>
                  <wp:effectExtent l="0" t="0" r="3175" b="1270"/>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7"/>
                          <a:stretch>
                            <a:fillRect/>
                          </a:stretch>
                        </pic:blipFill>
                        <pic:spPr>
                          <a:xfrm>
                            <a:off x="0" y="0"/>
                            <a:ext cx="5280025" cy="2112010"/>
                          </a:xfrm>
                          <a:prstGeom prst="rect">
                            <a:avLst/>
                          </a:prstGeom>
                          <a:noFill/>
                          <a:ln>
                            <a:noFill/>
                          </a:ln>
                        </pic:spPr>
                      </pic:pic>
                    </a:graphicData>
                  </a:graphic>
                </wp:inline>
              </w:drawing>
            </w:r>
          </w:p>
          <w:p w14:paraId="15D67584">
            <w:pPr>
              <w:pStyle w:val="117"/>
              <w:rPr>
                <w:rFonts w:cs="Times New Roman"/>
              </w:rPr>
            </w:pPr>
            <w:r>
              <w:rPr>
                <w:rFonts w:cs="Times New Roman"/>
              </w:rPr>
              <w:t>图</w:t>
            </w:r>
            <w:r>
              <w:rPr>
                <w:rFonts w:hint="eastAsia" w:cs="Times New Roman"/>
                <w:lang w:val="en-US" w:eastAsia="zh-CN"/>
              </w:rPr>
              <w:t>4</w:t>
            </w:r>
            <w:r>
              <w:rPr>
                <w:rFonts w:cs="Times New Roman"/>
              </w:rPr>
              <w:t>-2   护岸工程断面设计图2</w:t>
            </w:r>
          </w:p>
          <w:p w14:paraId="6170A35E">
            <w:pPr>
              <w:numPr>
                <w:ilvl w:val="0"/>
                <w:numId w:val="0"/>
              </w:numPr>
              <w:spacing w:line="360" w:lineRule="auto"/>
              <w:ind w:firstLine="480" w:firstLineChars="200"/>
              <w:jc w:val="left"/>
              <w:rPr>
                <w:rFonts w:hint="default" w:ascii="Times New Roman" w:hAnsi="Times New Roman" w:eastAsia="宋体" w:cs="Times New Roman"/>
                <w:bCs/>
                <w:color w:val="auto"/>
                <w:sz w:val="24"/>
                <w:lang w:val="en-US" w:eastAsia="zh-CN"/>
              </w:rPr>
            </w:pPr>
          </w:p>
          <w:p w14:paraId="41C3642F">
            <w:pPr>
              <w:rPr>
                <w:rFonts w:hint="default" w:ascii="Times New Roman" w:hAnsi="Times New Roman" w:cs="Times New Roman"/>
                <w:color w:val="auto"/>
              </w:rPr>
            </w:pPr>
          </w:p>
          <w:p w14:paraId="2B1F03FD">
            <w:pPr>
              <w:numPr>
                <w:ilvl w:val="0"/>
                <w:numId w:val="0"/>
              </w:numPr>
              <w:spacing w:line="360" w:lineRule="auto"/>
              <w:ind w:firstLine="480" w:firstLineChars="200"/>
              <w:jc w:val="left"/>
              <w:rPr>
                <w:rFonts w:hint="eastAsia" w:cs="Times New Roman"/>
                <w:bCs/>
                <w:color w:val="auto"/>
                <w:sz w:val="24"/>
                <w:lang w:val="en-US" w:eastAsia="zh-CN"/>
              </w:rPr>
            </w:pPr>
            <w:r>
              <w:rPr>
                <w:rFonts w:hint="eastAsia" w:cs="Times New Roman"/>
                <w:bCs/>
                <w:color w:val="auto"/>
                <w:sz w:val="24"/>
                <w:lang w:val="en-US" w:eastAsia="zh-CN"/>
              </w:rPr>
              <w:t>②护岸顶结构</w:t>
            </w:r>
          </w:p>
          <w:p w14:paraId="62FA116C">
            <w:pPr>
              <w:numPr>
                <w:ilvl w:val="0"/>
                <w:numId w:val="0"/>
              </w:numPr>
              <w:spacing w:line="360" w:lineRule="auto"/>
              <w:ind w:firstLine="480" w:firstLineChars="200"/>
              <w:jc w:val="left"/>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bCs/>
                <w:color w:val="auto"/>
                <w:sz w:val="24"/>
                <w:lang w:val="en-US" w:eastAsia="zh-CN"/>
              </w:rPr>
              <w:t>本工程护岸顶高程基本沿原岸顶设置，同时保证护岸顶高程高于正常蓄水位0.3m以上，为了方便护岸工程检查维修，防止或减少洪水造成的损失，在护岸顶新建亲水马道作为生产便道（兼作管护道路），亲水马道结合工程河段现有道路设置：对于护岸工程河段岸坡附近无道路的，结合施工临时道路在岸顶设置亲水马道；护岸工程河段岸坡附近有道路的，利用现有道路作为生产便道（兼作管护道路）。亲水马道宽度为2.5m，路面结构为8cm厚C20红色透水砼路面+15cm厚C20砼路基+10cm厚级配碎石垫层，道路靠水岸侧设50cm宽绿化带，绿化带种植植物选择上重视乡土植物品种的使用，选用黄菊花、芍药、金银花、芙蓉，种植密度为64株/m²，植草选择麦冬草满铺，种植比例为：10%黄菊花，10%芍药，20%芙蓉，10%金银花，50%麦冬草。</w:t>
            </w:r>
          </w:p>
          <w:p w14:paraId="2A34F417">
            <w:pPr>
              <w:numPr>
                <w:ilvl w:val="0"/>
                <w:numId w:val="0"/>
              </w:numPr>
              <w:spacing w:line="360" w:lineRule="auto"/>
              <w:ind w:firstLine="480" w:firstLineChars="200"/>
              <w:jc w:val="left"/>
              <w:rPr>
                <w:rFonts w:hint="default" w:ascii="Times New Roman" w:hAnsi="Times New Roman" w:cs="Times New Roman"/>
                <w:color w:val="auto"/>
                <w:sz w:val="24"/>
              </w:rPr>
            </w:pPr>
            <w:r>
              <w:rPr>
                <w:rFonts w:hint="default" w:ascii="Times New Roman" w:hAnsi="Times New Roman" w:eastAsia="宋体" w:cs="Times New Roman"/>
                <w:bCs/>
                <w:color w:val="auto"/>
                <w:sz w:val="24"/>
                <w:lang w:val="en-US" w:eastAsia="zh-CN"/>
              </w:rPr>
              <w:t>经统计，本工程新建亲水马道共计13456m，实施绿化带6758.6m²，实施草皮护坡193853.77m²。</w:t>
            </w:r>
          </w:p>
          <w:p w14:paraId="2669D0FB">
            <w:pPr>
              <w:pStyle w:val="19"/>
              <w:spacing w:line="240" w:lineRule="auto"/>
              <w:ind w:left="0" w:leftChars="0"/>
              <w:jc w:val="center"/>
              <w:rPr>
                <w:rFonts w:hint="default" w:ascii="Times New Roman" w:hAnsi="Times New Roman" w:cs="Times New Roman"/>
                <w:color w:val="auto"/>
                <w:lang w:val="en-US" w:eastAsia="zh-CN"/>
              </w:rPr>
            </w:pPr>
            <w:r>
              <w:drawing>
                <wp:inline distT="0" distB="0" distL="114300" distR="114300">
                  <wp:extent cx="5270500" cy="2628900"/>
                  <wp:effectExtent l="0" t="0" r="4445" b="4445"/>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8"/>
                          <a:stretch>
                            <a:fillRect/>
                          </a:stretch>
                        </pic:blipFill>
                        <pic:spPr>
                          <a:xfrm>
                            <a:off x="0" y="0"/>
                            <a:ext cx="5270500" cy="2628900"/>
                          </a:xfrm>
                          <a:prstGeom prst="rect">
                            <a:avLst/>
                          </a:prstGeom>
                          <a:noFill/>
                          <a:ln>
                            <a:noFill/>
                          </a:ln>
                        </pic:spPr>
                      </pic:pic>
                    </a:graphicData>
                  </a:graphic>
                </wp:inline>
              </w:drawing>
            </w:r>
          </w:p>
          <w:p w14:paraId="2D57F7E8">
            <w:pPr>
              <w:pStyle w:val="19"/>
              <w:spacing w:line="240" w:lineRule="auto"/>
              <w:ind w:left="0" w:leftChars="0"/>
              <w:jc w:val="center"/>
              <w:rPr>
                <w:rFonts w:hint="default" w:ascii="Times New Roman" w:hAnsi="Times New Roman" w:cs="Times New Roman"/>
                <w:b/>
                <w:color w:val="auto"/>
                <w:lang w:val="en-US" w:eastAsia="zh-CN"/>
              </w:rPr>
            </w:pPr>
            <w:r>
              <w:rPr>
                <w:rFonts w:hint="default" w:ascii="Times New Roman" w:hAnsi="Times New Roman" w:cs="Times New Roman"/>
                <w:b/>
                <w:color w:val="auto"/>
                <w:lang w:val="en-US" w:eastAsia="zh-CN"/>
              </w:rPr>
              <w:t>图</w:t>
            </w:r>
            <w:r>
              <w:rPr>
                <w:rFonts w:hint="eastAsia" w:cs="Times New Roman"/>
                <w:b/>
                <w:color w:val="auto"/>
                <w:lang w:val="en-US" w:eastAsia="zh-CN"/>
              </w:rPr>
              <w:t>4-3</w:t>
            </w:r>
            <w:r>
              <w:rPr>
                <w:rFonts w:hint="default" w:ascii="Times New Roman" w:hAnsi="Times New Roman" w:cs="Times New Roman"/>
                <w:b/>
                <w:color w:val="auto"/>
                <w:lang w:val="en-US" w:eastAsia="zh-CN"/>
              </w:rPr>
              <w:t xml:space="preserve">   亲水马道断面设计图</w:t>
            </w:r>
          </w:p>
          <w:p w14:paraId="5F99D1A4">
            <w:pPr>
              <w:spacing w:line="360" w:lineRule="auto"/>
              <w:ind w:firstLine="482" w:firstLineChars="200"/>
              <w:jc w:val="left"/>
              <w:rPr>
                <w:rFonts w:hint="default" w:ascii="Times New Roman" w:hAnsi="Times New Roman" w:eastAsia="宋体" w:cs="Times New Roman"/>
                <w:b/>
                <w:color w:val="auto"/>
                <w:sz w:val="24"/>
                <w:lang w:val="en-US" w:eastAsia="zh-CN"/>
              </w:rPr>
            </w:pPr>
            <w:r>
              <w:rPr>
                <w:rFonts w:hint="eastAsia" w:cs="Times New Roman"/>
                <w:b/>
                <w:color w:val="auto"/>
                <w:sz w:val="24"/>
                <w:lang w:val="en-US" w:eastAsia="zh-CN"/>
              </w:rPr>
              <w:t>③基础设计</w:t>
            </w:r>
          </w:p>
          <w:p w14:paraId="562A8C8C">
            <w:pPr>
              <w:spacing w:line="360" w:lineRule="auto"/>
              <w:ind w:firstLine="480" w:firstLineChars="200"/>
              <w:jc w:val="left"/>
              <w:rPr>
                <w:rFonts w:hint="default" w:ascii="Times New Roman" w:hAnsi="Times New Roman" w:eastAsia="宋体" w:cs="Times New Roman"/>
                <w:bCs/>
                <w:color w:val="auto"/>
                <w:sz w:val="24"/>
                <w:lang w:val="en-US" w:eastAsia="zh-CN"/>
              </w:rPr>
            </w:pPr>
            <w:r>
              <w:rPr>
                <w:rFonts w:hint="default" w:ascii="Times New Roman" w:hAnsi="Times New Roman" w:eastAsia="宋体" w:cs="Times New Roman"/>
                <w:bCs/>
                <w:color w:val="auto"/>
                <w:sz w:val="24"/>
                <w:lang w:val="en-US" w:eastAsia="zh-CN"/>
              </w:rPr>
              <w:t>堤基埋深顺直段应置于冲刷深度以下0.5～1.0m，顶冲段应置于冲刷深度以下1.0m。堤基埋深为2～3.3m。本工程护岸采用桩基础，桩基类型为端承型桩，采用外径为300mm，壁厚为70mm的A型预应力混凝土管桩（PC桩）密排布置，桩底要求嵌入强风化岩0.5-1m以上，桩顶位于正常蓄水位以下10cm。</w:t>
            </w:r>
          </w:p>
          <w:p w14:paraId="629B77CE">
            <w:pPr>
              <w:spacing w:line="360" w:lineRule="auto"/>
              <w:ind w:firstLine="482" w:firstLineChars="200"/>
              <w:jc w:val="left"/>
              <w:rPr>
                <w:rFonts w:hint="default" w:ascii="Times New Roman" w:hAnsi="Times New Roman" w:cs="Times New Roman"/>
                <w:b/>
                <w:color w:val="auto"/>
                <w:sz w:val="24"/>
              </w:rPr>
            </w:pPr>
            <w:r>
              <w:rPr>
                <w:rFonts w:hint="default" w:ascii="Times New Roman" w:hAnsi="Times New Roman" w:cs="Times New Roman"/>
                <w:b/>
                <w:color w:val="auto"/>
                <w:sz w:val="24"/>
              </w:rPr>
              <w:t>（3）下河梯步设计</w:t>
            </w:r>
          </w:p>
          <w:p w14:paraId="681FFAC4">
            <w:pPr>
              <w:spacing w:line="360" w:lineRule="auto"/>
              <w:ind w:firstLine="480" w:firstLineChars="200"/>
              <w:jc w:val="left"/>
              <w:rPr>
                <w:rFonts w:hint="eastAsia" w:ascii="Times New Roman" w:hAnsi="Times New Roman" w:eastAsia="宋体" w:cs="Times New Roman"/>
                <w:bCs/>
                <w:color w:val="auto"/>
                <w:sz w:val="24"/>
                <w:lang w:eastAsia="zh-CN"/>
              </w:rPr>
            </w:pPr>
            <w:r>
              <w:rPr>
                <w:rFonts w:hint="eastAsia" w:cs="Times New Roman"/>
                <w:bCs/>
                <w:color w:val="auto"/>
                <w:sz w:val="24"/>
                <w:lang w:eastAsia="zh-CN"/>
              </w:rPr>
              <w:t>本工程河段在人口聚居点新建8处下河梯步。梯步采用10cm厚级配碎石垫层+15cm厚C20砼，每级梯步宽55cm，高20cm，梯步末端设13.65m长，4m宽亲水平台，亲水平台设计为月牙形，采用10cm厚级配碎石垫层+15cm厚C20砼+8cm厚红色C20透水砼铺装，供下河打捞水葫芦等浮游植物的船只停靠。</w:t>
            </w:r>
          </w:p>
          <w:p w14:paraId="152ED332">
            <w:pPr>
              <w:pStyle w:val="117"/>
              <w:rPr>
                <w:snapToGrid/>
              </w:rPr>
            </w:pPr>
            <w:r>
              <w:rPr>
                <w:snapToGrid/>
              </w:rPr>
              <w:drawing>
                <wp:inline distT="0" distB="0" distL="114300" distR="114300">
                  <wp:extent cx="5276850" cy="1823720"/>
                  <wp:effectExtent l="0" t="0" r="6350" b="635"/>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9"/>
                          <a:stretch>
                            <a:fillRect/>
                          </a:stretch>
                        </pic:blipFill>
                        <pic:spPr>
                          <a:xfrm>
                            <a:off x="0" y="0"/>
                            <a:ext cx="5276850" cy="1823720"/>
                          </a:xfrm>
                          <a:prstGeom prst="rect">
                            <a:avLst/>
                          </a:prstGeom>
                          <a:noFill/>
                          <a:ln>
                            <a:noFill/>
                          </a:ln>
                        </pic:spPr>
                      </pic:pic>
                    </a:graphicData>
                  </a:graphic>
                </wp:inline>
              </w:drawing>
            </w:r>
          </w:p>
          <w:p w14:paraId="5DA7FF69">
            <w:pPr>
              <w:pStyle w:val="117"/>
              <w:rPr>
                <w:snapToGrid/>
              </w:rPr>
            </w:pPr>
            <w:r>
              <w:rPr>
                <w:rFonts w:hint="eastAsia"/>
                <w:snapToGrid/>
              </w:rPr>
              <w:t>图</w:t>
            </w:r>
            <w:r>
              <w:rPr>
                <w:rFonts w:hint="eastAsia"/>
                <w:snapToGrid/>
                <w:lang w:val="en-US" w:eastAsia="zh-CN"/>
              </w:rPr>
              <w:t>4-4</w:t>
            </w:r>
            <w:r>
              <w:rPr>
                <w:rFonts w:hint="eastAsia"/>
                <w:snapToGrid/>
              </w:rPr>
              <w:t xml:space="preserve">   下河梯步横断面设计图</w:t>
            </w:r>
          </w:p>
          <w:p w14:paraId="609FE3CF">
            <w:pPr>
              <w:pStyle w:val="117"/>
              <w:rPr>
                <w:snapToGrid/>
              </w:rPr>
            </w:pPr>
            <w:r>
              <w:rPr>
                <w:snapToGrid/>
              </w:rPr>
              <w:drawing>
                <wp:inline distT="0" distB="0" distL="114300" distR="114300">
                  <wp:extent cx="5277485" cy="2788285"/>
                  <wp:effectExtent l="0" t="0" r="5715" b="1905"/>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10"/>
                          <a:stretch>
                            <a:fillRect/>
                          </a:stretch>
                        </pic:blipFill>
                        <pic:spPr>
                          <a:xfrm>
                            <a:off x="0" y="0"/>
                            <a:ext cx="5277485" cy="2788285"/>
                          </a:xfrm>
                          <a:prstGeom prst="rect">
                            <a:avLst/>
                          </a:prstGeom>
                          <a:noFill/>
                          <a:ln>
                            <a:noFill/>
                          </a:ln>
                        </pic:spPr>
                      </pic:pic>
                    </a:graphicData>
                  </a:graphic>
                </wp:inline>
              </w:drawing>
            </w:r>
          </w:p>
          <w:p w14:paraId="300BE217">
            <w:pPr>
              <w:pStyle w:val="117"/>
              <w:rPr>
                <w:rFonts w:hint="eastAsia"/>
              </w:rPr>
            </w:pPr>
            <w:r>
              <w:rPr>
                <w:rFonts w:hint="eastAsia"/>
                <w:snapToGrid/>
              </w:rPr>
              <w:t>图</w:t>
            </w:r>
            <w:r>
              <w:rPr>
                <w:rFonts w:hint="eastAsia"/>
                <w:snapToGrid/>
                <w:lang w:val="en-US" w:eastAsia="zh-CN"/>
              </w:rPr>
              <w:t>4-5</w:t>
            </w:r>
            <w:r>
              <w:rPr>
                <w:rFonts w:hint="eastAsia"/>
                <w:snapToGrid/>
              </w:rPr>
              <w:t xml:space="preserve">  下河梯步纵断面设计图</w:t>
            </w:r>
          </w:p>
          <w:p w14:paraId="32A18B62">
            <w:pPr>
              <w:spacing w:line="360" w:lineRule="auto"/>
              <w:jc w:val="left"/>
              <w:rPr>
                <w:rFonts w:hint="default" w:ascii="Times New Roman" w:hAnsi="Times New Roman" w:cs="Times New Roman"/>
                <w:b/>
                <w:color w:val="auto"/>
                <w:sz w:val="24"/>
              </w:rPr>
            </w:pPr>
          </w:p>
          <w:p w14:paraId="66106B30">
            <w:pPr>
              <w:spacing w:line="360" w:lineRule="auto"/>
              <w:ind w:firstLine="482" w:firstLineChars="200"/>
              <w:jc w:val="left"/>
              <w:rPr>
                <w:rFonts w:hint="default" w:ascii="Times New Roman" w:hAnsi="Times New Roman" w:cs="Times New Roman"/>
                <w:b/>
                <w:color w:val="auto"/>
                <w:sz w:val="24"/>
              </w:rPr>
            </w:pPr>
            <w:r>
              <w:rPr>
                <w:rFonts w:hint="default" w:ascii="Times New Roman" w:hAnsi="Times New Roman" w:cs="Times New Roman"/>
                <w:b/>
                <w:color w:val="auto"/>
                <w:sz w:val="24"/>
              </w:rPr>
              <w:t>（4）排涝工程</w:t>
            </w:r>
          </w:p>
          <w:p w14:paraId="6F47CB99">
            <w:pPr>
              <w:spacing w:line="360" w:lineRule="auto"/>
              <w:ind w:firstLine="480" w:firstLineChars="200"/>
              <w:jc w:val="left"/>
              <w:rPr>
                <w:rFonts w:hint="eastAsia" w:cs="Times New Roman"/>
                <w:bCs/>
                <w:color w:val="auto"/>
                <w:sz w:val="24"/>
                <w:lang w:eastAsia="zh-CN"/>
              </w:rPr>
            </w:pPr>
            <w:r>
              <w:rPr>
                <w:rFonts w:hint="default" w:ascii="Times New Roman" w:hAnsi="Times New Roman" w:eastAsia="宋体" w:cs="Times New Roman"/>
                <w:bCs/>
                <w:color w:val="auto"/>
                <w:sz w:val="24"/>
              </w:rPr>
              <w:t>本工程不涉及污水管、燃气管等穿堤建筑，工程河段有部分排水沟，需设置排涝涵管</w:t>
            </w:r>
            <w:r>
              <w:rPr>
                <w:rFonts w:hint="eastAsia" w:cs="Times New Roman"/>
                <w:bCs/>
                <w:color w:val="auto"/>
                <w:sz w:val="24"/>
                <w:lang w:eastAsia="zh-CN"/>
              </w:rPr>
              <w:t>。</w:t>
            </w:r>
          </w:p>
          <w:p w14:paraId="2F88D8F0">
            <w:pPr>
              <w:spacing w:line="360" w:lineRule="auto"/>
              <w:ind w:firstLine="480" w:firstLineChars="200"/>
              <w:jc w:val="left"/>
              <w:rPr>
                <w:rFonts w:hint="eastAsia" w:cs="Times New Roman"/>
                <w:bCs/>
                <w:color w:val="auto"/>
                <w:sz w:val="24"/>
                <w:lang w:eastAsia="zh-CN"/>
              </w:rPr>
            </w:pPr>
            <w:r>
              <w:rPr>
                <w:rFonts w:hint="default" w:ascii="Times New Roman" w:hAnsi="Times New Roman" w:eastAsia="宋体" w:cs="Times New Roman"/>
                <w:bCs/>
                <w:color w:val="auto"/>
                <w:sz w:val="24"/>
              </w:rPr>
              <w:t>在1右K0+097、资中K1+548左岸、7左K0+564、11左K0+219、永右K0+207、13左K0+292、18右K0+408处等地点设置有排涝涵管。18右K0+408处，排涝流量较大，根据原支沟断面尺寸，采用净尺寸为2.4×2.5m的盖板涵排涝，其余排涝设施采用排涝涵管排涝。共布设涵管1239.5m、盖板涵1处</w:t>
            </w:r>
            <w:r>
              <w:rPr>
                <w:rFonts w:hint="eastAsia" w:cs="Times New Roman"/>
                <w:bCs/>
                <w:color w:val="auto"/>
                <w:sz w:val="24"/>
                <w:lang w:eastAsia="zh-CN"/>
              </w:rPr>
              <w:t>。</w:t>
            </w:r>
          </w:p>
          <w:p w14:paraId="30003DF3">
            <w:pPr>
              <w:pStyle w:val="117"/>
              <w:rPr>
                <w:rFonts w:cs="Times New Roman"/>
              </w:rPr>
            </w:pPr>
            <w:r>
              <w:rPr>
                <w:rFonts w:cs="Times New Roman"/>
              </w:rPr>
              <w:drawing>
                <wp:inline distT="0" distB="0" distL="114300" distR="114300">
                  <wp:extent cx="5278120" cy="2567940"/>
                  <wp:effectExtent l="0" t="0" r="5080" b="7620"/>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11"/>
                          <a:stretch>
                            <a:fillRect/>
                          </a:stretch>
                        </pic:blipFill>
                        <pic:spPr>
                          <a:xfrm>
                            <a:off x="0" y="0"/>
                            <a:ext cx="5278120" cy="2567940"/>
                          </a:xfrm>
                          <a:prstGeom prst="rect">
                            <a:avLst/>
                          </a:prstGeom>
                          <a:noFill/>
                          <a:ln>
                            <a:noFill/>
                          </a:ln>
                        </pic:spPr>
                      </pic:pic>
                    </a:graphicData>
                  </a:graphic>
                </wp:inline>
              </w:drawing>
            </w:r>
          </w:p>
          <w:p w14:paraId="07019358">
            <w:pPr>
              <w:pStyle w:val="117"/>
              <w:rPr>
                <w:rFonts w:cs="Times New Roman"/>
              </w:rPr>
            </w:pPr>
            <w:r>
              <w:rPr>
                <w:rFonts w:cs="Times New Roman"/>
              </w:rPr>
              <w:t>图</w:t>
            </w:r>
            <w:r>
              <w:rPr>
                <w:rFonts w:hint="eastAsia" w:cs="Times New Roman"/>
                <w:lang w:val="en-US" w:eastAsia="zh-CN"/>
              </w:rPr>
              <w:t>4-6</w:t>
            </w:r>
            <w:r>
              <w:rPr>
                <w:rFonts w:cs="Times New Roman"/>
              </w:rPr>
              <w:t xml:space="preserve">   穿堤涵管设计图</w:t>
            </w:r>
          </w:p>
          <w:p w14:paraId="6AD7BEDF">
            <w:pPr>
              <w:spacing w:line="360" w:lineRule="auto"/>
              <w:ind w:firstLine="482" w:firstLineChars="200"/>
              <w:jc w:val="left"/>
              <w:rPr>
                <w:rFonts w:hint="default" w:ascii="Times New Roman" w:hAnsi="Times New Roman" w:cs="Times New Roman"/>
                <w:b/>
                <w:color w:val="auto"/>
                <w:sz w:val="24"/>
                <w:szCs w:val="24"/>
              </w:rPr>
            </w:pPr>
          </w:p>
          <w:p w14:paraId="465FAE6A">
            <w:pPr>
              <w:spacing w:line="360" w:lineRule="auto"/>
              <w:ind w:firstLine="482" w:firstLineChars="200"/>
              <w:jc w:val="left"/>
              <w:rPr>
                <w:rFonts w:hint="default" w:ascii="Times New Roman" w:hAnsi="Times New Roman" w:cs="Times New Roman"/>
                <w:b/>
                <w:color w:val="auto"/>
                <w:sz w:val="24"/>
                <w:szCs w:val="24"/>
              </w:rPr>
            </w:pPr>
          </w:p>
          <w:p w14:paraId="76660CF0">
            <w:pPr>
              <w:spacing w:line="360" w:lineRule="auto"/>
              <w:ind w:firstLine="482" w:firstLineChars="200"/>
              <w:jc w:val="left"/>
              <w:rPr>
                <w:rFonts w:hint="default" w:ascii="Times New Roman" w:hAnsi="Times New Roman" w:eastAsia="宋体" w:cs="Times New Roman"/>
                <w:b/>
                <w:color w:val="auto"/>
                <w:sz w:val="24"/>
                <w:szCs w:val="24"/>
                <w:lang w:val="en-US" w:eastAsia="zh-CN"/>
              </w:rPr>
            </w:pPr>
            <w:r>
              <w:rPr>
                <w:rFonts w:hint="default" w:ascii="Times New Roman" w:hAnsi="Times New Roman" w:cs="Times New Roman"/>
                <w:b/>
                <w:color w:val="auto"/>
                <w:sz w:val="24"/>
                <w:szCs w:val="24"/>
              </w:rPr>
              <w:t>（5）</w:t>
            </w:r>
            <w:r>
              <w:rPr>
                <w:rFonts w:hint="eastAsia" w:cs="Times New Roman"/>
                <w:b/>
                <w:color w:val="auto"/>
                <w:sz w:val="24"/>
                <w:szCs w:val="24"/>
                <w:lang w:val="en-US" w:eastAsia="zh-CN"/>
              </w:rPr>
              <w:t>生态修复</w:t>
            </w:r>
          </w:p>
          <w:bookmarkEnd w:id="128"/>
          <w:p w14:paraId="19F8D788">
            <w:pPr>
              <w:spacing w:line="360" w:lineRule="auto"/>
              <w:ind w:firstLine="480" w:firstLineChars="200"/>
              <w:contextualSpacing/>
              <w:jc w:val="left"/>
              <w:rPr>
                <w:rFonts w:hint="eastAsia" w:cs="Times New Roman"/>
                <w:color w:val="auto"/>
                <w:sz w:val="24"/>
                <w:lang w:val="en-US" w:eastAsia="zh-CN"/>
              </w:rPr>
            </w:pPr>
            <w:r>
              <w:rPr>
                <w:rFonts w:hint="eastAsia" w:cs="Times New Roman"/>
                <w:color w:val="auto"/>
                <w:sz w:val="24"/>
                <w:lang w:val="en-US" w:eastAsia="zh-CN"/>
              </w:rPr>
              <w:t>①滨河湿地</w:t>
            </w:r>
          </w:p>
          <w:p w14:paraId="6432255D">
            <w:pPr>
              <w:spacing w:line="360" w:lineRule="auto"/>
              <w:ind w:firstLine="480" w:firstLineChars="200"/>
              <w:contextualSpacing/>
              <w:jc w:val="left"/>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本工程在护岸工程范围的缓坡河段，根据地形设置1-5m宽的浅水区，构建浅水河流生态湿地。浅水区水深30cm，浅水区底部压实后，采用麦克加筋垫+20cm厚种植土+挺水植物护底。经统计，本工程新建浅水区滨河湿地31628.18m²，实施挺水植物3818.3m²。</w:t>
            </w:r>
          </w:p>
          <w:p w14:paraId="4211944E">
            <w:pPr>
              <w:spacing w:line="360" w:lineRule="auto"/>
              <w:ind w:firstLine="480" w:firstLineChars="200"/>
              <w:contextualSpacing/>
              <w:jc w:val="left"/>
              <w:rPr>
                <w:rFonts w:hint="eastAsia" w:cs="Times New Roman"/>
                <w:color w:val="auto"/>
                <w:sz w:val="24"/>
                <w:lang w:val="en-US" w:eastAsia="zh-CN"/>
              </w:rPr>
            </w:pPr>
            <w:r>
              <w:rPr>
                <w:rFonts w:hint="eastAsia" w:cs="Times New Roman"/>
                <w:color w:val="auto"/>
                <w:sz w:val="24"/>
                <w:lang w:val="en-US" w:eastAsia="zh-CN"/>
              </w:rPr>
              <w:t>②生态湿地节点</w:t>
            </w:r>
          </w:p>
          <w:p w14:paraId="5AE07616">
            <w:pPr>
              <w:spacing w:line="360" w:lineRule="auto"/>
              <w:ind w:firstLine="480" w:firstLineChars="200"/>
              <w:contextualSpacing/>
              <w:jc w:val="left"/>
              <w:rPr>
                <w:rFonts w:hint="eastAsia" w:cs="Times New Roman"/>
                <w:color w:val="auto"/>
                <w:sz w:val="24"/>
                <w:lang w:val="en-US" w:eastAsia="zh-CN"/>
              </w:rPr>
            </w:pPr>
            <w:r>
              <w:rPr>
                <w:rFonts w:hint="default" w:cs="Times New Roman"/>
                <w:color w:val="auto"/>
                <w:sz w:val="24"/>
                <w:lang w:val="en-US" w:eastAsia="zh-CN"/>
              </w:rPr>
              <w:t>在工程河段四个居民较集中的居住点打造生态湿地节点，分别为彭家沟生态湿地节点、资水河大桥生态湿地节点、神仙桥生态湿地节点、三绕生态湿地节点，其中彭家沟生态湿地节点位于桩号资中K0+000～资中K0+300河段，资水河大桥生态湿地节点位于资中K2+680～资中K3+855河段，神仙桥生态湿地节点位于资中K5+392～资中K5+900河段，三绕生态湿地节点位于资中K8+405～资中K9+100河段</w:t>
            </w:r>
            <w:r>
              <w:rPr>
                <w:rFonts w:hint="eastAsia" w:cs="Times New Roman"/>
                <w:color w:val="auto"/>
                <w:sz w:val="24"/>
                <w:lang w:val="en-US" w:eastAsia="zh-CN"/>
              </w:rPr>
              <w:t>。</w:t>
            </w:r>
          </w:p>
          <w:p w14:paraId="4D667608">
            <w:pPr>
              <w:spacing w:line="360" w:lineRule="auto"/>
              <w:ind w:firstLine="480" w:firstLineChars="200"/>
              <w:contextualSpacing/>
              <w:jc w:val="left"/>
              <w:rPr>
                <w:rFonts w:hint="eastAsia" w:cs="Times New Roman"/>
                <w:color w:val="auto"/>
                <w:sz w:val="24"/>
                <w:lang w:val="en-US" w:eastAsia="zh-CN"/>
              </w:rPr>
            </w:pPr>
            <w:r>
              <w:rPr>
                <w:rFonts w:hint="default" w:cs="Times New Roman"/>
                <w:color w:val="auto"/>
                <w:sz w:val="24"/>
                <w:lang w:val="en-US" w:eastAsia="zh-CN"/>
              </w:rPr>
              <w:t>经统计，本段节点共整理梯田湿地27730.8m²，垛田湿地14593.5m²，新建亲水平台400m²，新建阶梯式跌水1处（资中K0+320处）</w:t>
            </w:r>
            <w:r>
              <w:rPr>
                <w:rFonts w:hint="eastAsia" w:cs="Times New Roman"/>
                <w:color w:val="auto"/>
                <w:sz w:val="24"/>
                <w:lang w:val="en-US" w:eastAsia="zh-CN"/>
              </w:rPr>
              <w:t>。</w:t>
            </w:r>
          </w:p>
          <w:p w14:paraId="336ABDC7">
            <w:pPr>
              <w:pStyle w:val="117"/>
              <w:rPr>
                <w:rFonts w:hint="eastAsia"/>
              </w:rPr>
            </w:pPr>
            <w:r>
              <w:drawing>
                <wp:inline distT="0" distB="0" distL="114300" distR="114300">
                  <wp:extent cx="5232400" cy="3880485"/>
                  <wp:effectExtent l="0" t="0" r="1270" b="7620"/>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pic:cNvPicPr>
                            <a:picLocks noChangeAspect="1"/>
                          </pic:cNvPicPr>
                        </pic:nvPicPr>
                        <pic:blipFill>
                          <a:blip r:embed="rId12"/>
                          <a:stretch>
                            <a:fillRect/>
                          </a:stretch>
                        </pic:blipFill>
                        <pic:spPr>
                          <a:xfrm>
                            <a:off x="0" y="0"/>
                            <a:ext cx="5232400" cy="3880485"/>
                          </a:xfrm>
                          <a:prstGeom prst="rect">
                            <a:avLst/>
                          </a:prstGeom>
                          <a:noFill/>
                          <a:ln>
                            <a:noFill/>
                          </a:ln>
                        </pic:spPr>
                      </pic:pic>
                    </a:graphicData>
                  </a:graphic>
                </wp:inline>
              </w:drawing>
            </w:r>
          </w:p>
          <w:p w14:paraId="54303537">
            <w:pPr>
              <w:pStyle w:val="117"/>
              <w:rPr>
                <w:rFonts w:hint="eastAsia"/>
              </w:rPr>
            </w:pPr>
            <w:r>
              <w:rPr>
                <w:rFonts w:hint="eastAsia"/>
              </w:rPr>
              <w:t>图</w:t>
            </w:r>
            <w:r>
              <w:rPr>
                <w:rFonts w:hint="eastAsia"/>
                <w:lang w:val="en-US" w:eastAsia="zh-CN"/>
              </w:rPr>
              <w:t>4-7</w:t>
            </w:r>
            <w:r>
              <w:rPr>
                <w:rFonts w:hint="eastAsia"/>
              </w:rPr>
              <w:t xml:space="preserve">    梯级跌水平面布置图</w:t>
            </w:r>
          </w:p>
          <w:p w14:paraId="03076246">
            <w:pPr>
              <w:pStyle w:val="117"/>
              <w:rPr>
                <w:rFonts w:hint="eastAsia"/>
                <w:snapToGrid/>
              </w:rPr>
            </w:pPr>
            <w:r>
              <w:rPr>
                <w:snapToGrid/>
              </w:rPr>
              <w:drawing>
                <wp:inline distT="0" distB="0" distL="114300" distR="114300">
                  <wp:extent cx="5276850" cy="2588260"/>
                  <wp:effectExtent l="0" t="0" r="6350" b="3810"/>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13"/>
                          <a:stretch>
                            <a:fillRect/>
                          </a:stretch>
                        </pic:blipFill>
                        <pic:spPr>
                          <a:xfrm>
                            <a:off x="0" y="0"/>
                            <a:ext cx="5276850" cy="2588260"/>
                          </a:xfrm>
                          <a:prstGeom prst="rect">
                            <a:avLst/>
                          </a:prstGeom>
                          <a:noFill/>
                          <a:ln>
                            <a:noFill/>
                          </a:ln>
                        </pic:spPr>
                      </pic:pic>
                    </a:graphicData>
                  </a:graphic>
                </wp:inline>
              </w:drawing>
            </w:r>
          </w:p>
          <w:p w14:paraId="4EB3DD70">
            <w:pPr>
              <w:pStyle w:val="117"/>
              <w:rPr>
                <w:rFonts w:hint="eastAsia"/>
              </w:rPr>
            </w:pPr>
            <w:r>
              <w:t>图</w:t>
            </w:r>
            <w:r>
              <w:rPr>
                <w:rFonts w:hint="eastAsia"/>
                <w:lang w:val="en-US" w:eastAsia="zh-CN"/>
              </w:rPr>
              <w:t>4-8</w:t>
            </w:r>
            <w:r>
              <w:rPr>
                <w:rFonts w:hint="eastAsia"/>
              </w:rPr>
              <w:t xml:space="preserve">  梯级跌水纵断面图</w:t>
            </w:r>
          </w:p>
          <w:p w14:paraId="7978EEFD">
            <w:pPr>
              <w:pStyle w:val="117"/>
              <w:rPr>
                <w:rFonts w:hint="eastAsia"/>
              </w:rPr>
            </w:pPr>
          </w:p>
          <w:p w14:paraId="5C85CEA3">
            <w:pPr>
              <w:pStyle w:val="117"/>
              <w:rPr>
                <w:rFonts w:hint="eastAsia"/>
                <w:snapToGrid/>
              </w:rPr>
            </w:pPr>
            <w:r>
              <w:rPr>
                <w:snapToGrid/>
              </w:rPr>
              <w:drawing>
                <wp:inline distT="0" distB="0" distL="114300" distR="114300">
                  <wp:extent cx="5480050" cy="1633855"/>
                  <wp:effectExtent l="0" t="0" r="1270" b="635"/>
                  <wp:docPr id="1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9"/>
                          <pic:cNvPicPr>
                            <a:picLocks noChangeAspect="1"/>
                          </pic:cNvPicPr>
                        </pic:nvPicPr>
                        <pic:blipFill>
                          <a:blip r:embed="rId14"/>
                          <a:stretch>
                            <a:fillRect/>
                          </a:stretch>
                        </pic:blipFill>
                        <pic:spPr>
                          <a:xfrm>
                            <a:off x="0" y="0"/>
                            <a:ext cx="5480050" cy="1633855"/>
                          </a:xfrm>
                          <a:prstGeom prst="rect">
                            <a:avLst/>
                          </a:prstGeom>
                          <a:noFill/>
                          <a:ln>
                            <a:noFill/>
                          </a:ln>
                        </pic:spPr>
                      </pic:pic>
                    </a:graphicData>
                  </a:graphic>
                </wp:inline>
              </w:drawing>
            </w:r>
          </w:p>
          <w:p w14:paraId="4561CED6">
            <w:pPr>
              <w:pStyle w:val="117"/>
              <w:rPr>
                <w:rFonts w:hint="eastAsia"/>
                <w:snapToGrid/>
              </w:rPr>
            </w:pPr>
            <w:r>
              <w:rPr>
                <w:rFonts w:hint="eastAsia"/>
                <w:snapToGrid/>
              </w:rPr>
              <w:t>图</w:t>
            </w:r>
            <w:r>
              <w:rPr>
                <w:rFonts w:hint="eastAsia"/>
                <w:snapToGrid/>
                <w:lang w:val="en-US" w:eastAsia="zh-CN"/>
              </w:rPr>
              <w:t>4-9</w:t>
            </w:r>
            <w:r>
              <w:rPr>
                <w:rFonts w:hint="eastAsia"/>
                <w:snapToGrid/>
              </w:rPr>
              <w:t xml:space="preserve">   梯田湿地纵断面设计图</w:t>
            </w:r>
          </w:p>
          <w:p w14:paraId="1E68A4B8">
            <w:pPr>
              <w:pStyle w:val="117"/>
              <w:rPr>
                <w:rFonts w:hint="eastAsia"/>
                <w:snapToGrid/>
              </w:rPr>
            </w:pPr>
          </w:p>
          <w:p w14:paraId="4F376D84">
            <w:pPr>
              <w:pStyle w:val="117"/>
              <w:rPr>
                <w:snapToGrid/>
              </w:rPr>
            </w:pPr>
            <w:r>
              <w:rPr>
                <w:snapToGrid/>
              </w:rPr>
              <w:drawing>
                <wp:inline distT="0" distB="0" distL="114300" distR="114300">
                  <wp:extent cx="5480050" cy="1633855"/>
                  <wp:effectExtent l="0" t="0" r="1270" b="635"/>
                  <wp:docPr id="1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
                          <pic:cNvPicPr>
                            <a:picLocks noChangeAspect="1"/>
                          </pic:cNvPicPr>
                        </pic:nvPicPr>
                        <pic:blipFill>
                          <a:blip r:embed="rId14"/>
                          <a:stretch>
                            <a:fillRect/>
                          </a:stretch>
                        </pic:blipFill>
                        <pic:spPr>
                          <a:xfrm>
                            <a:off x="0" y="0"/>
                            <a:ext cx="5480050" cy="1633855"/>
                          </a:xfrm>
                          <a:prstGeom prst="rect">
                            <a:avLst/>
                          </a:prstGeom>
                          <a:noFill/>
                          <a:ln>
                            <a:noFill/>
                          </a:ln>
                        </pic:spPr>
                      </pic:pic>
                    </a:graphicData>
                  </a:graphic>
                </wp:inline>
              </w:drawing>
            </w:r>
          </w:p>
          <w:p w14:paraId="20A36949">
            <w:pPr>
              <w:pStyle w:val="117"/>
            </w:pPr>
            <w:r>
              <w:t>图</w:t>
            </w:r>
            <w:r>
              <w:rPr>
                <w:rFonts w:hint="eastAsia"/>
                <w:lang w:val="en-US" w:eastAsia="zh-CN"/>
              </w:rPr>
              <w:t>4-10</w:t>
            </w:r>
            <w:r>
              <w:rPr>
                <w:rFonts w:hint="eastAsia"/>
              </w:rPr>
              <w:t xml:space="preserve">  垛田湿地</w:t>
            </w:r>
            <w:r>
              <w:rPr>
                <w:rFonts w:hint="eastAsia"/>
                <w:snapToGrid/>
              </w:rPr>
              <w:t>纵断面设计图</w:t>
            </w:r>
          </w:p>
          <w:p w14:paraId="5DEEB470">
            <w:pPr>
              <w:pStyle w:val="117"/>
              <w:rPr>
                <w:rFonts w:hint="eastAsia"/>
              </w:rPr>
            </w:pPr>
          </w:p>
          <w:p w14:paraId="65DA16A0">
            <w:pPr>
              <w:spacing w:line="360" w:lineRule="auto"/>
              <w:ind w:firstLine="480" w:firstLineChars="200"/>
              <w:contextualSpacing/>
              <w:jc w:val="left"/>
              <w:rPr>
                <w:rFonts w:hint="default" w:cs="Times New Roman"/>
                <w:color w:val="auto"/>
                <w:sz w:val="24"/>
                <w:lang w:val="en-US" w:eastAsia="zh-CN"/>
              </w:rPr>
            </w:pPr>
            <w:r>
              <w:rPr>
                <w:rFonts w:hint="default" w:cs="Times New Roman"/>
                <w:color w:val="auto"/>
                <w:sz w:val="24"/>
                <w:lang w:val="en-US" w:eastAsia="zh-CN"/>
              </w:rPr>
              <w:t>资水河大桥生态湿地节点考虑沿现有道路将原有荒草地等布置为生态隔离带，生态缓冲带主要在面源污染区域的河道与陆地交界的一定区域建设乔灌草相结合的立体植物带，在农田与河道之间起到一定的缓冲作用，通过土壤—植被系统消减进入水体的污染负荷，由于工程区坡地上分布有林地，本工程生态隔离带考虑草本型生态隔离带，种植植物选择上重视乡土植物品种的使用，选用金丝菊、芍药、蓝莓、金银花，植草选择麦冬草满铺，种植比例为：10%金丝菊，10%芍药，20%蓝莓，10%金银花，50%麦冬草；对于原有坡度较大的农田，改造成梯田湿地；在地形宽阔处设置2处亲水平台，与亲水步道相结合，同时在二阶台地位置新建游步道连接已建乡村公路，增加道路的联通性；另外在靠近河岸较平整区域，通过开挖、修整等方式将该区域打造成为垛田湿地。经统计，本节点建设生态隔离带10</w:t>
            </w:r>
            <w:r>
              <w:rPr>
                <w:rFonts w:hint="eastAsia" w:cs="Times New Roman"/>
                <w:color w:val="auto"/>
                <w:sz w:val="24"/>
                <w:lang w:val="en-US" w:eastAsia="zh-CN"/>
              </w:rPr>
              <w:t>100</w:t>
            </w:r>
            <w:r>
              <w:rPr>
                <w:rFonts w:hint="default" w:cs="Times New Roman"/>
                <w:color w:val="auto"/>
                <w:sz w:val="24"/>
                <w:lang w:val="en-US" w:eastAsia="zh-CN"/>
              </w:rPr>
              <w:t>m²，梯田湿地37036m²，垛田湿地14293m²，新建亲水平台</w:t>
            </w:r>
            <w:r>
              <w:rPr>
                <w:rFonts w:hint="eastAsia" w:cs="Times New Roman"/>
                <w:color w:val="auto"/>
                <w:sz w:val="24"/>
                <w:lang w:val="en-US" w:eastAsia="zh-CN"/>
              </w:rPr>
              <w:t>324</w:t>
            </w:r>
            <w:r>
              <w:rPr>
                <w:rFonts w:hint="default" w:cs="Times New Roman"/>
                <w:color w:val="auto"/>
                <w:sz w:val="24"/>
                <w:lang w:val="en-US" w:eastAsia="zh-CN"/>
              </w:rPr>
              <w:t>m²，新建游步道1430m。</w:t>
            </w:r>
          </w:p>
          <w:p w14:paraId="571DB081">
            <w:pPr>
              <w:spacing w:line="360" w:lineRule="auto"/>
              <w:ind w:firstLine="480" w:firstLineChars="200"/>
              <w:contextualSpacing/>
              <w:jc w:val="left"/>
              <w:rPr>
                <w:rFonts w:hint="eastAsia"/>
              </w:rPr>
            </w:pPr>
            <w:r>
              <w:rPr>
                <w:sz w:val="24"/>
                <w:szCs w:val="24"/>
              </w:rPr>
              <w:t>游步道宽度为</w:t>
            </w:r>
            <w:r>
              <w:rPr>
                <w:rFonts w:hint="eastAsia"/>
                <w:sz w:val="24"/>
                <w:szCs w:val="24"/>
              </w:rPr>
              <w:t>3</w:t>
            </w:r>
            <w:r>
              <w:rPr>
                <w:sz w:val="24"/>
                <w:szCs w:val="24"/>
              </w:rPr>
              <w:t>.5m，路面结构为</w:t>
            </w:r>
            <w:r>
              <w:rPr>
                <w:rFonts w:hint="eastAsia"/>
                <w:sz w:val="24"/>
                <w:szCs w:val="24"/>
              </w:rPr>
              <w:t>6</w:t>
            </w:r>
            <w:r>
              <w:rPr>
                <w:sz w:val="24"/>
                <w:szCs w:val="24"/>
              </w:rPr>
              <w:t>cm厚</w:t>
            </w:r>
            <w:r>
              <w:rPr>
                <w:rFonts w:hint="eastAsia"/>
                <w:sz w:val="24"/>
                <w:szCs w:val="24"/>
              </w:rPr>
              <w:t>红色</w:t>
            </w:r>
            <w:r>
              <w:rPr>
                <w:sz w:val="24"/>
                <w:szCs w:val="24"/>
              </w:rPr>
              <w:t>沥青路面+15cm厚C20砼路基+1</w:t>
            </w:r>
            <w:r>
              <w:rPr>
                <w:rFonts w:hint="eastAsia"/>
                <w:sz w:val="24"/>
                <w:szCs w:val="24"/>
              </w:rPr>
              <w:t>5</w:t>
            </w:r>
            <w:r>
              <w:rPr>
                <w:sz w:val="24"/>
                <w:szCs w:val="24"/>
              </w:rPr>
              <w:t>cm厚级配碎石垫层，道路靠水岸侧设50cm宽绿化带，绿化带种植植物选择上重视乡土植物品种的使用，选用黄菊花、芍药、金银花、芙蓉，种植密度为64株/m²。</w:t>
            </w:r>
          </w:p>
          <w:p w14:paraId="1E4C264F">
            <w:pPr>
              <w:pStyle w:val="117"/>
              <w:rPr>
                <w:rFonts w:hint="eastAsia"/>
              </w:rPr>
            </w:pPr>
            <w:r>
              <w:rPr>
                <w:snapToGrid/>
              </w:rPr>
              <w:drawing>
                <wp:inline distT="0" distB="0" distL="114300" distR="114300">
                  <wp:extent cx="2713355" cy="1749425"/>
                  <wp:effectExtent l="0" t="0" r="2540" b="635"/>
                  <wp:docPr id="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
                          <pic:cNvPicPr>
                            <a:picLocks noChangeAspect="1"/>
                          </pic:cNvPicPr>
                        </pic:nvPicPr>
                        <pic:blipFill>
                          <a:blip r:embed="rId15"/>
                          <a:stretch>
                            <a:fillRect/>
                          </a:stretch>
                        </pic:blipFill>
                        <pic:spPr>
                          <a:xfrm>
                            <a:off x="0" y="0"/>
                            <a:ext cx="2713355" cy="1749425"/>
                          </a:xfrm>
                          <a:prstGeom prst="rect">
                            <a:avLst/>
                          </a:prstGeom>
                          <a:noFill/>
                          <a:ln>
                            <a:noFill/>
                          </a:ln>
                        </pic:spPr>
                      </pic:pic>
                    </a:graphicData>
                  </a:graphic>
                </wp:inline>
              </w:drawing>
            </w:r>
          </w:p>
          <w:p w14:paraId="03430124">
            <w:pPr>
              <w:pStyle w:val="117"/>
              <w:rPr>
                <w:rFonts w:hint="eastAsia"/>
              </w:rPr>
            </w:pPr>
            <w:r>
              <w:rPr>
                <w:rFonts w:hint="eastAsia"/>
              </w:rPr>
              <w:t>图</w:t>
            </w:r>
            <w:r>
              <w:rPr>
                <w:rFonts w:hint="eastAsia"/>
                <w:lang w:val="en-US" w:eastAsia="zh-CN"/>
              </w:rPr>
              <w:t>4-11</w:t>
            </w:r>
            <w:r>
              <w:rPr>
                <w:rFonts w:hint="eastAsia"/>
              </w:rPr>
              <w:t xml:space="preserve">  游步道、绿化带设计断面图</w:t>
            </w:r>
          </w:p>
          <w:p w14:paraId="0F8D7C3E">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contextualSpacing/>
              <w:jc w:val="left"/>
              <w:textAlignment w:val="auto"/>
              <w:rPr>
                <w:sz w:val="24"/>
                <w:szCs w:val="24"/>
              </w:rPr>
            </w:pPr>
            <w:r>
              <w:rPr>
                <w:sz w:val="24"/>
                <w:szCs w:val="24"/>
              </w:rPr>
              <w:t>神仙桥生态湿地节点考虑沿现有道路将原有荒草地等布置为生态隔离带，同时将原有坡度较大的农田改造成梯田湿地；在地形宽阔处设置1处亲水平台，与游步道相结合；另外在靠近河岸较平整区域，通过开挖、修整等方式将该区域打造成为垛田湿地。经统计，本节点建设生态隔离带</w:t>
            </w:r>
            <w:r>
              <w:rPr>
                <w:rFonts w:hint="eastAsia"/>
                <w:sz w:val="24"/>
                <w:szCs w:val="24"/>
              </w:rPr>
              <w:t>4278.4</w:t>
            </w:r>
            <w:r>
              <w:rPr>
                <w:sz w:val="24"/>
                <w:szCs w:val="24"/>
              </w:rPr>
              <w:t>m²，梯田湿地4628m²，垛田湿地5112m²，新建亲水平台50m²。</w:t>
            </w:r>
          </w:p>
          <w:p w14:paraId="5C06AE9B">
            <w:pPr>
              <w:spacing w:line="360" w:lineRule="auto"/>
              <w:ind w:firstLine="480" w:firstLineChars="200"/>
              <w:contextualSpacing/>
              <w:jc w:val="left"/>
              <w:rPr>
                <w:rFonts w:hint="eastAsia" w:eastAsia="宋体" w:cs="Times New Roman"/>
                <w:color w:val="auto"/>
                <w:sz w:val="24"/>
                <w:lang w:val="en-US" w:eastAsia="zh-CN"/>
              </w:rPr>
            </w:pPr>
            <w:r>
              <w:rPr>
                <w:sz w:val="24"/>
                <w:szCs w:val="24"/>
              </w:rPr>
              <w:t>三绕生态湿地节点考虑对左岸一阶台地进行开挖，在岸边形成垛田湿地；对高程较高的耕地田坎进行整理，形成梯田湿地；在右岸二阶台地上设置游步道，连接已建乡村公路。经统计，本节点建设梯田湿地42328.4m²，垛田湿地5856m²，新建游步道901m</w:t>
            </w:r>
            <w:r>
              <w:rPr>
                <w:rFonts w:hint="eastAsia"/>
                <w:sz w:val="24"/>
                <w:szCs w:val="24"/>
                <w:lang w:eastAsia="zh-CN"/>
              </w:rPr>
              <w:t>。</w:t>
            </w:r>
          </w:p>
        </w:tc>
      </w:tr>
      <w:tr w14:paraId="29AF5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8720" w:type="dxa"/>
            <w:gridSpan w:val="2"/>
          </w:tcPr>
          <w:p w14:paraId="79FE88D8">
            <w:pPr>
              <w:spacing w:line="360" w:lineRule="auto"/>
              <w:ind w:firstLine="241"/>
              <w:outlineLvl w:val="0"/>
              <w:rPr>
                <w:b/>
                <w:sz w:val="24"/>
                <w:szCs w:val="24"/>
              </w:rPr>
            </w:pPr>
            <w:bookmarkStart w:id="129" w:name="_Toc18166"/>
            <w:bookmarkStart w:id="130" w:name="_Toc165483443"/>
            <w:r>
              <w:rPr>
                <w:b/>
                <w:sz w:val="24"/>
                <w:szCs w:val="24"/>
              </w:rPr>
              <w:t>建设项目占地及总平面布置、线路路径</w:t>
            </w:r>
            <w:bookmarkEnd w:id="129"/>
            <w:bookmarkEnd w:id="130"/>
          </w:p>
          <w:p w14:paraId="34D4B404">
            <w:pPr>
              <w:spacing w:line="360" w:lineRule="auto"/>
              <w:ind w:firstLine="482" w:firstLineChars="200"/>
              <w:outlineLvl w:val="0"/>
              <w:rPr>
                <w:b/>
                <w:sz w:val="24"/>
                <w:szCs w:val="24"/>
              </w:rPr>
            </w:pPr>
            <w:bookmarkStart w:id="131" w:name="_Toc165483444"/>
            <w:bookmarkStart w:id="132" w:name="_Toc12145"/>
            <w:r>
              <w:rPr>
                <w:b/>
                <w:sz w:val="24"/>
                <w:szCs w:val="24"/>
              </w:rPr>
              <w:t>1、工程占地</w:t>
            </w:r>
            <w:bookmarkEnd w:id="131"/>
            <w:bookmarkEnd w:id="132"/>
          </w:p>
          <w:p w14:paraId="5F0AC682">
            <w:pPr>
              <w:spacing w:line="360" w:lineRule="auto"/>
              <w:ind w:firstLine="482" w:firstLineChars="200"/>
              <w:jc w:val="left"/>
              <w:rPr>
                <w:rFonts w:hint="eastAsia" w:eastAsia="宋体"/>
                <w:sz w:val="24"/>
                <w:lang w:eastAsia="zh-CN"/>
              </w:rPr>
            </w:pPr>
            <w:r>
              <w:rPr>
                <w:b/>
                <w:bCs/>
                <w:sz w:val="24"/>
              </w:rPr>
              <w:t>环评中</w:t>
            </w:r>
            <w:r>
              <w:rPr>
                <w:rFonts w:hint="eastAsia"/>
                <w:b/>
                <w:bCs/>
                <w:sz w:val="24"/>
                <w:lang w:eastAsia="zh-CN"/>
              </w:rPr>
              <w:t>：</w:t>
            </w:r>
            <w:r>
              <w:rPr>
                <w:rFonts w:hint="eastAsia" w:ascii="宋体" w:hAnsi="宋体"/>
                <w:sz w:val="24"/>
              </w:rPr>
              <w:t>工程施工临时占地范围包括临时施工道路、施工仓库、办公生活区等占地。临时施工占</w:t>
            </w:r>
            <w:r>
              <w:rPr>
                <w:rFonts w:hAnsi="宋体"/>
                <w:sz w:val="24"/>
              </w:rPr>
              <w:t>地</w:t>
            </w:r>
            <w:r>
              <w:rPr>
                <w:sz w:val="24"/>
              </w:rPr>
              <w:t>27.67</w:t>
            </w:r>
            <w:r>
              <w:rPr>
                <w:rFonts w:hAnsi="宋体"/>
                <w:sz w:val="24"/>
              </w:rPr>
              <w:t>亩（约</w:t>
            </w:r>
            <w:r>
              <w:rPr>
                <w:rFonts w:hint="eastAsia"/>
                <w:sz w:val="24"/>
                <w:lang w:val="en-US" w:eastAsia="zh-CN"/>
              </w:rPr>
              <w:t>1.</w:t>
            </w:r>
            <w:r>
              <w:rPr>
                <w:sz w:val="24"/>
              </w:rPr>
              <w:t>8447</w:t>
            </w:r>
            <w:r>
              <w:rPr>
                <w:rFonts w:hint="eastAsia"/>
                <w:sz w:val="24"/>
                <w:lang w:val="en-US" w:eastAsia="zh-CN"/>
              </w:rPr>
              <w:t>h</w:t>
            </w:r>
            <w:r>
              <w:rPr>
                <w:sz w:val="24"/>
              </w:rPr>
              <w:t>m</w:t>
            </w:r>
            <w:r>
              <w:rPr>
                <w:sz w:val="24"/>
                <w:vertAlign w:val="superscript"/>
              </w:rPr>
              <w:t>2</w:t>
            </w:r>
            <w:r>
              <w:rPr>
                <w:rFonts w:hAnsi="宋体"/>
                <w:sz w:val="24"/>
              </w:rPr>
              <w:t>，</w:t>
            </w:r>
            <w:r>
              <w:rPr>
                <w:rFonts w:hAnsi="宋体"/>
                <w:bCs/>
                <w:sz w:val="24"/>
              </w:rPr>
              <w:t>其中耕地</w:t>
            </w:r>
            <w:r>
              <w:rPr>
                <w:bCs/>
                <w:sz w:val="24"/>
              </w:rPr>
              <w:t>14.66</w:t>
            </w:r>
            <w:r>
              <w:rPr>
                <w:rFonts w:hAnsi="宋体"/>
                <w:bCs/>
                <w:sz w:val="24"/>
              </w:rPr>
              <w:t>亩，林地</w:t>
            </w:r>
            <w:r>
              <w:rPr>
                <w:bCs/>
                <w:sz w:val="24"/>
              </w:rPr>
              <w:t>6.48</w:t>
            </w:r>
            <w:r>
              <w:rPr>
                <w:rFonts w:hAnsi="宋体"/>
                <w:bCs/>
                <w:sz w:val="24"/>
              </w:rPr>
              <w:t>亩，草地</w:t>
            </w:r>
            <w:r>
              <w:rPr>
                <w:bCs/>
                <w:sz w:val="24"/>
              </w:rPr>
              <w:t>6.53</w:t>
            </w:r>
            <w:r>
              <w:rPr>
                <w:rFonts w:hAnsi="宋体"/>
                <w:bCs/>
                <w:sz w:val="24"/>
              </w:rPr>
              <w:t>亩</w:t>
            </w:r>
            <w:r>
              <w:rPr>
                <w:rFonts w:hAnsi="宋体"/>
                <w:sz w:val="24"/>
              </w:rPr>
              <w:t>）</w:t>
            </w:r>
            <w:r>
              <w:rPr>
                <w:rFonts w:hint="eastAsia"/>
                <w:sz w:val="24"/>
              </w:rPr>
              <w:t>。</w:t>
            </w:r>
            <w:r>
              <w:rPr>
                <w:rFonts w:hint="eastAsia"/>
                <w:sz w:val="24"/>
                <w:lang w:val="en-US" w:eastAsia="zh-CN"/>
              </w:rPr>
              <w:t>工程</w:t>
            </w:r>
            <w:r>
              <w:rPr>
                <w:rFonts w:hint="eastAsia"/>
                <w:sz w:val="24"/>
              </w:rPr>
              <w:t>永久占地面积208.45亩</w:t>
            </w:r>
            <w:r>
              <w:rPr>
                <w:rFonts w:hint="eastAsia"/>
                <w:sz w:val="24"/>
                <w:lang w:eastAsia="zh-CN"/>
              </w:rPr>
              <w:t>（</w:t>
            </w:r>
            <w:r>
              <w:rPr>
                <w:rFonts w:hint="eastAsia"/>
                <w:sz w:val="24"/>
                <w:lang w:val="en-US" w:eastAsia="zh-CN"/>
              </w:rPr>
              <w:t>约13.9hm</w:t>
            </w:r>
            <w:r>
              <w:rPr>
                <w:rFonts w:hint="eastAsia"/>
                <w:sz w:val="24"/>
                <w:vertAlign w:val="superscript"/>
                <w:lang w:val="en-US" w:eastAsia="zh-CN"/>
              </w:rPr>
              <w:t>2</w:t>
            </w:r>
            <w:r>
              <w:rPr>
                <w:rFonts w:hint="eastAsia"/>
                <w:sz w:val="24"/>
                <w:lang w:eastAsia="zh-CN"/>
              </w:rPr>
              <w:t>）</w:t>
            </w:r>
            <w:r>
              <w:rPr>
                <w:rFonts w:hint="eastAsia"/>
                <w:sz w:val="24"/>
              </w:rPr>
              <w:t>，用地为原河岸土地</w:t>
            </w:r>
          </w:p>
          <w:p w14:paraId="10A24E41">
            <w:pPr>
              <w:spacing w:line="360" w:lineRule="auto"/>
              <w:ind w:firstLine="482" w:firstLineChars="200"/>
              <w:jc w:val="left"/>
              <w:rPr>
                <w:rFonts w:hint="eastAsia" w:eastAsia="宋体"/>
                <w:sz w:val="24"/>
                <w:lang w:val="en-US" w:eastAsia="zh-CN"/>
              </w:rPr>
            </w:pPr>
            <w:r>
              <w:rPr>
                <w:b/>
                <w:bCs/>
                <w:sz w:val="24"/>
              </w:rPr>
              <w:t>项目实际</w:t>
            </w:r>
            <w:r>
              <w:rPr>
                <w:rFonts w:hint="eastAsia"/>
                <w:b/>
                <w:bCs/>
                <w:sz w:val="24"/>
              </w:rPr>
              <w:t>：</w:t>
            </w:r>
            <w:r>
              <w:rPr>
                <w:rFonts w:hint="eastAsia"/>
                <w:sz w:val="24"/>
              </w:rPr>
              <w:t>本项目总占地面积为26.35hm²，永久占地17.69hm²，临时占地8.66hm²。其中护岸工程区占地23.01hm²，生态湿地工程区占地2.22hm²，施工场地区占地0.18hm²，施工便道区占地0.56hm²，表土堆场区占地0.38hm²。占地类型为耕地、水域及水利设施用地、林地、其他土地</w:t>
            </w:r>
            <w:r>
              <w:rPr>
                <w:sz w:val="24"/>
              </w:rPr>
              <w:t>。</w:t>
            </w:r>
            <w:r>
              <w:rPr>
                <w:rFonts w:hint="eastAsia"/>
                <w:sz w:val="24"/>
                <w:lang w:val="en-US" w:eastAsia="zh-CN"/>
              </w:rPr>
              <w:t>项目</w:t>
            </w:r>
          </w:p>
          <w:p w14:paraId="0629BA69">
            <w:pPr>
              <w:pStyle w:val="8"/>
              <w:spacing w:line="360" w:lineRule="auto"/>
              <w:rPr>
                <w:rFonts w:hint="eastAsia"/>
                <w:b/>
                <w:bCs/>
                <w:sz w:val="24"/>
                <w:lang w:val="en-US" w:eastAsia="zh-CN"/>
              </w:rPr>
            </w:pPr>
            <w:r>
              <w:rPr>
                <w:rFonts w:hint="eastAsia"/>
                <w:b/>
                <w:bCs/>
                <w:sz w:val="24"/>
                <w:lang w:val="en-US" w:eastAsia="zh-CN"/>
              </w:rPr>
              <w:t>①施工交通组织</w:t>
            </w:r>
          </w:p>
          <w:p w14:paraId="57514348">
            <w:pPr>
              <w:spacing w:line="360" w:lineRule="auto"/>
              <w:ind w:firstLine="480" w:firstLineChars="200"/>
              <w:outlineLvl w:val="0"/>
              <w:rPr>
                <w:rFonts w:hint="eastAsia"/>
                <w:b w:val="0"/>
                <w:bCs/>
                <w:color w:val="auto"/>
                <w:sz w:val="24"/>
                <w:szCs w:val="24"/>
              </w:rPr>
            </w:pPr>
            <w:bookmarkStart w:id="133" w:name="_Toc165483445"/>
            <w:r>
              <w:rPr>
                <w:rFonts w:hint="eastAsia"/>
                <w:b w:val="0"/>
                <w:bCs/>
                <w:color w:val="auto"/>
                <w:sz w:val="24"/>
                <w:szCs w:val="24"/>
              </w:rPr>
              <w:t>场外交通</w:t>
            </w:r>
            <w:r>
              <w:rPr>
                <w:rFonts w:hint="eastAsia"/>
                <w:b w:val="0"/>
                <w:bCs/>
                <w:color w:val="auto"/>
                <w:sz w:val="24"/>
                <w:szCs w:val="24"/>
                <w:lang w:eastAsia="zh-CN"/>
              </w:rPr>
              <w:t>：</w:t>
            </w:r>
            <w:r>
              <w:rPr>
                <w:rFonts w:hint="eastAsia"/>
                <w:b w:val="0"/>
                <w:bCs/>
                <w:color w:val="auto"/>
                <w:sz w:val="24"/>
                <w:szCs w:val="24"/>
              </w:rPr>
              <w:t>施工期主要的外来物资为钢材、木材、机械设备、生活物资等，这些外来物资主要来自金堂县和成都市的建材设备市场、周边料场等地。各工程区对外交通运输以公路为主，各工程区与金堂县和成都市均有公路相通，对外交通较为便利，现有公路能够满足物资运输要求，不需要新建进场道路。</w:t>
            </w:r>
          </w:p>
          <w:p w14:paraId="34E0528F">
            <w:pPr>
              <w:spacing w:line="360" w:lineRule="auto"/>
              <w:ind w:firstLine="480" w:firstLineChars="200"/>
              <w:outlineLvl w:val="0"/>
              <w:rPr>
                <w:rFonts w:hint="eastAsia" w:eastAsia="宋体"/>
                <w:b w:val="0"/>
                <w:bCs/>
                <w:color w:val="auto"/>
                <w:sz w:val="24"/>
                <w:szCs w:val="24"/>
                <w:lang w:eastAsia="zh-CN"/>
              </w:rPr>
            </w:pPr>
            <w:r>
              <w:rPr>
                <w:rFonts w:hint="eastAsia"/>
                <w:b w:val="0"/>
                <w:bCs/>
                <w:color w:val="auto"/>
                <w:sz w:val="24"/>
                <w:szCs w:val="24"/>
              </w:rPr>
              <w:t>场内交通</w:t>
            </w:r>
            <w:r>
              <w:rPr>
                <w:rFonts w:hint="eastAsia"/>
                <w:b w:val="0"/>
                <w:bCs/>
                <w:color w:val="auto"/>
                <w:sz w:val="24"/>
                <w:szCs w:val="24"/>
                <w:lang w:eastAsia="zh-CN"/>
              </w:rPr>
              <w:t>：</w:t>
            </w:r>
            <w:r>
              <w:rPr>
                <w:rFonts w:hint="eastAsia"/>
                <w:b w:val="0"/>
                <w:bCs/>
                <w:color w:val="auto"/>
                <w:sz w:val="24"/>
                <w:szCs w:val="24"/>
              </w:rPr>
              <w:t>工程河段左右岸沿线顺河向大部分有乡村公路直达施工区，公路为混凝土路面。场内交通主要考虑施工便道和连接场外交通的临时道路，根据本工程实际情况，施工便道可利用亲水马道或生产便道级配碎石垫层作为临时道路，待主体工程施工完毕后作为亲水马道或生产便道垫层，此外再新建</w:t>
            </w:r>
            <w:r>
              <w:rPr>
                <w:rFonts w:hint="eastAsia"/>
                <w:b w:val="0"/>
                <w:bCs/>
                <w:color w:val="auto"/>
                <w:sz w:val="24"/>
                <w:szCs w:val="24"/>
                <w:lang w:val="en-US" w:eastAsia="zh-CN"/>
              </w:rPr>
              <w:t>有</w:t>
            </w:r>
            <w:r>
              <w:rPr>
                <w:rFonts w:hint="eastAsia"/>
                <w:b w:val="0"/>
                <w:bCs/>
                <w:color w:val="auto"/>
                <w:sz w:val="24"/>
                <w:szCs w:val="24"/>
              </w:rPr>
              <w:t>临时道路连接场外交通，即可满足施工交通要求。新建施工临时道路采用泥结碎石路面，以碎石作为骨料、泥土作为填充料和粘结料，经压实后修筑而成，路面厚度为12cm</w:t>
            </w:r>
            <w:r>
              <w:rPr>
                <w:rFonts w:hint="eastAsia"/>
                <w:b w:val="0"/>
                <w:bCs/>
                <w:color w:val="auto"/>
                <w:sz w:val="24"/>
                <w:szCs w:val="24"/>
                <w:lang w:eastAsia="zh-CN"/>
              </w:rPr>
              <w:t>。</w:t>
            </w:r>
          </w:p>
          <w:p w14:paraId="0FC51160">
            <w:pPr>
              <w:spacing w:line="360" w:lineRule="auto"/>
              <w:ind w:firstLine="482" w:firstLineChars="200"/>
              <w:outlineLvl w:val="0"/>
              <w:rPr>
                <w:rFonts w:hint="eastAsia"/>
                <w:b/>
                <w:color w:val="auto"/>
                <w:sz w:val="24"/>
                <w:szCs w:val="24"/>
                <w:lang w:val="en-US" w:eastAsia="zh-CN"/>
              </w:rPr>
            </w:pPr>
            <w:bookmarkStart w:id="134" w:name="_Toc26515"/>
            <w:r>
              <w:rPr>
                <w:rFonts w:hint="eastAsia"/>
                <w:b/>
                <w:color w:val="auto"/>
                <w:sz w:val="24"/>
                <w:szCs w:val="24"/>
                <w:lang w:val="en-US" w:eastAsia="zh-CN"/>
              </w:rPr>
              <w:t>②拌合站</w:t>
            </w:r>
            <w:bookmarkEnd w:id="134"/>
          </w:p>
          <w:p w14:paraId="020DD163">
            <w:pPr>
              <w:spacing w:line="360" w:lineRule="auto"/>
              <w:ind w:firstLine="480" w:firstLineChars="200"/>
              <w:outlineLvl w:val="0"/>
              <w:rPr>
                <w:rFonts w:hint="eastAsia"/>
                <w:color w:val="auto"/>
                <w:sz w:val="24"/>
                <w:szCs w:val="24"/>
                <w:lang w:val="en-US" w:eastAsia="zh-CN"/>
              </w:rPr>
            </w:pPr>
            <w:bookmarkStart w:id="135" w:name="_Toc32588"/>
            <w:r>
              <w:rPr>
                <w:rFonts w:hint="eastAsia"/>
                <w:color w:val="auto"/>
                <w:sz w:val="24"/>
                <w:szCs w:val="24"/>
                <w:lang w:val="en-US" w:eastAsia="zh-CN"/>
              </w:rPr>
              <w:t>环评中：本工程采用商品砼，不设混凝土拌和站。</w:t>
            </w:r>
            <w:bookmarkEnd w:id="135"/>
          </w:p>
          <w:p w14:paraId="24E432E5">
            <w:pPr>
              <w:spacing w:line="360" w:lineRule="auto"/>
              <w:ind w:firstLine="480" w:firstLineChars="200"/>
              <w:outlineLvl w:val="0"/>
              <w:rPr>
                <w:rFonts w:hint="default"/>
                <w:color w:val="auto"/>
                <w:lang w:val="en-US" w:eastAsia="zh-CN"/>
              </w:rPr>
            </w:pPr>
            <w:bookmarkStart w:id="136" w:name="_Toc14472"/>
            <w:r>
              <w:rPr>
                <w:rFonts w:hint="eastAsia"/>
                <w:color w:val="auto"/>
                <w:sz w:val="24"/>
                <w:szCs w:val="24"/>
                <w:lang w:val="en-US" w:eastAsia="zh-CN"/>
              </w:rPr>
              <w:t>实际：未设置混凝土拌和站。</w:t>
            </w:r>
            <w:bookmarkEnd w:id="136"/>
          </w:p>
          <w:p w14:paraId="3FD9859C">
            <w:pPr>
              <w:spacing w:line="360" w:lineRule="auto"/>
              <w:ind w:firstLine="482" w:firstLineChars="200"/>
              <w:outlineLvl w:val="0"/>
              <w:rPr>
                <w:rFonts w:hint="eastAsia"/>
                <w:b/>
                <w:sz w:val="24"/>
                <w:szCs w:val="24"/>
                <w:lang w:val="en-US" w:eastAsia="zh-CN"/>
              </w:rPr>
            </w:pPr>
            <w:bookmarkStart w:id="137" w:name="_Toc20497"/>
            <w:r>
              <w:rPr>
                <w:rFonts w:hint="eastAsia"/>
                <w:b/>
                <w:sz w:val="24"/>
                <w:szCs w:val="24"/>
                <w:lang w:val="en-US" w:eastAsia="zh-CN"/>
              </w:rPr>
              <w:t>③施工工区</w:t>
            </w:r>
            <w:bookmarkEnd w:id="137"/>
          </w:p>
          <w:p w14:paraId="4B8FA598">
            <w:pPr>
              <w:spacing w:line="360" w:lineRule="auto"/>
              <w:ind w:firstLine="480" w:firstLineChars="200"/>
              <w:outlineLvl w:val="0"/>
              <w:rPr>
                <w:rFonts w:hint="eastAsia" w:eastAsia="宋体"/>
                <w:b/>
                <w:color w:val="auto"/>
                <w:sz w:val="24"/>
                <w:szCs w:val="24"/>
                <w:lang w:eastAsia="zh-CN"/>
              </w:rPr>
            </w:pPr>
            <w:bookmarkStart w:id="138" w:name="_Toc30809"/>
            <w:r>
              <w:rPr>
                <w:rFonts w:hint="eastAsia" w:cs="Times New Roman"/>
                <w:color w:val="auto"/>
                <w:sz w:val="24"/>
                <w:szCs w:val="24"/>
                <w:lang w:eastAsia="zh-CN"/>
              </w:rPr>
              <w:t>按工程布置特点，采用分区布置方式，布置2个工区进行建设，转龙镇工程河段划分为1#工区，竹篙镇工程河段划分为2#工区。</w:t>
            </w:r>
            <w:bookmarkEnd w:id="138"/>
          </w:p>
          <w:p w14:paraId="55EF185A">
            <w:pPr>
              <w:spacing w:line="360" w:lineRule="auto"/>
              <w:ind w:firstLine="482" w:firstLineChars="200"/>
              <w:outlineLvl w:val="0"/>
              <w:rPr>
                <w:rFonts w:hint="eastAsia"/>
                <w:b/>
                <w:sz w:val="24"/>
                <w:szCs w:val="24"/>
                <w:lang w:val="en-US" w:eastAsia="zh-CN"/>
              </w:rPr>
            </w:pPr>
            <w:bookmarkStart w:id="139" w:name="_Toc26557"/>
            <w:r>
              <w:rPr>
                <w:rFonts w:hint="eastAsia"/>
                <w:b/>
                <w:sz w:val="24"/>
                <w:szCs w:val="24"/>
                <w:lang w:val="en-US" w:eastAsia="zh-CN"/>
              </w:rPr>
              <w:t>④施工营地</w:t>
            </w:r>
            <w:bookmarkEnd w:id="139"/>
          </w:p>
          <w:p w14:paraId="1B151645">
            <w:pPr>
              <w:spacing w:line="360" w:lineRule="auto"/>
              <w:ind w:firstLine="480" w:firstLineChars="200"/>
              <w:outlineLvl w:val="0"/>
              <w:rPr>
                <w:rFonts w:hint="eastAsia"/>
                <w:color w:val="auto"/>
                <w:sz w:val="24"/>
                <w:szCs w:val="24"/>
                <w:lang w:eastAsia="zh-CN"/>
              </w:rPr>
            </w:pPr>
            <w:bookmarkStart w:id="140" w:name="_Toc32151"/>
            <w:r>
              <w:rPr>
                <w:rFonts w:hint="default"/>
                <w:color w:val="auto"/>
                <w:sz w:val="24"/>
                <w:szCs w:val="24"/>
              </w:rPr>
              <w:t>施工人员租用当地住房，项目不设施工营地</w:t>
            </w:r>
            <w:r>
              <w:rPr>
                <w:rFonts w:hint="eastAsia"/>
                <w:color w:val="auto"/>
                <w:sz w:val="24"/>
                <w:szCs w:val="24"/>
                <w:lang w:eastAsia="zh-CN"/>
              </w:rPr>
              <w:t>。</w:t>
            </w:r>
            <w:bookmarkEnd w:id="140"/>
          </w:p>
          <w:p w14:paraId="0DFD018C">
            <w:pPr>
              <w:spacing w:line="360" w:lineRule="auto"/>
              <w:ind w:firstLine="482" w:firstLineChars="200"/>
              <w:outlineLvl w:val="0"/>
              <w:rPr>
                <w:rFonts w:hint="eastAsia"/>
                <w:b/>
                <w:bCs/>
                <w:color w:val="auto"/>
                <w:sz w:val="24"/>
                <w:szCs w:val="24"/>
                <w:lang w:val="en-US" w:eastAsia="zh-CN"/>
              </w:rPr>
            </w:pPr>
            <w:bookmarkStart w:id="141" w:name="_Toc22948"/>
            <w:r>
              <w:rPr>
                <w:rFonts w:hint="eastAsia"/>
                <w:b/>
                <w:bCs/>
                <w:color w:val="auto"/>
                <w:sz w:val="24"/>
                <w:szCs w:val="24"/>
                <w:lang w:val="en-US" w:eastAsia="zh-CN"/>
              </w:rPr>
              <w:t>⑤临时堆土场</w:t>
            </w:r>
            <w:bookmarkEnd w:id="141"/>
          </w:p>
          <w:p w14:paraId="53B77C7B">
            <w:pPr>
              <w:spacing w:line="360" w:lineRule="auto"/>
              <w:ind w:firstLine="480" w:firstLineChars="200"/>
              <w:outlineLvl w:val="0"/>
              <w:rPr>
                <w:rFonts w:hint="eastAsia" w:eastAsia="宋体"/>
                <w:lang w:val="en-US" w:eastAsia="zh-CN"/>
              </w:rPr>
            </w:pPr>
            <w:bookmarkStart w:id="142" w:name="_Toc20378"/>
            <w:r>
              <w:rPr>
                <w:rFonts w:hint="eastAsia"/>
                <w:color w:val="auto"/>
                <w:sz w:val="24"/>
                <w:szCs w:val="24"/>
                <w:lang w:val="en-US" w:eastAsia="zh-CN"/>
              </w:rPr>
              <w:t>沿线临时堆放，施工期沿表土堆场区周边修建临时排水沟、临时沉沙凼和临时拦挡，施工过程中对堆放表土进行临时覆盖，施工结束以后进行土地整治</w:t>
            </w:r>
            <w:r>
              <w:rPr>
                <w:rFonts w:hint="eastAsia"/>
                <w:color w:val="auto"/>
                <w:sz w:val="24"/>
                <w:szCs w:val="24"/>
                <w:lang w:eastAsia="zh-CN"/>
              </w:rPr>
              <w:t>。</w:t>
            </w:r>
            <w:bookmarkEnd w:id="142"/>
          </w:p>
          <w:p w14:paraId="507CDAB9">
            <w:pPr>
              <w:spacing w:line="360" w:lineRule="auto"/>
              <w:ind w:firstLine="482" w:firstLineChars="200"/>
              <w:outlineLvl w:val="0"/>
              <w:rPr>
                <w:b/>
                <w:sz w:val="24"/>
                <w:szCs w:val="24"/>
              </w:rPr>
            </w:pPr>
            <w:bookmarkStart w:id="143" w:name="_Toc26261"/>
            <w:r>
              <w:rPr>
                <w:b/>
                <w:sz w:val="24"/>
                <w:szCs w:val="24"/>
              </w:rPr>
              <w:t>2、</w:t>
            </w:r>
            <w:r>
              <w:rPr>
                <w:rFonts w:hint="eastAsia"/>
                <w:b/>
                <w:sz w:val="24"/>
                <w:szCs w:val="24"/>
              </w:rPr>
              <w:t>总平面布置</w:t>
            </w:r>
            <w:bookmarkEnd w:id="143"/>
          </w:p>
          <w:bookmarkEnd w:id="133"/>
          <w:p w14:paraId="3CF0E83F">
            <w:pPr>
              <w:spacing w:line="360" w:lineRule="auto"/>
              <w:ind w:firstLine="480" w:firstLineChars="200"/>
              <w:rPr>
                <w:color w:val="auto"/>
                <w:sz w:val="24"/>
              </w:rPr>
            </w:pPr>
            <w:r>
              <w:rPr>
                <w:rFonts w:hint="eastAsia"/>
                <w:sz w:val="24"/>
                <w:lang w:val="en-US" w:eastAsia="zh-CN"/>
              </w:rPr>
              <w:t>护岸修建沿既定红线施工，沿河道修建</w:t>
            </w:r>
            <w:r>
              <w:rPr>
                <w:rFonts w:hint="eastAsia"/>
                <w:color w:val="auto"/>
                <w:sz w:val="24"/>
                <w:lang w:val="en-US" w:eastAsia="zh-CN"/>
              </w:rPr>
              <w:t>。项目</w:t>
            </w:r>
            <w:r>
              <w:rPr>
                <w:color w:val="auto"/>
                <w:sz w:val="24"/>
              </w:rPr>
              <w:t>平面布置图见附图</w:t>
            </w:r>
            <w:r>
              <w:rPr>
                <w:rFonts w:hint="eastAsia"/>
                <w:color w:val="auto"/>
                <w:sz w:val="24"/>
              </w:rPr>
              <w:t>4。</w:t>
            </w:r>
          </w:p>
          <w:p w14:paraId="0E8BF128">
            <w:pPr>
              <w:spacing w:line="360" w:lineRule="auto"/>
              <w:ind w:firstLine="482" w:firstLineChars="200"/>
              <w:outlineLvl w:val="0"/>
              <w:rPr>
                <w:sz w:val="24"/>
                <w:szCs w:val="24"/>
              </w:rPr>
            </w:pPr>
            <w:bookmarkStart w:id="144" w:name="_Toc12671"/>
            <w:bookmarkStart w:id="145" w:name="_Toc165483446"/>
            <w:r>
              <w:rPr>
                <w:b/>
                <w:bCs/>
                <w:color w:val="auto"/>
                <w:sz w:val="24"/>
                <w:szCs w:val="22"/>
                <w:u w:val="single"/>
              </w:rPr>
              <w:t>根据现场勘查，</w:t>
            </w:r>
            <w:r>
              <w:rPr>
                <w:rFonts w:hint="eastAsia"/>
                <w:b/>
                <w:bCs/>
                <w:color w:val="auto"/>
                <w:sz w:val="24"/>
                <w:szCs w:val="22"/>
                <w:u w:val="single"/>
                <w:lang w:val="en-US" w:eastAsia="zh-CN"/>
              </w:rPr>
              <w:t>项目</w:t>
            </w:r>
            <w:r>
              <w:rPr>
                <w:b/>
                <w:bCs/>
                <w:color w:val="auto"/>
                <w:sz w:val="24"/>
                <w:szCs w:val="22"/>
                <w:u w:val="single"/>
              </w:rPr>
              <w:t>平面布置均与环评一致</w:t>
            </w:r>
            <w:r>
              <w:rPr>
                <w:color w:val="auto"/>
                <w:sz w:val="24"/>
                <w:szCs w:val="24"/>
              </w:rPr>
              <w:t>。</w:t>
            </w:r>
            <w:bookmarkEnd w:id="144"/>
            <w:bookmarkEnd w:id="145"/>
          </w:p>
        </w:tc>
      </w:tr>
      <w:tr w14:paraId="1A867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gridSpan w:val="2"/>
          </w:tcPr>
          <w:p w14:paraId="4691E48D">
            <w:pPr>
              <w:spacing w:line="360" w:lineRule="auto"/>
              <w:ind w:firstLine="241"/>
              <w:outlineLvl w:val="0"/>
              <w:rPr>
                <w:b/>
                <w:sz w:val="24"/>
                <w:szCs w:val="24"/>
              </w:rPr>
            </w:pPr>
            <w:bookmarkStart w:id="146" w:name="_Toc29149"/>
            <w:bookmarkStart w:id="147" w:name="_Toc165483447"/>
            <w:r>
              <w:rPr>
                <w:b/>
                <w:sz w:val="24"/>
                <w:szCs w:val="24"/>
              </w:rPr>
              <w:t>建设项目环境保护投资</w:t>
            </w:r>
            <w:bookmarkEnd w:id="146"/>
            <w:bookmarkEnd w:id="147"/>
          </w:p>
          <w:p w14:paraId="53C41D29">
            <w:pPr>
              <w:spacing w:line="360" w:lineRule="auto"/>
              <w:ind w:firstLine="480" w:firstLineChars="200"/>
              <w:rPr>
                <w:bCs/>
                <w:sz w:val="24"/>
                <w:szCs w:val="24"/>
              </w:rPr>
            </w:pPr>
            <w:r>
              <w:rPr>
                <w:rFonts w:hint="eastAsia"/>
                <w:bCs/>
                <w:sz w:val="24"/>
                <w:szCs w:val="24"/>
              </w:rPr>
              <w:t>经查阅本项目工程竣工决算报告及工程竣工结算批复等相关资料，因市场价格与环评预估价格有偏差，</w:t>
            </w:r>
            <w:r>
              <w:rPr>
                <w:rFonts w:hint="eastAsia"/>
                <w:bCs/>
                <w:sz w:val="24"/>
                <w:szCs w:val="24"/>
                <w:lang w:val="en-US" w:eastAsia="zh-CN"/>
              </w:rPr>
              <w:t>但总体保持未变</w:t>
            </w:r>
            <w:r>
              <w:rPr>
                <w:rFonts w:hint="eastAsia"/>
                <w:bCs/>
                <w:sz w:val="24"/>
                <w:szCs w:val="24"/>
              </w:rPr>
              <w:t>。本项目各项环保措施及环保投资均已落实，环保投资落实效果较好。</w:t>
            </w:r>
          </w:p>
          <w:p w14:paraId="65F9C97A">
            <w:pPr>
              <w:spacing w:line="360" w:lineRule="auto"/>
              <w:ind w:firstLine="240"/>
              <w:rPr>
                <w:sz w:val="24"/>
                <w:szCs w:val="24"/>
              </w:rPr>
            </w:pPr>
            <w:r>
              <w:rPr>
                <w:rFonts w:hint="eastAsia"/>
                <w:bCs/>
                <w:sz w:val="24"/>
                <w:szCs w:val="24"/>
              </w:rPr>
              <w:t>本项目实际总投</w:t>
            </w:r>
            <w:r>
              <w:rPr>
                <w:rFonts w:hint="eastAsia"/>
                <w:bCs/>
                <w:color w:val="auto"/>
                <w:sz w:val="24"/>
                <w:szCs w:val="24"/>
              </w:rPr>
              <w:t>资为6131.82万元，环评阶段提出的各项环保投资均已落实，环保投资共计</w:t>
            </w:r>
            <w:r>
              <w:rPr>
                <w:rFonts w:hint="eastAsia"/>
                <w:bCs/>
                <w:color w:val="auto"/>
                <w:sz w:val="24"/>
                <w:szCs w:val="24"/>
                <w:lang w:val="en-US" w:eastAsia="zh-CN"/>
              </w:rPr>
              <w:t>31</w:t>
            </w:r>
            <w:r>
              <w:rPr>
                <w:rFonts w:hint="eastAsia"/>
                <w:bCs/>
                <w:color w:val="auto"/>
                <w:sz w:val="24"/>
                <w:szCs w:val="24"/>
              </w:rPr>
              <w:t>万元，占项目总投资的</w:t>
            </w:r>
            <w:r>
              <w:rPr>
                <w:rFonts w:hint="eastAsia"/>
                <w:bCs/>
                <w:color w:val="auto"/>
                <w:sz w:val="24"/>
                <w:szCs w:val="24"/>
                <w:lang w:val="en-US" w:eastAsia="zh-CN"/>
              </w:rPr>
              <w:t>0.5</w:t>
            </w:r>
            <w:r>
              <w:rPr>
                <w:rFonts w:hint="eastAsia"/>
                <w:bCs/>
                <w:color w:val="auto"/>
                <w:sz w:val="24"/>
                <w:szCs w:val="24"/>
              </w:rPr>
              <w:t>%。</w:t>
            </w:r>
            <w:r>
              <w:rPr>
                <w:color w:val="auto"/>
                <w:sz w:val="24"/>
                <w:szCs w:val="24"/>
              </w:rPr>
              <w:t>工程</w:t>
            </w:r>
            <w:r>
              <w:rPr>
                <w:sz w:val="24"/>
                <w:szCs w:val="24"/>
              </w:rPr>
              <w:t>环保投资对比见表4-</w:t>
            </w:r>
            <w:r>
              <w:rPr>
                <w:rFonts w:hint="eastAsia"/>
                <w:sz w:val="24"/>
                <w:szCs w:val="24"/>
                <w:lang w:val="en-US" w:eastAsia="zh-CN"/>
              </w:rPr>
              <w:t>4</w:t>
            </w:r>
            <w:r>
              <w:rPr>
                <w:sz w:val="24"/>
                <w:szCs w:val="24"/>
              </w:rPr>
              <w:t>。</w:t>
            </w:r>
          </w:p>
          <w:p w14:paraId="3AB34428">
            <w:pPr>
              <w:pStyle w:val="104"/>
              <w:snapToGrid w:val="0"/>
              <w:ind w:firstLine="211"/>
              <w:rPr>
                <w:szCs w:val="21"/>
              </w:rPr>
            </w:pPr>
            <w:r>
              <w:rPr>
                <w:szCs w:val="21"/>
              </w:rPr>
              <w:t>表4-</w:t>
            </w:r>
            <w:r>
              <w:rPr>
                <w:rFonts w:hint="eastAsia"/>
                <w:szCs w:val="21"/>
                <w:lang w:val="en-US" w:eastAsia="zh-CN"/>
              </w:rPr>
              <w:t>4</w:t>
            </w:r>
            <w:r>
              <w:rPr>
                <w:szCs w:val="21"/>
              </w:rPr>
              <w:t xml:space="preserve">   工程环保投资一览表</w:t>
            </w:r>
          </w:p>
          <w:tbl>
            <w:tblPr>
              <w:tblStyle w:val="33"/>
              <w:tblW w:w="495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57"/>
              <w:gridCol w:w="647"/>
              <w:gridCol w:w="1033"/>
              <w:gridCol w:w="4146"/>
              <w:gridCol w:w="1001"/>
              <w:gridCol w:w="937"/>
            </w:tblGrid>
            <w:tr w14:paraId="30E487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390" w:type="pct"/>
                  <w:tcBorders>
                    <w:bottom w:val="single" w:color="auto" w:sz="4" w:space="0"/>
                  </w:tcBorders>
                  <w:vAlign w:val="center"/>
                </w:tcPr>
                <w:p w14:paraId="0A49A2A5">
                  <w:pPr>
                    <w:widowControl/>
                    <w:jc w:val="center"/>
                    <w:rPr>
                      <w:szCs w:val="21"/>
                    </w:rPr>
                  </w:pPr>
                  <w:r>
                    <w:rPr>
                      <w:rFonts w:hint="eastAsia" w:hAnsi="宋体"/>
                      <w:szCs w:val="21"/>
                    </w:rPr>
                    <w:t>时段</w:t>
                  </w:r>
                </w:p>
              </w:tc>
              <w:tc>
                <w:tcPr>
                  <w:tcW w:w="997" w:type="pct"/>
                  <w:gridSpan w:val="2"/>
                  <w:tcBorders>
                    <w:bottom w:val="single" w:color="auto" w:sz="4" w:space="0"/>
                  </w:tcBorders>
                  <w:vAlign w:val="center"/>
                </w:tcPr>
                <w:p w14:paraId="6288132C">
                  <w:pPr>
                    <w:widowControl/>
                    <w:jc w:val="center"/>
                    <w:rPr>
                      <w:szCs w:val="21"/>
                    </w:rPr>
                  </w:pPr>
                  <w:r>
                    <w:rPr>
                      <w:rFonts w:hAnsi="宋体"/>
                      <w:szCs w:val="21"/>
                    </w:rPr>
                    <w:t>污染源</w:t>
                  </w:r>
                </w:p>
              </w:tc>
              <w:tc>
                <w:tcPr>
                  <w:tcW w:w="2460" w:type="pct"/>
                  <w:tcBorders>
                    <w:bottom w:val="single" w:color="auto" w:sz="4" w:space="0"/>
                  </w:tcBorders>
                  <w:vAlign w:val="center"/>
                </w:tcPr>
                <w:p w14:paraId="14ABE013">
                  <w:pPr>
                    <w:widowControl/>
                    <w:jc w:val="center"/>
                    <w:rPr>
                      <w:szCs w:val="21"/>
                    </w:rPr>
                  </w:pPr>
                  <w:r>
                    <w:rPr>
                      <w:rFonts w:hAnsi="宋体"/>
                      <w:szCs w:val="21"/>
                    </w:rPr>
                    <w:t>治理</w:t>
                  </w:r>
                  <w:r>
                    <w:rPr>
                      <w:rFonts w:hint="eastAsia" w:hAnsi="宋体"/>
                      <w:szCs w:val="21"/>
                    </w:rPr>
                    <w:t>设施</w:t>
                  </w:r>
                </w:p>
              </w:tc>
              <w:tc>
                <w:tcPr>
                  <w:tcW w:w="594" w:type="pct"/>
                  <w:tcBorders>
                    <w:bottom w:val="single" w:color="auto" w:sz="4" w:space="0"/>
                  </w:tcBorders>
                  <w:vAlign w:val="center"/>
                </w:tcPr>
                <w:p w14:paraId="5280667B">
                  <w:pPr>
                    <w:widowControl/>
                    <w:jc w:val="center"/>
                    <w:rPr>
                      <w:rFonts w:hAnsi="宋体"/>
                      <w:szCs w:val="21"/>
                    </w:rPr>
                  </w:pPr>
                  <w:r>
                    <w:rPr>
                      <w:rFonts w:hint="eastAsia" w:hAnsi="宋体"/>
                      <w:szCs w:val="21"/>
                      <w:lang w:val="en-US" w:eastAsia="zh-CN"/>
                    </w:rPr>
                    <w:t>环评</w:t>
                  </w:r>
                  <w:r>
                    <w:rPr>
                      <w:rFonts w:hAnsi="宋体"/>
                      <w:szCs w:val="21"/>
                    </w:rPr>
                    <w:t>投资</w:t>
                  </w:r>
                </w:p>
                <w:p w14:paraId="651741F8">
                  <w:pPr>
                    <w:widowControl/>
                    <w:jc w:val="center"/>
                    <w:rPr>
                      <w:szCs w:val="21"/>
                    </w:rPr>
                  </w:pPr>
                  <w:r>
                    <w:rPr>
                      <w:szCs w:val="21"/>
                    </w:rPr>
                    <w:t>(</w:t>
                  </w:r>
                  <w:r>
                    <w:rPr>
                      <w:rFonts w:hAnsi="宋体"/>
                      <w:szCs w:val="21"/>
                    </w:rPr>
                    <w:t>万元</w:t>
                  </w:r>
                  <w:r>
                    <w:rPr>
                      <w:szCs w:val="21"/>
                    </w:rPr>
                    <w:t>)</w:t>
                  </w:r>
                </w:p>
              </w:tc>
              <w:tc>
                <w:tcPr>
                  <w:tcW w:w="556" w:type="pct"/>
                  <w:tcBorders>
                    <w:bottom w:val="single" w:color="auto" w:sz="4" w:space="0"/>
                  </w:tcBorders>
                  <w:vAlign w:val="center"/>
                </w:tcPr>
                <w:p w14:paraId="52D51699">
                  <w:pPr>
                    <w:widowControl/>
                    <w:jc w:val="center"/>
                    <w:rPr>
                      <w:rFonts w:hint="default" w:eastAsia="宋体"/>
                      <w:szCs w:val="21"/>
                      <w:lang w:val="en-US" w:eastAsia="zh-CN"/>
                    </w:rPr>
                  </w:pPr>
                  <w:r>
                    <w:rPr>
                      <w:rFonts w:hint="eastAsia"/>
                      <w:szCs w:val="21"/>
                      <w:lang w:val="en-US" w:eastAsia="zh-CN"/>
                    </w:rPr>
                    <w:t>实际投资</w:t>
                  </w:r>
                  <w:r>
                    <w:rPr>
                      <w:szCs w:val="21"/>
                    </w:rPr>
                    <w:t>(</w:t>
                  </w:r>
                  <w:r>
                    <w:rPr>
                      <w:rFonts w:hAnsi="宋体"/>
                      <w:szCs w:val="21"/>
                    </w:rPr>
                    <w:t>万元</w:t>
                  </w:r>
                  <w:r>
                    <w:rPr>
                      <w:szCs w:val="21"/>
                    </w:rPr>
                    <w:t>)</w:t>
                  </w:r>
                </w:p>
              </w:tc>
            </w:tr>
            <w:tr w14:paraId="241CFB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390" w:type="pct"/>
                  <w:vMerge w:val="restart"/>
                  <w:tcBorders>
                    <w:top w:val="single" w:color="auto" w:sz="4" w:space="0"/>
                  </w:tcBorders>
                  <w:vAlign w:val="center"/>
                </w:tcPr>
                <w:p w14:paraId="64A7E45E">
                  <w:pPr>
                    <w:jc w:val="center"/>
                    <w:rPr>
                      <w:szCs w:val="21"/>
                    </w:rPr>
                  </w:pPr>
                  <w:r>
                    <w:rPr>
                      <w:rFonts w:hint="eastAsia" w:hAnsi="宋体"/>
                      <w:szCs w:val="21"/>
                    </w:rPr>
                    <w:t>施工期</w:t>
                  </w:r>
                </w:p>
              </w:tc>
              <w:tc>
                <w:tcPr>
                  <w:tcW w:w="384" w:type="pct"/>
                  <w:vMerge w:val="restart"/>
                  <w:tcBorders>
                    <w:top w:val="single" w:color="auto" w:sz="4" w:space="0"/>
                  </w:tcBorders>
                  <w:vAlign w:val="center"/>
                </w:tcPr>
                <w:p w14:paraId="0DAB0899">
                  <w:pPr>
                    <w:jc w:val="center"/>
                    <w:rPr>
                      <w:rFonts w:hAnsi="宋体"/>
                      <w:szCs w:val="21"/>
                    </w:rPr>
                  </w:pPr>
                  <w:r>
                    <w:rPr>
                      <w:rFonts w:hint="eastAsia" w:hAnsi="宋体"/>
                      <w:szCs w:val="21"/>
                    </w:rPr>
                    <w:t>废水治理</w:t>
                  </w:r>
                </w:p>
              </w:tc>
              <w:tc>
                <w:tcPr>
                  <w:tcW w:w="613" w:type="pct"/>
                  <w:tcBorders>
                    <w:top w:val="single" w:color="auto" w:sz="4" w:space="0"/>
                    <w:bottom w:val="single" w:color="auto" w:sz="4" w:space="0"/>
                  </w:tcBorders>
                  <w:vAlign w:val="center"/>
                </w:tcPr>
                <w:p w14:paraId="0B8B62D3">
                  <w:pPr>
                    <w:jc w:val="center"/>
                    <w:rPr>
                      <w:rFonts w:hAnsi="宋体"/>
                      <w:szCs w:val="21"/>
                    </w:rPr>
                  </w:pPr>
                  <w:r>
                    <w:rPr>
                      <w:rFonts w:hint="eastAsia" w:hAnsi="宋体"/>
                      <w:szCs w:val="21"/>
                    </w:rPr>
                    <w:t>施工生活污水</w:t>
                  </w:r>
                </w:p>
              </w:tc>
              <w:tc>
                <w:tcPr>
                  <w:tcW w:w="2460" w:type="pct"/>
                  <w:tcBorders>
                    <w:top w:val="single" w:color="auto" w:sz="4" w:space="0"/>
                    <w:bottom w:val="single" w:color="auto" w:sz="4" w:space="0"/>
                  </w:tcBorders>
                  <w:vAlign w:val="center"/>
                </w:tcPr>
                <w:p w14:paraId="57FF123D">
                  <w:pPr>
                    <w:jc w:val="center"/>
                    <w:rPr>
                      <w:szCs w:val="21"/>
                    </w:rPr>
                  </w:pPr>
                  <w:r>
                    <w:rPr>
                      <w:rFonts w:hint="eastAsia"/>
                      <w:szCs w:val="21"/>
                    </w:rPr>
                    <w:t>利用当地已有环卫设施进行收集处理</w:t>
                  </w:r>
                </w:p>
              </w:tc>
              <w:tc>
                <w:tcPr>
                  <w:tcW w:w="594" w:type="pct"/>
                  <w:tcBorders>
                    <w:top w:val="single" w:color="auto" w:sz="4" w:space="0"/>
                    <w:bottom w:val="single" w:color="auto" w:sz="4" w:space="0"/>
                  </w:tcBorders>
                  <w:vAlign w:val="center"/>
                </w:tcPr>
                <w:p w14:paraId="60129FCC">
                  <w:pPr>
                    <w:jc w:val="center"/>
                    <w:rPr>
                      <w:szCs w:val="21"/>
                    </w:rPr>
                  </w:pPr>
                  <w:r>
                    <w:rPr>
                      <w:rFonts w:hint="eastAsia"/>
                      <w:szCs w:val="21"/>
                    </w:rPr>
                    <w:t>--</w:t>
                  </w:r>
                </w:p>
              </w:tc>
              <w:tc>
                <w:tcPr>
                  <w:tcW w:w="556" w:type="pct"/>
                  <w:tcBorders>
                    <w:top w:val="single" w:color="auto" w:sz="4" w:space="0"/>
                    <w:bottom w:val="single" w:color="auto" w:sz="4" w:space="0"/>
                  </w:tcBorders>
                  <w:vAlign w:val="center"/>
                </w:tcPr>
                <w:p w14:paraId="73C519ED">
                  <w:pPr>
                    <w:jc w:val="center"/>
                    <w:rPr>
                      <w:rFonts w:hint="default" w:eastAsia="宋体"/>
                      <w:szCs w:val="21"/>
                      <w:lang w:val="en-US" w:eastAsia="zh-CN"/>
                    </w:rPr>
                  </w:pPr>
                  <w:r>
                    <w:rPr>
                      <w:rFonts w:hint="eastAsia"/>
                      <w:szCs w:val="21"/>
                      <w:lang w:val="en-US" w:eastAsia="zh-CN"/>
                    </w:rPr>
                    <w:t>--</w:t>
                  </w:r>
                </w:p>
              </w:tc>
            </w:tr>
            <w:tr w14:paraId="78AF93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390" w:type="pct"/>
                  <w:vMerge w:val="continue"/>
                  <w:tcBorders>
                    <w:top w:val="single" w:color="auto" w:sz="4" w:space="0"/>
                  </w:tcBorders>
                  <w:vAlign w:val="center"/>
                </w:tcPr>
                <w:p w14:paraId="3D26C349">
                  <w:pPr>
                    <w:jc w:val="center"/>
                    <w:rPr>
                      <w:rFonts w:hAnsi="宋体"/>
                      <w:szCs w:val="21"/>
                    </w:rPr>
                  </w:pPr>
                </w:p>
              </w:tc>
              <w:tc>
                <w:tcPr>
                  <w:tcW w:w="384" w:type="pct"/>
                  <w:vMerge w:val="continue"/>
                  <w:vAlign w:val="center"/>
                </w:tcPr>
                <w:p w14:paraId="2144B4B7">
                  <w:pPr>
                    <w:jc w:val="center"/>
                    <w:rPr>
                      <w:rFonts w:hAnsi="宋体"/>
                      <w:szCs w:val="21"/>
                    </w:rPr>
                  </w:pPr>
                </w:p>
              </w:tc>
              <w:tc>
                <w:tcPr>
                  <w:tcW w:w="613" w:type="pct"/>
                  <w:tcBorders>
                    <w:top w:val="single" w:color="auto" w:sz="4" w:space="0"/>
                  </w:tcBorders>
                  <w:vAlign w:val="center"/>
                </w:tcPr>
                <w:p w14:paraId="18AC1E20">
                  <w:pPr>
                    <w:jc w:val="center"/>
                    <w:rPr>
                      <w:rFonts w:hAnsi="宋体"/>
                      <w:szCs w:val="21"/>
                    </w:rPr>
                  </w:pPr>
                  <w:r>
                    <w:rPr>
                      <w:rFonts w:hint="eastAsia" w:hAnsi="宋体"/>
                      <w:szCs w:val="21"/>
                    </w:rPr>
                    <w:t>施工生产废水</w:t>
                  </w:r>
                </w:p>
              </w:tc>
              <w:tc>
                <w:tcPr>
                  <w:tcW w:w="2460" w:type="pct"/>
                  <w:tcBorders>
                    <w:top w:val="single" w:color="auto" w:sz="4" w:space="0"/>
                    <w:bottom w:val="single" w:color="auto" w:sz="2" w:space="0"/>
                  </w:tcBorders>
                  <w:vAlign w:val="center"/>
                </w:tcPr>
                <w:p w14:paraId="15A6338E">
                  <w:pPr>
                    <w:jc w:val="center"/>
                    <w:rPr>
                      <w:szCs w:val="21"/>
                    </w:rPr>
                  </w:pPr>
                  <w:r>
                    <w:rPr>
                      <w:rFonts w:hint="eastAsia"/>
                      <w:szCs w:val="21"/>
                    </w:rPr>
                    <w:t>施工机械和车辆冲洗废水经隔油和沉淀池处理后，回用于工地洒水降尘等，不外排</w:t>
                  </w:r>
                </w:p>
              </w:tc>
              <w:tc>
                <w:tcPr>
                  <w:tcW w:w="594" w:type="pct"/>
                  <w:tcBorders>
                    <w:top w:val="single" w:color="auto" w:sz="4" w:space="0"/>
                    <w:bottom w:val="single" w:color="auto" w:sz="2" w:space="0"/>
                  </w:tcBorders>
                  <w:vAlign w:val="center"/>
                </w:tcPr>
                <w:p w14:paraId="697209B3">
                  <w:pPr>
                    <w:jc w:val="center"/>
                    <w:rPr>
                      <w:szCs w:val="21"/>
                    </w:rPr>
                  </w:pPr>
                  <w:r>
                    <w:rPr>
                      <w:rFonts w:hint="eastAsia"/>
                      <w:szCs w:val="21"/>
                    </w:rPr>
                    <w:t>2</w:t>
                  </w:r>
                </w:p>
              </w:tc>
              <w:tc>
                <w:tcPr>
                  <w:tcW w:w="556" w:type="pct"/>
                  <w:tcBorders>
                    <w:top w:val="single" w:color="auto" w:sz="4" w:space="0"/>
                    <w:bottom w:val="single" w:color="auto" w:sz="2" w:space="0"/>
                  </w:tcBorders>
                  <w:vAlign w:val="center"/>
                </w:tcPr>
                <w:p w14:paraId="5F0B32B6">
                  <w:pPr>
                    <w:jc w:val="center"/>
                    <w:rPr>
                      <w:rFonts w:hint="eastAsia" w:eastAsia="宋体"/>
                      <w:szCs w:val="21"/>
                      <w:lang w:val="en-US" w:eastAsia="zh-CN"/>
                    </w:rPr>
                  </w:pPr>
                  <w:r>
                    <w:rPr>
                      <w:rFonts w:hint="eastAsia"/>
                      <w:szCs w:val="21"/>
                      <w:lang w:val="en-US" w:eastAsia="zh-CN"/>
                    </w:rPr>
                    <w:t>3</w:t>
                  </w:r>
                </w:p>
              </w:tc>
            </w:tr>
            <w:tr w14:paraId="4E8C0B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390" w:type="pct"/>
                  <w:vMerge w:val="continue"/>
                  <w:vAlign w:val="center"/>
                </w:tcPr>
                <w:p w14:paraId="74130B3B">
                  <w:pPr>
                    <w:jc w:val="center"/>
                    <w:rPr>
                      <w:rFonts w:hAnsi="宋体"/>
                      <w:szCs w:val="21"/>
                    </w:rPr>
                  </w:pPr>
                </w:p>
              </w:tc>
              <w:tc>
                <w:tcPr>
                  <w:tcW w:w="384" w:type="pct"/>
                  <w:vMerge w:val="restart"/>
                  <w:vAlign w:val="center"/>
                </w:tcPr>
                <w:p w14:paraId="63423176">
                  <w:pPr>
                    <w:jc w:val="center"/>
                    <w:rPr>
                      <w:rFonts w:hAnsi="宋体"/>
                      <w:szCs w:val="21"/>
                    </w:rPr>
                  </w:pPr>
                  <w:r>
                    <w:rPr>
                      <w:rFonts w:hint="eastAsia" w:hAnsi="宋体"/>
                      <w:szCs w:val="21"/>
                    </w:rPr>
                    <w:t>废气治理</w:t>
                  </w:r>
                </w:p>
              </w:tc>
              <w:tc>
                <w:tcPr>
                  <w:tcW w:w="613" w:type="pct"/>
                  <w:tcBorders>
                    <w:bottom w:val="single" w:color="auto" w:sz="4" w:space="0"/>
                  </w:tcBorders>
                  <w:vAlign w:val="center"/>
                </w:tcPr>
                <w:p w14:paraId="1108062C">
                  <w:pPr>
                    <w:jc w:val="center"/>
                    <w:rPr>
                      <w:rFonts w:hAnsi="宋体"/>
                      <w:szCs w:val="21"/>
                    </w:rPr>
                  </w:pPr>
                  <w:r>
                    <w:rPr>
                      <w:rFonts w:hint="eastAsia" w:hAnsi="宋体"/>
                      <w:szCs w:val="21"/>
                    </w:rPr>
                    <w:t>施工</w:t>
                  </w:r>
                  <w:r>
                    <w:rPr>
                      <w:rFonts w:hAnsi="宋体"/>
                      <w:szCs w:val="21"/>
                    </w:rPr>
                    <w:t>扬尘</w:t>
                  </w:r>
                </w:p>
              </w:tc>
              <w:tc>
                <w:tcPr>
                  <w:tcW w:w="2460" w:type="pct"/>
                  <w:tcBorders>
                    <w:bottom w:val="single" w:color="auto" w:sz="4" w:space="0"/>
                  </w:tcBorders>
                  <w:vAlign w:val="center"/>
                </w:tcPr>
                <w:p w14:paraId="0860BED6">
                  <w:pPr>
                    <w:jc w:val="center"/>
                    <w:rPr>
                      <w:rFonts w:hAnsi="宋体"/>
                      <w:bCs/>
                      <w:kern w:val="0"/>
                      <w:szCs w:val="21"/>
                    </w:rPr>
                  </w:pPr>
                  <w:r>
                    <w:rPr>
                      <w:rFonts w:hint="eastAsia" w:hAnsi="宋体"/>
                      <w:bCs/>
                      <w:kern w:val="0"/>
                      <w:szCs w:val="21"/>
                    </w:rPr>
                    <w:t>科学施工、文明施工，定期对地面洒水严格控制扬尘；使用商品混凝土，禁止现场搅拌；施工车辆必须实施限速行驶；全面落实工地周边打围、物料堆放覆盖、土方开挖湿法作业、进出口路面硬化、出入车辆冲洗、渣土车辆密闭运输；合理规划运输通道，避开敏感路段</w:t>
                  </w:r>
                </w:p>
              </w:tc>
              <w:tc>
                <w:tcPr>
                  <w:tcW w:w="594" w:type="pct"/>
                  <w:tcBorders>
                    <w:bottom w:val="single" w:color="auto" w:sz="4" w:space="0"/>
                  </w:tcBorders>
                  <w:vAlign w:val="center"/>
                </w:tcPr>
                <w:p w14:paraId="51033A84">
                  <w:pPr>
                    <w:jc w:val="center"/>
                    <w:rPr>
                      <w:szCs w:val="21"/>
                    </w:rPr>
                  </w:pPr>
                  <w:r>
                    <w:rPr>
                      <w:rFonts w:hint="eastAsia"/>
                      <w:szCs w:val="21"/>
                    </w:rPr>
                    <w:t>10</w:t>
                  </w:r>
                </w:p>
              </w:tc>
              <w:tc>
                <w:tcPr>
                  <w:tcW w:w="556" w:type="pct"/>
                  <w:tcBorders>
                    <w:bottom w:val="single" w:color="auto" w:sz="4" w:space="0"/>
                  </w:tcBorders>
                  <w:vAlign w:val="center"/>
                </w:tcPr>
                <w:p w14:paraId="439F9D88">
                  <w:pPr>
                    <w:jc w:val="center"/>
                    <w:rPr>
                      <w:rFonts w:hint="default" w:eastAsia="宋体"/>
                      <w:szCs w:val="21"/>
                      <w:lang w:val="en-US" w:eastAsia="zh-CN"/>
                    </w:rPr>
                  </w:pPr>
                  <w:r>
                    <w:rPr>
                      <w:rFonts w:hint="eastAsia"/>
                      <w:szCs w:val="21"/>
                      <w:lang w:val="en-US" w:eastAsia="zh-CN"/>
                    </w:rPr>
                    <w:t>12</w:t>
                  </w:r>
                </w:p>
              </w:tc>
            </w:tr>
            <w:tr w14:paraId="4A0305EB">
              <w:tblPrEx>
                <w:tblCellMar>
                  <w:top w:w="0" w:type="dxa"/>
                  <w:left w:w="108" w:type="dxa"/>
                  <w:bottom w:w="0" w:type="dxa"/>
                  <w:right w:w="108" w:type="dxa"/>
                </w:tblCellMar>
              </w:tblPrEx>
              <w:trPr>
                <w:trHeight w:val="120" w:hRule="atLeast"/>
                <w:jc w:val="center"/>
              </w:trPr>
              <w:tc>
                <w:tcPr>
                  <w:tcW w:w="390" w:type="pct"/>
                  <w:vMerge w:val="continue"/>
                  <w:vAlign w:val="center"/>
                </w:tcPr>
                <w:p w14:paraId="17488C7E">
                  <w:pPr>
                    <w:jc w:val="center"/>
                    <w:rPr>
                      <w:rFonts w:hAnsi="宋体"/>
                      <w:szCs w:val="21"/>
                    </w:rPr>
                  </w:pPr>
                </w:p>
              </w:tc>
              <w:tc>
                <w:tcPr>
                  <w:tcW w:w="384" w:type="pct"/>
                  <w:vMerge w:val="continue"/>
                  <w:vAlign w:val="center"/>
                </w:tcPr>
                <w:p w14:paraId="5362F59C">
                  <w:pPr>
                    <w:jc w:val="center"/>
                    <w:rPr>
                      <w:rFonts w:hAnsi="宋体"/>
                      <w:szCs w:val="21"/>
                    </w:rPr>
                  </w:pPr>
                </w:p>
              </w:tc>
              <w:tc>
                <w:tcPr>
                  <w:tcW w:w="613" w:type="pct"/>
                  <w:tcBorders>
                    <w:bottom w:val="single" w:color="auto" w:sz="2" w:space="0"/>
                  </w:tcBorders>
                  <w:vAlign w:val="center"/>
                </w:tcPr>
                <w:p w14:paraId="2C32DAF2">
                  <w:pPr>
                    <w:jc w:val="center"/>
                    <w:rPr>
                      <w:rFonts w:hAnsi="宋体"/>
                      <w:szCs w:val="21"/>
                    </w:rPr>
                  </w:pPr>
                  <w:r>
                    <w:rPr>
                      <w:rFonts w:hint="eastAsia" w:hAnsi="宋体"/>
                      <w:szCs w:val="21"/>
                    </w:rPr>
                    <w:t>施工</w:t>
                  </w:r>
                  <w:r>
                    <w:rPr>
                      <w:rFonts w:hAnsi="宋体"/>
                      <w:szCs w:val="21"/>
                    </w:rPr>
                    <w:t>机械放废气</w:t>
                  </w:r>
                </w:p>
              </w:tc>
              <w:tc>
                <w:tcPr>
                  <w:tcW w:w="2460" w:type="pct"/>
                  <w:vAlign w:val="center"/>
                </w:tcPr>
                <w:p w14:paraId="03D15101">
                  <w:pPr>
                    <w:jc w:val="center"/>
                    <w:rPr>
                      <w:rFonts w:hAnsi="宋体"/>
                      <w:bCs/>
                      <w:kern w:val="0"/>
                      <w:szCs w:val="21"/>
                    </w:rPr>
                  </w:pPr>
                  <w:r>
                    <w:rPr>
                      <w:rFonts w:hint="eastAsia" w:hAnsi="宋体"/>
                      <w:bCs/>
                      <w:kern w:val="0"/>
                      <w:szCs w:val="21"/>
                    </w:rPr>
                    <w:t>选用先进的施工机械，尽量使用电气化设备，少使用燃油设备；加强对机械、车辆的维修保养，合理安排运输时间和运输路线；发电机采用清洁能源</w:t>
                  </w:r>
                </w:p>
              </w:tc>
              <w:tc>
                <w:tcPr>
                  <w:tcW w:w="594" w:type="pct"/>
                  <w:vAlign w:val="center"/>
                </w:tcPr>
                <w:p w14:paraId="6F56DC36">
                  <w:pPr>
                    <w:jc w:val="center"/>
                    <w:rPr>
                      <w:szCs w:val="21"/>
                    </w:rPr>
                  </w:pPr>
                  <w:r>
                    <w:rPr>
                      <w:rFonts w:hint="eastAsia"/>
                      <w:szCs w:val="21"/>
                    </w:rPr>
                    <w:t>--</w:t>
                  </w:r>
                </w:p>
              </w:tc>
              <w:tc>
                <w:tcPr>
                  <w:tcW w:w="556" w:type="pct"/>
                  <w:vAlign w:val="center"/>
                </w:tcPr>
                <w:p w14:paraId="187C1ECC">
                  <w:pPr>
                    <w:jc w:val="center"/>
                    <w:rPr>
                      <w:rFonts w:hint="default" w:eastAsia="宋体"/>
                      <w:szCs w:val="21"/>
                      <w:lang w:val="en-US" w:eastAsia="zh-CN"/>
                    </w:rPr>
                  </w:pPr>
                  <w:r>
                    <w:rPr>
                      <w:rFonts w:hint="eastAsia"/>
                      <w:szCs w:val="21"/>
                      <w:lang w:val="en-US" w:eastAsia="zh-CN"/>
                    </w:rPr>
                    <w:t>--</w:t>
                  </w:r>
                </w:p>
              </w:tc>
            </w:tr>
            <w:tr w14:paraId="5B6901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6" w:hRule="atLeast"/>
                <w:jc w:val="center"/>
              </w:trPr>
              <w:tc>
                <w:tcPr>
                  <w:tcW w:w="390" w:type="pct"/>
                  <w:vMerge w:val="continue"/>
                  <w:vAlign w:val="center"/>
                </w:tcPr>
                <w:p w14:paraId="5430CCA4">
                  <w:pPr>
                    <w:widowControl/>
                    <w:rPr>
                      <w:rFonts w:hAnsi="宋体"/>
                      <w:szCs w:val="21"/>
                    </w:rPr>
                  </w:pPr>
                </w:p>
              </w:tc>
              <w:tc>
                <w:tcPr>
                  <w:tcW w:w="384" w:type="pct"/>
                  <w:vMerge w:val="restart"/>
                  <w:vAlign w:val="center"/>
                </w:tcPr>
                <w:p w14:paraId="08F40DE7">
                  <w:pPr>
                    <w:jc w:val="center"/>
                    <w:rPr>
                      <w:szCs w:val="21"/>
                    </w:rPr>
                  </w:pPr>
                  <w:r>
                    <w:rPr>
                      <w:rFonts w:hint="eastAsia"/>
                      <w:szCs w:val="21"/>
                    </w:rPr>
                    <w:t>噪声</w:t>
                  </w:r>
                </w:p>
              </w:tc>
              <w:tc>
                <w:tcPr>
                  <w:tcW w:w="613" w:type="pct"/>
                  <w:vAlign w:val="center"/>
                </w:tcPr>
                <w:p w14:paraId="29FD9E92">
                  <w:pPr>
                    <w:jc w:val="center"/>
                    <w:rPr>
                      <w:szCs w:val="21"/>
                    </w:rPr>
                  </w:pPr>
                  <w:r>
                    <w:rPr>
                      <w:rFonts w:hint="eastAsia" w:hAnsi="宋体"/>
                      <w:szCs w:val="21"/>
                    </w:rPr>
                    <w:t>施工机械运行噪声</w:t>
                  </w:r>
                </w:p>
              </w:tc>
              <w:tc>
                <w:tcPr>
                  <w:tcW w:w="2460" w:type="pct"/>
                  <w:vAlign w:val="center"/>
                </w:tcPr>
                <w:p w14:paraId="51D63A6D">
                  <w:pPr>
                    <w:jc w:val="center"/>
                    <w:rPr>
                      <w:szCs w:val="21"/>
                    </w:rPr>
                  </w:pPr>
                  <w:r>
                    <w:rPr>
                      <w:rFonts w:hint="eastAsia"/>
                      <w:szCs w:val="21"/>
                    </w:rPr>
                    <w:t>选用低噪声设备、加强机械设备维修保养；合理布置施工场地，敏感点附近施工加设临时隔声围挡；合理安排施工时间、避开敏感时段施工；合理安排工期，把施工时间控制在最短范围内</w:t>
                  </w:r>
                </w:p>
              </w:tc>
              <w:tc>
                <w:tcPr>
                  <w:tcW w:w="594" w:type="pct"/>
                  <w:vAlign w:val="center"/>
                </w:tcPr>
                <w:p w14:paraId="470B80B8">
                  <w:pPr>
                    <w:jc w:val="center"/>
                    <w:rPr>
                      <w:szCs w:val="21"/>
                    </w:rPr>
                  </w:pPr>
                  <w:r>
                    <w:rPr>
                      <w:rFonts w:hint="eastAsia"/>
                      <w:szCs w:val="21"/>
                    </w:rPr>
                    <w:t>10</w:t>
                  </w:r>
                </w:p>
              </w:tc>
              <w:tc>
                <w:tcPr>
                  <w:tcW w:w="556" w:type="pct"/>
                  <w:vAlign w:val="center"/>
                </w:tcPr>
                <w:p w14:paraId="2674DDB8">
                  <w:pPr>
                    <w:jc w:val="center"/>
                    <w:rPr>
                      <w:rFonts w:hint="eastAsia" w:eastAsia="宋体"/>
                      <w:szCs w:val="21"/>
                      <w:lang w:val="en-US" w:eastAsia="zh-CN"/>
                    </w:rPr>
                  </w:pPr>
                  <w:r>
                    <w:rPr>
                      <w:rFonts w:hint="eastAsia"/>
                      <w:szCs w:val="21"/>
                      <w:lang w:val="en-US" w:eastAsia="zh-CN"/>
                    </w:rPr>
                    <w:t>5</w:t>
                  </w:r>
                </w:p>
              </w:tc>
            </w:tr>
            <w:tr w14:paraId="3CED05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 w:hRule="atLeast"/>
                <w:jc w:val="center"/>
              </w:trPr>
              <w:tc>
                <w:tcPr>
                  <w:tcW w:w="390" w:type="pct"/>
                  <w:vMerge w:val="continue"/>
                  <w:vAlign w:val="center"/>
                </w:tcPr>
                <w:p w14:paraId="1E4523EE">
                  <w:pPr>
                    <w:widowControl/>
                    <w:rPr>
                      <w:rFonts w:hAnsi="宋体"/>
                      <w:szCs w:val="21"/>
                    </w:rPr>
                  </w:pPr>
                </w:p>
              </w:tc>
              <w:tc>
                <w:tcPr>
                  <w:tcW w:w="384" w:type="pct"/>
                  <w:vMerge w:val="continue"/>
                  <w:vAlign w:val="center"/>
                </w:tcPr>
                <w:p w14:paraId="3EEE87C6">
                  <w:pPr>
                    <w:jc w:val="center"/>
                    <w:rPr>
                      <w:szCs w:val="21"/>
                    </w:rPr>
                  </w:pPr>
                </w:p>
              </w:tc>
              <w:tc>
                <w:tcPr>
                  <w:tcW w:w="613" w:type="pct"/>
                  <w:vAlign w:val="center"/>
                </w:tcPr>
                <w:p w14:paraId="251DE902">
                  <w:pPr>
                    <w:jc w:val="center"/>
                    <w:rPr>
                      <w:rFonts w:hAnsi="宋体"/>
                      <w:szCs w:val="21"/>
                    </w:rPr>
                  </w:pPr>
                  <w:r>
                    <w:rPr>
                      <w:rFonts w:hint="eastAsia" w:hAnsi="宋体"/>
                      <w:szCs w:val="21"/>
                    </w:rPr>
                    <w:t>运输车辆交通噪声</w:t>
                  </w:r>
                </w:p>
              </w:tc>
              <w:tc>
                <w:tcPr>
                  <w:tcW w:w="2460" w:type="pct"/>
                  <w:vAlign w:val="center"/>
                </w:tcPr>
                <w:p w14:paraId="39835A44">
                  <w:pPr>
                    <w:jc w:val="center"/>
                    <w:rPr>
                      <w:szCs w:val="21"/>
                    </w:rPr>
                  </w:pPr>
                  <w:r>
                    <w:rPr>
                      <w:rFonts w:hint="eastAsia"/>
                      <w:szCs w:val="21"/>
                    </w:rPr>
                    <w:t>合理安排运输路线和时间，尽量避开敏感路段和敏感时间；场地内减速慢行、禁止鸣笛。</w:t>
                  </w:r>
                </w:p>
              </w:tc>
              <w:tc>
                <w:tcPr>
                  <w:tcW w:w="594" w:type="pct"/>
                  <w:vAlign w:val="center"/>
                </w:tcPr>
                <w:p w14:paraId="7BAC6A9B">
                  <w:pPr>
                    <w:jc w:val="center"/>
                    <w:rPr>
                      <w:szCs w:val="21"/>
                    </w:rPr>
                  </w:pPr>
                  <w:r>
                    <w:rPr>
                      <w:rFonts w:hint="eastAsia"/>
                      <w:szCs w:val="21"/>
                    </w:rPr>
                    <w:t>--</w:t>
                  </w:r>
                </w:p>
              </w:tc>
              <w:tc>
                <w:tcPr>
                  <w:tcW w:w="556" w:type="pct"/>
                  <w:vAlign w:val="center"/>
                </w:tcPr>
                <w:p w14:paraId="0A2DBF71">
                  <w:pPr>
                    <w:jc w:val="center"/>
                    <w:rPr>
                      <w:rFonts w:hint="default" w:eastAsia="宋体"/>
                      <w:szCs w:val="21"/>
                      <w:lang w:val="en-US" w:eastAsia="zh-CN"/>
                    </w:rPr>
                  </w:pPr>
                  <w:r>
                    <w:rPr>
                      <w:rFonts w:hint="eastAsia"/>
                      <w:szCs w:val="21"/>
                      <w:lang w:val="en-US" w:eastAsia="zh-CN"/>
                    </w:rPr>
                    <w:t>--</w:t>
                  </w:r>
                </w:p>
              </w:tc>
            </w:tr>
            <w:tr w14:paraId="7B1C8B99">
              <w:tblPrEx>
                <w:tblCellMar>
                  <w:top w:w="0" w:type="dxa"/>
                  <w:left w:w="108" w:type="dxa"/>
                  <w:bottom w:w="0" w:type="dxa"/>
                  <w:right w:w="108" w:type="dxa"/>
                </w:tblCellMar>
              </w:tblPrEx>
              <w:trPr>
                <w:trHeight w:val="420" w:hRule="atLeast"/>
                <w:jc w:val="center"/>
              </w:trPr>
              <w:tc>
                <w:tcPr>
                  <w:tcW w:w="390" w:type="pct"/>
                  <w:vMerge w:val="continue"/>
                  <w:vAlign w:val="center"/>
                </w:tcPr>
                <w:p w14:paraId="1C8D8435">
                  <w:pPr>
                    <w:widowControl/>
                    <w:jc w:val="center"/>
                    <w:rPr>
                      <w:rFonts w:hAnsi="宋体"/>
                      <w:szCs w:val="21"/>
                    </w:rPr>
                  </w:pPr>
                </w:p>
              </w:tc>
              <w:tc>
                <w:tcPr>
                  <w:tcW w:w="384" w:type="pct"/>
                  <w:vMerge w:val="restart"/>
                  <w:vAlign w:val="center"/>
                </w:tcPr>
                <w:p w14:paraId="76FB902D">
                  <w:pPr>
                    <w:widowControl/>
                    <w:jc w:val="center"/>
                    <w:rPr>
                      <w:szCs w:val="21"/>
                    </w:rPr>
                  </w:pPr>
                  <w:r>
                    <w:rPr>
                      <w:rFonts w:hint="eastAsia"/>
                      <w:szCs w:val="21"/>
                    </w:rPr>
                    <w:t>固废废弃物处置</w:t>
                  </w:r>
                </w:p>
              </w:tc>
              <w:tc>
                <w:tcPr>
                  <w:tcW w:w="613" w:type="pct"/>
                  <w:tcBorders>
                    <w:bottom w:val="single" w:color="auto" w:sz="2" w:space="0"/>
                  </w:tcBorders>
                  <w:vAlign w:val="center"/>
                </w:tcPr>
                <w:p w14:paraId="78143FB7">
                  <w:pPr>
                    <w:jc w:val="center"/>
                    <w:rPr>
                      <w:rFonts w:hAnsi="宋体"/>
                      <w:szCs w:val="21"/>
                    </w:rPr>
                  </w:pPr>
                  <w:r>
                    <w:rPr>
                      <w:rFonts w:hint="eastAsia" w:hAnsi="宋体"/>
                      <w:szCs w:val="21"/>
                    </w:rPr>
                    <w:t>土石方</w:t>
                  </w:r>
                </w:p>
              </w:tc>
              <w:tc>
                <w:tcPr>
                  <w:tcW w:w="2460" w:type="pct"/>
                  <w:tcBorders>
                    <w:bottom w:val="single" w:color="auto" w:sz="2" w:space="0"/>
                  </w:tcBorders>
                  <w:vAlign w:val="center"/>
                </w:tcPr>
                <w:p w14:paraId="4EDE80DA">
                  <w:pPr>
                    <w:jc w:val="center"/>
                    <w:rPr>
                      <w:szCs w:val="21"/>
                    </w:rPr>
                  </w:pPr>
                  <w:r>
                    <w:rPr>
                      <w:rFonts w:hint="eastAsia"/>
                      <w:szCs w:val="21"/>
                    </w:rPr>
                    <w:t>开挖土方用于工程回填、绿化回填</w:t>
                  </w:r>
                </w:p>
              </w:tc>
              <w:tc>
                <w:tcPr>
                  <w:tcW w:w="594" w:type="pct"/>
                  <w:vMerge w:val="restart"/>
                  <w:vAlign w:val="center"/>
                </w:tcPr>
                <w:p w14:paraId="03EF8396">
                  <w:pPr>
                    <w:jc w:val="center"/>
                    <w:rPr>
                      <w:szCs w:val="21"/>
                    </w:rPr>
                  </w:pPr>
                  <w:r>
                    <w:rPr>
                      <w:rFonts w:hint="eastAsia"/>
                      <w:szCs w:val="21"/>
                    </w:rPr>
                    <w:t>1</w:t>
                  </w:r>
                </w:p>
              </w:tc>
              <w:tc>
                <w:tcPr>
                  <w:tcW w:w="556" w:type="pct"/>
                  <w:vMerge w:val="restart"/>
                  <w:vAlign w:val="center"/>
                </w:tcPr>
                <w:p w14:paraId="6919926C">
                  <w:pPr>
                    <w:jc w:val="center"/>
                    <w:rPr>
                      <w:rFonts w:hint="default" w:eastAsia="宋体"/>
                      <w:szCs w:val="21"/>
                      <w:lang w:val="en-US" w:eastAsia="zh-CN"/>
                    </w:rPr>
                  </w:pPr>
                  <w:r>
                    <w:rPr>
                      <w:rFonts w:hint="eastAsia"/>
                      <w:szCs w:val="21"/>
                      <w:lang w:val="en-US" w:eastAsia="zh-CN"/>
                    </w:rPr>
                    <w:t>1</w:t>
                  </w:r>
                </w:p>
              </w:tc>
            </w:tr>
            <w:tr w14:paraId="5C832A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390" w:type="pct"/>
                  <w:vMerge w:val="continue"/>
                  <w:vAlign w:val="center"/>
                </w:tcPr>
                <w:p w14:paraId="2B4C30F9">
                  <w:pPr>
                    <w:widowControl/>
                    <w:jc w:val="center"/>
                    <w:rPr>
                      <w:rFonts w:hAnsi="宋体"/>
                      <w:szCs w:val="21"/>
                    </w:rPr>
                  </w:pPr>
                </w:p>
              </w:tc>
              <w:tc>
                <w:tcPr>
                  <w:tcW w:w="384" w:type="pct"/>
                  <w:vMerge w:val="continue"/>
                  <w:vAlign w:val="center"/>
                </w:tcPr>
                <w:p w14:paraId="17685EE7">
                  <w:pPr>
                    <w:widowControl/>
                    <w:jc w:val="center"/>
                    <w:rPr>
                      <w:szCs w:val="21"/>
                    </w:rPr>
                  </w:pPr>
                </w:p>
              </w:tc>
              <w:tc>
                <w:tcPr>
                  <w:tcW w:w="613" w:type="pct"/>
                  <w:vAlign w:val="center"/>
                </w:tcPr>
                <w:p w14:paraId="2DD153FD">
                  <w:pPr>
                    <w:jc w:val="center"/>
                    <w:rPr>
                      <w:rFonts w:hAnsi="宋体"/>
                      <w:szCs w:val="21"/>
                    </w:rPr>
                  </w:pPr>
                  <w:r>
                    <w:rPr>
                      <w:rFonts w:hint="eastAsia" w:hAnsi="宋体"/>
                      <w:szCs w:val="21"/>
                    </w:rPr>
                    <w:t>建筑垃圾</w:t>
                  </w:r>
                </w:p>
              </w:tc>
              <w:tc>
                <w:tcPr>
                  <w:tcW w:w="2460" w:type="pct"/>
                  <w:vAlign w:val="center"/>
                </w:tcPr>
                <w:p w14:paraId="1FCC2796">
                  <w:pPr>
                    <w:jc w:val="center"/>
                    <w:rPr>
                      <w:szCs w:val="21"/>
                    </w:rPr>
                  </w:pPr>
                  <w:r>
                    <w:rPr>
                      <w:rFonts w:hint="eastAsia"/>
                      <w:szCs w:val="21"/>
                    </w:rPr>
                    <w:t>对建筑垃圾进行分类收集，尽可能综合利用，不能回收利用建筑垃圾及时清运</w:t>
                  </w:r>
                </w:p>
              </w:tc>
              <w:tc>
                <w:tcPr>
                  <w:tcW w:w="594" w:type="pct"/>
                  <w:vMerge w:val="continue"/>
                  <w:vAlign w:val="center"/>
                </w:tcPr>
                <w:p w14:paraId="79ECC1EC">
                  <w:pPr>
                    <w:jc w:val="center"/>
                    <w:rPr>
                      <w:szCs w:val="21"/>
                    </w:rPr>
                  </w:pPr>
                </w:p>
              </w:tc>
              <w:tc>
                <w:tcPr>
                  <w:tcW w:w="556" w:type="pct"/>
                  <w:vMerge w:val="continue"/>
                  <w:vAlign w:val="center"/>
                </w:tcPr>
                <w:p w14:paraId="115A8548">
                  <w:pPr>
                    <w:jc w:val="center"/>
                    <w:rPr>
                      <w:szCs w:val="21"/>
                    </w:rPr>
                  </w:pPr>
                </w:p>
              </w:tc>
            </w:tr>
            <w:tr w14:paraId="503EE3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390" w:type="pct"/>
                  <w:vMerge w:val="continue"/>
                  <w:vAlign w:val="center"/>
                </w:tcPr>
                <w:p w14:paraId="245B474A">
                  <w:pPr>
                    <w:widowControl/>
                    <w:jc w:val="center"/>
                    <w:rPr>
                      <w:rFonts w:hAnsi="宋体"/>
                      <w:szCs w:val="21"/>
                    </w:rPr>
                  </w:pPr>
                </w:p>
              </w:tc>
              <w:tc>
                <w:tcPr>
                  <w:tcW w:w="384" w:type="pct"/>
                  <w:vMerge w:val="continue"/>
                  <w:vAlign w:val="center"/>
                </w:tcPr>
                <w:p w14:paraId="6DAA611A">
                  <w:pPr>
                    <w:widowControl/>
                    <w:jc w:val="center"/>
                    <w:rPr>
                      <w:szCs w:val="21"/>
                    </w:rPr>
                  </w:pPr>
                </w:p>
              </w:tc>
              <w:tc>
                <w:tcPr>
                  <w:tcW w:w="613" w:type="pct"/>
                  <w:vAlign w:val="center"/>
                </w:tcPr>
                <w:p w14:paraId="571F9E17">
                  <w:pPr>
                    <w:jc w:val="center"/>
                    <w:rPr>
                      <w:rFonts w:hAnsi="宋体"/>
                      <w:szCs w:val="21"/>
                    </w:rPr>
                  </w:pPr>
                  <w:r>
                    <w:rPr>
                      <w:rFonts w:hint="eastAsia" w:hAnsi="宋体"/>
                      <w:szCs w:val="21"/>
                    </w:rPr>
                    <w:t>生活垃圾</w:t>
                  </w:r>
                </w:p>
              </w:tc>
              <w:tc>
                <w:tcPr>
                  <w:tcW w:w="2460" w:type="pct"/>
                  <w:vAlign w:val="center"/>
                </w:tcPr>
                <w:p w14:paraId="56066579">
                  <w:pPr>
                    <w:jc w:val="center"/>
                    <w:rPr>
                      <w:szCs w:val="21"/>
                    </w:rPr>
                  </w:pPr>
                  <w:r>
                    <w:rPr>
                      <w:rFonts w:hint="eastAsia"/>
                      <w:szCs w:val="21"/>
                    </w:rPr>
                    <w:t>集中收集后交由环卫部门统一清运处置</w:t>
                  </w:r>
                </w:p>
              </w:tc>
              <w:tc>
                <w:tcPr>
                  <w:tcW w:w="594" w:type="pct"/>
                  <w:vMerge w:val="continue"/>
                  <w:vAlign w:val="center"/>
                </w:tcPr>
                <w:p w14:paraId="22B1A891">
                  <w:pPr>
                    <w:jc w:val="center"/>
                    <w:rPr>
                      <w:szCs w:val="21"/>
                    </w:rPr>
                  </w:pPr>
                </w:p>
              </w:tc>
              <w:tc>
                <w:tcPr>
                  <w:tcW w:w="556" w:type="pct"/>
                  <w:vMerge w:val="continue"/>
                  <w:vAlign w:val="center"/>
                </w:tcPr>
                <w:p w14:paraId="6234B235">
                  <w:pPr>
                    <w:jc w:val="center"/>
                    <w:rPr>
                      <w:szCs w:val="21"/>
                    </w:rPr>
                  </w:pPr>
                </w:p>
              </w:tc>
            </w:tr>
            <w:tr w14:paraId="3A769F5D">
              <w:tblPrEx>
                <w:tblCellMar>
                  <w:top w:w="0" w:type="dxa"/>
                  <w:left w:w="108" w:type="dxa"/>
                  <w:bottom w:w="0" w:type="dxa"/>
                  <w:right w:w="108" w:type="dxa"/>
                </w:tblCellMar>
              </w:tblPrEx>
              <w:trPr>
                <w:trHeight w:val="627" w:hRule="atLeast"/>
                <w:jc w:val="center"/>
              </w:trPr>
              <w:tc>
                <w:tcPr>
                  <w:tcW w:w="390" w:type="pct"/>
                  <w:vMerge w:val="continue"/>
                  <w:vAlign w:val="center"/>
                </w:tcPr>
                <w:p w14:paraId="2E1B83E7">
                  <w:pPr>
                    <w:widowControl/>
                    <w:jc w:val="center"/>
                    <w:rPr>
                      <w:szCs w:val="21"/>
                    </w:rPr>
                  </w:pPr>
                </w:p>
              </w:tc>
              <w:tc>
                <w:tcPr>
                  <w:tcW w:w="384" w:type="pct"/>
                  <w:vAlign w:val="center"/>
                </w:tcPr>
                <w:p w14:paraId="3B0D432C">
                  <w:pPr>
                    <w:jc w:val="center"/>
                    <w:rPr>
                      <w:szCs w:val="21"/>
                    </w:rPr>
                  </w:pPr>
                  <w:r>
                    <w:rPr>
                      <w:rFonts w:hint="eastAsia"/>
                      <w:szCs w:val="21"/>
                    </w:rPr>
                    <w:t>生态</w:t>
                  </w:r>
                  <w:r>
                    <w:rPr>
                      <w:szCs w:val="21"/>
                    </w:rPr>
                    <w:t>保护措施</w:t>
                  </w:r>
                </w:p>
              </w:tc>
              <w:tc>
                <w:tcPr>
                  <w:tcW w:w="3074" w:type="pct"/>
                  <w:gridSpan w:val="2"/>
                  <w:tcBorders>
                    <w:bottom w:val="single" w:color="auto" w:sz="2" w:space="0"/>
                  </w:tcBorders>
                  <w:vAlign w:val="center"/>
                </w:tcPr>
                <w:p w14:paraId="62845E2B">
                  <w:pPr>
                    <w:rPr>
                      <w:rFonts w:hAnsi="宋体"/>
                      <w:szCs w:val="21"/>
                    </w:rPr>
                  </w:pPr>
                  <w:r>
                    <w:rPr>
                      <w:rFonts w:hint="eastAsia" w:hAnsi="宋体"/>
                      <w:szCs w:val="21"/>
                    </w:rPr>
                    <w:t>优化工程布局，严格控制施工范围；临时堆料场设置挡护措施；注意表土收集保存工作；采用分层开挖、分层回填措施；合理安排土石方开挖的时期，避开大雨天气，开挖土方及时回填；优化建材和弃渣运输线路和时间；禁止将施工废水、弃渣排入河道；采用分段施工、分段防护方式，加强管理，施工结束后立即进行生态恢复</w:t>
                  </w:r>
                  <w:r>
                    <w:rPr>
                      <w:rFonts w:hint="eastAsia"/>
                      <w:szCs w:val="21"/>
                    </w:rPr>
                    <w:t>。</w:t>
                  </w:r>
                </w:p>
              </w:tc>
              <w:tc>
                <w:tcPr>
                  <w:tcW w:w="594" w:type="pct"/>
                  <w:tcBorders>
                    <w:bottom w:val="single" w:color="auto" w:sz="2" w:space="0"/>
                  </w:tcBorders>
                  <w:vAlign w:val="center"/>
                </w:tcPr>
                <w:p w14:paraId="68618DA7">
                  <w:pPr>
                    <w:jc w:val="center"/>
                    <w:rPr>
                      <w:szCs w:val="21"/>
                    </w:rPr>
                  </w:pPr>
                  <w:r>
                    <w:rPr>
                      <w:rFonts w:hint="eastAsia"/>
                      <w:szCs w:val="21"/>
                    </w:rPr>
                    <w:t>5</w:t>
                  </w:r>
                </w:p>
              </w:tc>
              <w:tc>
                <w:tcPr>
                  <w:tcW w:w="556" w:type="pct"/>
                  <w:tcBorders>
                    <w:bottom w:val="single" w:color="auto" w:sz="2" w:space="0"/>
                  </w:tcBorders>
                  <w:vAlign w:val="center"/>
                </w:tcPr>
                <w:p w14:paraId="5E18A639">
                  <w:pPr>
                    <w:jc w:val="center"/>
                    <w:rPr>
                      <w:rFonts w:hint="default" w:eastAsia="宋体"/>
                      <w:szCs w:val="21"/>
                      <w:lang w:val="en-US" w:eastAsia="zh-CN"/>
                    </w:rPr>
                  </w:pPr>
                  <w:r>
                    <w:rPr>
                      <w:rFonts w:hint="eastAsia"/>
                      <w:szCs w:val="21"/>
                      <w:lang w:val="en-US" w:eastAsia="zh-CN"/>
                    </w:rPr>
                    <w:t>8</w:t>
                  </w:r>
                </w:p>
              </w:tc>
            </w:tr>
            <w:tr w14:paraId="11EC6FE9">
              <w:tblPrEx>
                <w:tblCellMar>
                  <w:top w:w="0" w:type="dxa"/>
                  <w:left w:w="108" w:type="dxa"/>
                  <w:bottom w:w="0" w:type="dxa"/>
                  <w:right w:w="108" w:type="dxa"/>
                </w:tblCellMar>
              </w:tblPrEx>
              <w:trPr>
                <w:trHeight w:val="144" w:hRule="atLeast"/>
                <w:jc w:val="center"/>
              </w:trPr>
              <w:tc>
                <w:tcPr>
                  <w:tcW w:w="390" w:type="pct"/>
                  <w:vMerge w:val="continue"/>
                  <w:vAlign w:val="center"/>
                </w:tcPr>
                <w:p w14:paraId="1E3ABEE5">
                  <w:pPr>
                    <w:widowControl/>
                    <w:jc w:val="center"/>
                    <w:rPr>
                      <w:szCs w:val="21"/>
                    </w:rPr>
                  </w:pPr>
                </w:p>
              </w:tc>
              <w:tc>
                <w:tcPr>
                  <w:tcW w:w="384" w:type="pct"/>
                  <w:vAlign w:val="center"/>
                </w:tcPr>
                <w:p w14:paraId="56960CAD">
                  <w:pPr>
                    <w:jc w:val="center"/>
                    <w:rPr>
                      <w:szCs w:val="21"/>
                    </w:rPr>
                  </w:pPr>
                  <w:r>
                    <w:rPr>
                      <w:rFonts w:hint="eastAsia"/>
                      <w:szCs w:val="21"/>
                    </w:rPr>
                    <w:t>环境管理</w:t>
                  </w:r>
                </w:p>
              </w:tc>
              <w:tc>
                <w:tcPr>
                  <w:tcW w:w="3074" w:type="pct"/>
                  <w:gridSpan w:val="2"/>
                  <w:vAlign w:val="center"/>
                </w:tcPr>
                <w:p w14:paraId="14F4F5AC">
                  <w:pPr>
                    <w:jc w:val="center"/>
                    <w:rPr>
                      <w:szCs w:val="21"/>
                    </w:rPr>
                  </w:pPr>
                  <w:r>
                    <w:rPr>
                      <w:rFonts w:hint="eastAsia"/>
                      <w:szCs w:val="21"/>
                    </w:rPr>
                    <w:t>施工期环境监理，施工期环境监测、施工人员环保宣传教育</w:t>
                  </w:r>
                </w:p>
              </w:tc>
              <w:tc>
                <w:tcPr>
                  <w:tcW w:w="594" w:type="pct"/>
                  <w:vAlign w:val="center"/>
                </w:tcPr>
                <w:p w14:paraId="1D86D65F">
                  <w:pPr>
                    <w:jc w:val="center"/>
                    <w:rPr>
                      <w:szCs w:val="21"/>
                    </w:rPr>
                  </w:pPr>
                  <w:r>
                    <w:rPr>
                      <w:rFonts w:hint="eastAsia"/>
                      <w:szCs w:val="21"/>
                    </w:rPr>
                    <w:t>3</w:t>
                  </w:r>
                </w:p>
              </w:tc>
              <w:tc>
                <w:tcPr>
                  <w:tcW w:w="556" w:type="pct"/>
                  <w:vAlign w:val="center"/>
                </w:tcPr>
                <w:p w14:paraId="0918CD53">
                  <w:pPr>
                    <w:jc w:val="center"/>
                    <w:rPr>
                      <w:rFonts w:hint="eastAsia" w:eastAsia="宋体"/>
                      <w:szCs w:val="21"/>
                      <w:lang w:val="en-US" w:eastAsia="zh-CN"/>
                    </w:rPr>
                  </w:pPr>
                  <w:r>
                    <w:rPr>
                      <w:rFonts w:hint="eastAsia"/>
                      <w:szCs w:val="21"/>
                      <w:lang w:val="en-US" w:eastAsia="zh-CN"/>
                    </w:rPr>
                    <w:t>2</w:t>
                  </w:r>
                </w:p>
              </w:tc>
            </w:tr>
            <w:tr w14:paraId="006F95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48" w:type="pct"/>
                  <w:gridSpan w:val="4"/>
                  <w:vAlign w:val="center"/>
                </w:tcPr>
                <w:p w14:paraId="56A52B90">
                  <w:pPr>
                    <w:snapToGrid w:val="0"/>
                    <w:jc w:val="center"/>
                    <w:rPr>
                      <w:szCs w:val="21"/>
                    </w:rPr>
                  </w:pPr>
                  <w:r>
                    <w:rPr>
                      <w:rFonts w:hint="eastAsia"/>
                      <w:szCs w:val="21"/>
                    </w:rPr>
                    <w:t>合计</w:t>
                  </w:r>
                </w:p>
              </w:tc>
              <w:tc>
                <w:tcPr>
                  <w:tcW w:w="594" w:type="pct"/>
                  <w:vAlign w:val="center"/>
                </w:tcPr>
                <w:p w14:paraId="51255ECE">
                  <w:pPr>
                    <w:jc w:val="center"/>
                    <w:rPr>
                      <w:szCs w:val="21"/>
                    </w:rPr>
                  </w:pPr>
                  <w:r>
                    <w:rPr>
                      <w:rFonts w:hint="eastAsia"/>
                      <w:szCs w:val="21"/>
                    </w:rPr>
                    <w:t>31</w:t>
                  </w:r>
                </w:p>
              </w:tc>
              <w:tc>
                <w:tcPr>
                  <w:tcW w:w="556" w:type="pct"/>
                  <w:vAlign w:val="center"/>
                </w:tcPr>
                <w:p w14:paraId="14A6A432">
                  <w:pPr>
                    <w:jc w:val="center"/>
                    <w:rPr>
                      <w:rFonts w:hint="default" w:eastAsia="宋体"/>
                      <w:szCs w:val="21"/>
                      <w:lang w:val="en-US" w:eastAsia="zh-CN"/>
                    </w:rPr>
                  </w:pPr>
                  <w:r>
                    <w:rPr>
                      <w:rFonts w:hint="eastAsia"/>
                      <w:szCs w:val="21"/>
                      <w:lang w:val="en-US" w:eastAsia="zh-CN"/>
                    </w:rPr>
                    <w:t>31</w:t>
                  </w:r>
                </w:p>
              </w:tc>
            </w:tr>
          </w:tbl>
          <w:p w14:paraId="076CC797">
            <w:pPr>
              <w:spacing w:line="360" w:lineRule="auto"/>
              <w:ind w:firstLine="240"/>
              <w:outlineLvl w:val="0"/>
              <w:rPr>
                <w:bCs/>
                <w:sz w:val="24"/>
                <w:szCs w:val="24"/>
              </w:rPr>
            </w:pPr>
          </w:p>
        </w:tc>
      </w:tr>
      <w:tr w14:paraId="5F596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7" w:hRule="atLeast"/>
          <w:jc w:val="center"/>
        </w:trPr>
        <w:tc>
          <w:tcPr>
            <w:tcW w:w="8720" w:type="dxa"/>
            <w:gridSpan w:val="2"/>
          </w:tcPr>
          <w:p w14:paraId="333EC1B7">
            <w:pPr>
              <w:spacing w:line="360" w:lineRule="auto"/>
              <w:ind w:firstLine="241"/>
              <w:outlineLvl w:val="0"/>
              <w:rPr>
                <w:b/>
                <w:sz w:val="24"/>
                <w:szCs w:val="24"/>
              </w:rPr>
            </w:pPr>
            <w:bookmarkStart w:id="148" w:name="_Toc7011"/>
            <w:bookmarkStart w:id="149" w:name="_Toc165483448"/>
            <w:r>
              <w:rPr>
                <w:b/>
                <w:sz w:val="24"/>
                <w:szCs w:val="24"/>
              </w:rPr>
              <w:t>建设项目变更情况及变更原因</w:t>
            </w:r>
            <w:bookmarkEnd w:id="148"/>
            <w:bookmarkEnd w:id="149"/>
          </w:p>
          <w:p w14:paraId="0BE7F61E">
            <w:pPr>
              <w:topLinePunct/>
              <w:spacing w:line="360" w:lineRule="auto"/>
              <w:ind w:firstLine="480" w:firstLineChars="200"/>
              <w:rPr>
                <w:rFonts w:hint="default"/>
                <w:sz w:val="24"/>
                <w:lang w:val="en-US" w:eastAsia="zh-CN"/>
              </w:rPr>
            </w:pPr>
            <w:r>
              <w:rPr>
                <w:rFonts w:hint="eastAsia"/>
                <w:sz w:val="24"/>
              </w:rPr>
              <w:t>原设计将护岸分为21段</w:t>
            </w:r>
            <w:r>
              <w:rPr>
                <w:rFonts w:hint="eastAsia"/>
                <w:sz w:val="24"/>
                <w:szCs w:val="24"/>
                <w:lang w:eastAsia="zh-CN"/>
              </w:rPr>
              <w:t>（</w:t>
            </w:r>
            <w:r>
              <w:rPr>
                <w:rFonts w:hint="eastAsia" w:ascii="仿宋" w:hAnsi="仿宋" w:eastAsia="仿宋" w:cs="仿宋"/>
                <w:color w:val="auto"/>
                <w:kern w:val="2"/>
                <w:sz w:val="24"/>
                <w:szCs w:val="24"/>
                <w:lang w:val="en-US" w:eastAsia="zh-CN" w:bidi="ar-SA"/>
              </w:rPr>
              <w:t>11963m（转龙镇6236m，竹篙镇5727m）</w:t>
            </w:r>
            <w:r>
              <w:rPr>
                <w:rFonts w:hint="eastAsia"/>
                <w:sz w:val="24"/>
                <w:szCs w:val="24"/>
                <w:lang w:eastAsia="zh-CN"/>
              </w:rPr>
              <w:t>）</w:t>
            </w:r>
            <w:r>
              <w:rPr>
                <w:rFonts w:hint="eastAsia"/>
                <w:sz w:val="24"/>
                <w:szCs w:val="24"/>
              </w:rPr>
              <w:t>，实际施工将护岸分为17段</w:t>
            </w:r>
            <w:r>
              <w:rPr>
                <w:rFonts w:hint="eastAsia"/>
                <w:sz w:val="24"/>
                <w:szCs w:val="24"/>
                <w:lang w:eastAsia="zh-CN"/>
              </w:rPr>
              <w:t>（</w:t>
            </w:r>
            <w:r>
              <w:rPr>
                <w:rFonts w:hint="eastAsia" w:ascii="仿宋" w:hAnsi="仿宋" w:eastAsia="仿宋" w:cs="仿宋"/>
                <w:sz w:val="24"/>
                <w:szCs w:val="24"/>
                <w:lang w:val="en-US" w:eastAsia="zh-CN"/>
              </w:rPr>
              <w:t>12110m（转龙镇6999m，竹篙镇5111m，分为17段）</w:t>
            </w:r>
            <w:r>
              <w:rPr>
                <w:rFonts w:hint="eastAsia"/>
                <w:sz w:val="24"/>
                <w:szCs w:val="24"/>
                <w:lang w:eastAsia="zh-CN"/>
              </w:rPr>
              <w:t>）。</w:t>
            </w:r>
            <w:r>
              <w:rPr>
                <w:rFonts w:hint="eastAsia"/>
                <w:sz w:val="24"/>
                <w:szCs w:val="24"/>
                <w:lang w:val="en-US" w:eastAsia="zh-CN"/>
              </w:rPr>
              <w:t>增加147m。</w:t>
            </w:r>
          </w:p>
          <w:p w14:paraId="2C5F4EA9">
            <w:pPr>
              <w:topLinePunct/>
              <w:spacing w:line="360" w:lineRule="auto"/>
              <w:ind w:firstLine="480" w:firstLineChars="200"/>
            </w:pPr>
            <w:r>
              <w:rPr>
                <w:rFonts w:hint="eastAsia"/>
                <w:sz w:val="24"/>
              </w:rPr>
              <w:t>变化原因：转龙镇原设计12段，施工时将左右岸部分段连接修通，合并（左右岸各合并2段）为10段；竹篙镇原设计为9段，施工时将其中2段（左岸1段、右岸1段）取消，实际实施7段；共计17段。</w:t>
            </w:r>
          </w:p>
        </w:tc>
      </w:tr>
      <w:tr w14:paraId="5DCFA4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720" w:type="dxa"/>
            <w:gridSpan w:val="2"/>
          </w:tcPr>
          <w:p w14:paraId="41948599">
            <w:pPr>
              <w:pStyle w:val="19"/>
              <w:keepNext w:val="0"/>
              <w:keepLines w:val="0"/>
              <w:pageBreakBefore w:val="0"/>
              <w:widowControl w:val="0"/>
              <w:kinsoku/>
              <w:wordWrap/>
              <w:overflowPunct/>
              <w:topLinePunct w:val="0"/>
              <w:autoSpaceDE/>
              <w:autoSpaceDN/>
              <w:bidi w:val="0"/>
              <w:adjustRightInd/>
              <w:snapToGrid/>
              <w:spacing w:after="0"/>
              <w:ind w:left="0" w:leftChars="0"/>
              <w:textAlignment w:val="auto"/>
              <w:rPr>
                <w:rFonts w:hint="eastAsia"/>
                <w:b/>
                <w:bCs/>
              </w:rPr>
            </w:pPr>
            <w:r>
              <w:rPr>
                <w:rFonts w:hint="eastAsia"/>
                <w:b/>
                <w:bCs/>
              </w:rPr>
              <w:t>与项目有关的生态破坏、污染物排放、主要环境问题及环境保护措施</w:t>
            </w:r>
          </w:p>
          <w:p w14:paraId="0CC53433">
            <w:pPr>
              <w:pStyle w:val="19"/>
              <w:keepNext w:val="0"/>
              <w:keepLines w:val="0"/>
              <w:pageBreakBefore w:val="0"/>
              <w:widowControl w:val="0"/>
              <w:numPr>
                <w:ilvl w:val="0"/>
                <w:numId w:val="2"/>
              </w:numPr>
              <w:kinsoku/>
              <w:wordWrap/>
              <w:overflowPunct/>
              <w:topLinePunct w:val="0"/>
              <w:autoSpaceDE/>
              <w:autoSpaceDN/>
              <w:bidi w:val="0"/>
              <w:adjustRightInd/>
              <w:snapToGrid/>
              <w:spacing w:after="0" w:line="360" w:lineRule="auto"/>
              <w:ind w:left="0" w:leftChars="0" w:firstLine="482" w:firstLineChars="200"/>
              <w:textAlignment w:val="auto"/>
              <w:rPr>
                <w:rFonts w:hint="eastAsia" w:ascii="瀹嬩綋" w:hAnsi="瀹嬩綋" w:eastAsia="瀹嬩綋"/>
                <w:b/>
                <w:bCs/>
                <w:sz w:val="24"/>
                <w:szCs w:val="24"/>
              </w:rPr>
            </w:pPr>
            <w:r>
              <w:rPr>
                <w:rFonts w:hint="eastAsia" w:ascii="瀹嬩綋" w:hAnsi="瀹嬩綋" w:eastAsia="瀹嬩綋"/>
                <w:b/>
                <w:bCs/>
                <w:sz w:val="24"/>
                <w:szCs w:val="24"/>
              </w:rPr>
              <w:t>施工期生态破坏及生态保护对策措施</w:t>
            </w:r>
          </w:p>
          <w:p w14:paraId="5B3D353A">
            <w:pPr>
              <w:pStyle w:val="19"/>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auto"/>
              <w:rPr>
                <w:rFonts w:hint="eastAsia" w:ascii="瀹嬩綋" w:hAnsi="瀹嬩綋" w:eastAsia="瀹嬩綋"/>
                <w:sz w:val="24"/>
                <w:szCs w:val="24"/>
                <w:lang w:eastAsia="zh-CN"/>
              </w:rPr>
            </w:pPr>
            <w:r>
              <w:rPr>
                <w:rFonts w:hint="eastAsia" w:ascii="瀹嬩綋" w:hAnsi="瀹嬩綋" w:eastAsia="瀹嬩綋"/>
                <w:sz w:val="24"/>
                <w:szCs w:val="24"/>
              </w:rPr>
              <w:t>根据环境影响报告表及现场调查，采取了以下措施</w:t>
            </w:r>
            <w:r>
              <w:rPr>
                <w:rFonts w:hint="eastAsia" w:ascii="瀹嬩綋" w:hAnsi="瀹嬩綋" w:eastAsia="瀹嬩綋"/>
                <w:sz w:val="24"/>
                <w:szCs w:val="24"/>
                <w:lang w:eastAsia="zh-CN"/>
              </w:rPr>
              <w:t>：</w:t>
            </w:r>
          </w:p>
          <w:p w14:paraId="78D17876">
            <w:pPr>
              <w:pStyle w:val="19"/>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auto"/>
              <w:rPr>
                <w:rFonts w:hint="eastAsia" w:ascii="瀹嬩綋" w:hAnsi="瀹嬩綋" w:eastAsia="瀹嬩綋"/>
                <w:sz w:val="24"/>
                <w:szCs w:val="24"/>
                <w:lang w:eastAsia="zh-CN"/>
              </w:rPr>
            </w:pPr>
            <w:r>
              <w:rPr>
                <w:rFonts w:hint="eastAsia" w:ascii="瀹嬩綋" w:hAnsi="瀹嬩綋" w:eastAsia="瀹嬩綋"/>
                <w:sz w:val="24"/>
                <w:szCs w:val="24"/>
                <w:lang w:eastAsia="zh-CN"/>
              </w:rPr>
              <w:t>施工单位施工过程中严格控制</w:t>
            </w:r>
            <w:r>
              <w:rPr>
                <w:rFonts w:hint="eastAsia" w:ascii="瀹嬩綋" w:hAnsi="瀹嬩綋" w:eastAsia="瀹嬩綋"/>
                <w:sz w:val="24"/>
                <w:szCs w:val="24"/>
                <w:lang w:val="en-US" w:eastAsia="zh-CN"/>
              </w:rPr>
              <w:t>了</w:t>
            </w:r>
            <w:r>
              <w:rPr>
                <w:rFonts w:hint="eastAsia" w:ascii="瀹嬩綋" w:hAnsi="瀹嬩綋" w:eastAsia="瀹嬩綋"/>
                <w:sz w:val="24"/>
                <w:szCs w:val="24"/>
                <w:lang w:eastAsia="zh-CN"/>
              </w:rPr>
              <w:t>施工范围，施工作业范围以外不得占用、碾压土地。工程施工过程中注意表土收集工作，单独保存，施工结束后及时将事先收集的表层土进行场地覆土平整。施工结束后撒播草籽的方式来达到恢复植被的效果。通过对临时占地的植被恢复，土地的利用状况不会发生改变，仍可以保持原有的使用功能。</w:t>
            </w:r>
          </w:p>
          <w:p w14:paraId="40781C91">
            <w:pPr>
              <w:pStyle w:val="19"/>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2" w:firstLineChars="200"/>
              <w:textAlignment w:val="auto"/>
              <w:rPr>
                <w:b/>
                <w:bCs/>
                <w:sz w:val="24"/>
                <w:szCs w:val="21"/>
              </w:rPr>
            </w:pPr>
            <w:r>
              <w:rPr>
                <w:rFonts w:hint="eastAsia" w:ascii="瀹嬩綋" w:hAnsi="瀹嬩綋" w:eastAsia="瀹嬩綋"/>
                <w:b/>
                <w:bCs/>
                <w:sz w:val="24"/>
                <w:szCs w:val="24"/>
                <w:lang w:eastAsia="zh-CN"/>
              </w:rPr>
              <w:t>（</w:t>
            </w:r>
            <w:r>
              <w:rPr>
                <w:rFonts w:hint="eastAsia" w:ascii="瀹嬩綋" w:hAnsi="瀹嬩綋" w:eastAsia="瀹嬩綋"/>
                <w:b/>
                <w:bCs/>
                <w:sz w:val="24"/>
                <w:szCs w:val="24"/>
                <w:lang w:val="en-US" w:eastAsia="zh-CN"/>
              </w:rPr>
              <w:t>1</w:t>
            </w:r>
            <w:r>
              <w:rPr>
                <w:rFonts w:hint="eastAsia" w:ascii="瀹嬩綋" w:hAnsi="瀹嬩綋" w:eastAsia="瀹嬩綋"/>
                <w:b/>
                <w:bCs/>
                <w:sz w:val="24"/>
                <w:szCs w:val="24"/>
                <w:lang w:eastAsia="zh-CN"/>
              </w:rPr>
              <w:t>）</w:t>
            </w:r>
            <w:r>
              <w:rPr>
                <w:rFonts w:hint="eastAsia"/>
                <w:b/>
                <w:bCs/>
                <w:sz w:val="24"/>
                <w:szCs w:val="21"/>
              </w:rPr>
              <w:t>陆生生态保护措施</w:t>
            </w:r>
          </w:p>
          <w:p w14:paraId="2566E1A0">
            <w:pPr>
              <w:adjustRightInd w:val="0"/>
              <w:spacing w:line="360" w:lineRule="auto"/>
              <w:ind w:firstLine="480" w:firstLineChars="200"/>
              <w:contextualSpacing/>
              <w:rPr>
                <w:bCs/>
                <w:sz w:val="24"/>
                <w:szCs w:val="21"/>
              </w:rPr>
            </w:pPr>
            <w:r>
              <w:rPr>
                <w:rFonts w:hint="eastAsia"/>
                <w:bCs/>
                <w:sz w:val="24"/>
                <w:szCs w:val="21"/>
              </w:rPr>
              <w:t>①施工前及施工期间加强</w:t>
            </w:r>
            <w:r>
              <w:rPr>
                <w:rFonts w:hint="eastAsia"/>
                <w:bCs/>
                <w:sz w:val="24"/>
                <w:szCs w:val="21"/>
                <w:lang w:val="en-US" w:eastAsia="zh-CN"/>
              </w:rPr>
              <w:t>了</w:t>
            </w:r>
            <w:r>
              <w:rPr>
                <w:rFonts w:hint="eastAsia"/>
                <w:bCs/>
                <w:sz w:val="24"/>
                <w:szCs w:val="21"/>
              </w:rPr>
              <w:t>对施工人员进行环保宣传教育，避免随意扩大施工范围，随意乱采乱伐，破坏植被，损坏农作物等。</w:t>
            </w:r>
          </w:p>
          <w:p w14:paraId="69F9CF04">
            <w:pPr>
              <w:adjustRightInd w:val="0"/>
              <w:spacing w:line="360" w:lineRule="auto"/>
              <w:ind w:firstLine="480" w:firstLineChars="200"/>
              <w:contextualSpacing/>
              <w:rPr>
                <w:bCs/>
                <w:sz w:val="24"/>
                <w:szCs w:val="21"/>
              </w:rPr>
            </w:pPr>
            <w:r>
              <w:rPr>
                <w:rFonts w:hint="eastAsia"/>
                <w:bCs/>
                <w:sz w:val="24"/>
                <w:szCs w:val="21"/>
              </w:rPr>
              <w:t>②工程临时仓库、办公生或设施租用民房，不单独设弃渣场，临时占地面积少。</w:t>
            </w:r>
          </w:p>
          <w:p w14:paraId="5A12B31F">
            <w:pPr>
              <w:adjustRightInd w:val="0"/>
              <w:spacing w:line="360" w:lineRule="auto"/>
              <w:ind w:firstLine="480" w:firstLineChars="200"/>
              <w:contextualSpacing/>
              <w:rPr>
                <w:bCs/>
                <w:sz w:val="24"/>
                <w:szCs w:val="21"/>
              </w:rPr>
            </w:pPr>
            <w:r>
              <w:rPr>
                <w:rFonts w:hint="eastAsia"/>
                <w:bCs/>
                <w:sz w:val="24"/>
                <w:szCs w:val="21"/>
                <w:lang w:val="en-US" w:eastAsia="zh-CN"/>
              </w:rPr>
              <w:t>③</w:t>
            </w:r>
            <w:r>
              <w:rPr>
                <w:rFonts w:hint="eastAsia"/>
                <w:bCs/>
                <w:sz w:val="24"/>
                <w:szCs w:val="21"/>
              </w:rPr>
              <w:t>工程分段实施，表土开挖采取分层开挖、分层堆放、分层回填的措施，表土单独剥离，开挖表土分段集中堆放在施工区域内，并采取拦挡、覆盖等临时防护措施防止表土流失。施工结束后，用于施工迹地恢复和绿化措施实施，缩短植被恢复时间和增加恢复效果。</w:t>
            </w:r>
          </w:p>
          <w:p w14:paraId="0B755B0D">
            <w:pPr>
              <w:adjustRightInd w:val="0"/>
              <w:spacing w:line="360" w:lineRule="auto"/>
              <w:ind w:firstLine="480" w:firstLineChars="200"/>
              <w:contextualSpacing/>
              <w:rPr>
                <w:bCs/>
                <w:sz w:val="24"/>
                <w:szCs w:val="21"/>
              </w:rPr>
            </w:pPr>
            <w:r>
              <w:rPr>
                <w:rFonts w:hint="eastAsia"/>
                <w:bCs/>
                <w:sz w:val="24"/>
                <w:szCs w:val="21"/>
                <w:lang w:val="en-US" w:eastAsia="zh-CN"/>
              </w:rPr>
              <w:t>④</w:t>
            </w:r>
            <w:r>
              <w:rPr>
                <w:rFonts w:hint="eastAsia"/>
                <w:bCs/>
                <w:sz w:val="24"/>
                <w:szCs w:val="21"/>
              </w:rPr>
              <w:t>及时进行</w:t>
            </w:r>
            <w:r>
              <w:rPr>
                <w:rFonts w:hint="eastAsia"/>
                <w:bCs/>
                <w:sz w:val="24"/>
                <w:szCs w:val="21"/>
                <w:lang w:val="en-US" w:eastAsia="zh-CN"/>
              </w:rPr>
              <w:t>了</w:t>
            </w:r>
            <w:r>
              <w:rPr>
                <w:rFonts w:hint="eastAsia"/>
                <w:bCs/>
                <w:sz w:val="24"/>
                <w:szCs w:val="21"/>
              </w:rPr>
              <w:t>植被恢复，各点位施工结束后及时清理</w:t>
            </w:r>
            <w:r>
              <w:rPr>
                <w:rFonts w:hint="eastAsia"/>
                <w:bCs/>
                <w:sz w:val="24"/>
                <w:szCs w:val="21"/>
                <w:lang w:val="en-US" w:eastAsia="zh-CN"/>
              </w:rPr>
              <w:t>了</w:t>
            </w:r>
            <w:r>
              <w:rPr>
                <w:rFonts w:hint="eastAsia"/>
                <w:bCs/>
                <w:sz w:val="24"/>
                <w:szCs w:val="21"/>
              </w:rPr>
              <w:t>场地，回覆表土，对占用的土地进行</w:t>
            </w:r>
            <w:r>
              <w:rPr>
                <w:rFonts w:hint="eastAsia"/>
                <w:bCs/>
                <w:sz w:val="24"/>
                <w:szCs w:val="21"/>
                <w:lang w:val="en-US" w:eastAsia="zh-CN"/>
              </w:rPr>
              <w:t>了</w:t>
            </w:r>
            <w:r>
              <w:rPr>
                <w:rFonts w:hint="eastAsia"/>
                <w:bCs/>
                <w:sz w:val="24"/>
                <w:szCs w:val="21"/>
              </w:rPr>
              <w:t>生态恢复。</w:t>
            </w:r>
          </w:p>
          <w:p w14:paraId="552AC25D">
            <w:pPr>
              <w:adjustRightInd w:val="0"/>
              <w:spacing w:line="360" w:lineRule="auto"/>
              <w:ind w:firstLine="480" w:firstLineChars="200"/>
              <w:contextualSpacing/>
              <w:rPr>
                <w:bCs/>
                <w:sz w:val="24"/>
                <w:szCs w:val="21"/>
              </w:rPr>
            </w:pPr>
            <w:r>
              <w:rPr>
                <w:rFonts w:hint="eastAsia"/>
                <w:bCs/>
                <w:sz w:val="24"/>
                <w:szCs w:val="21"/>
                <w:lang w:val="en-US" w:eastAsia="zh-CN"/>
              </w:rPr>
              <w:t>⑤</w:t>
            </w:r>
            <w:r>
              <w:rPr>
                <w:rFonts w:hint="eastAsia"/>
                <w:bCs/>
                <w:sz w:val="24"/>
                <w:szCs w:val="21"/>
              </w:rPr>
              <w:t>禁止随意捕捉野生动物。</w:t>
            </w:r>
          </w:p>
          <w:p w14:paraId="3E710C89">
            <w:pPr>
              <w:adjustRightInd w:val="0"/>
              <w:spacing w:line="360" w:lineRule="auto"/>
              <w:ind w:firstLine="482" w:firstLineChars="200"/>
              <w:contextualSpacing/>
              <w:rPr>
                <w:b/>
                <w:bCs/>
                <w:sz w:val="24"/>
                <w:szCs w:val="21"/>
              </w:rPr>
            </w:pPr>
            <w:r>
              <w:rPr>
                <w:rFonts w:hint="eastAsia"/>
                <w:b/>
                <w:bCs/>
                <w:sz w:val="24"/>
                <w:szCs w:val="21"/>
                <w:lang w:eastAsia="zh-CN"/>
              </w:rPr>
              <w:t>（</w:t>
            </w:r>
            <w:r>
              <w:rPr>
                <w:rFonts w:hint="eastAsia"/>
                <w:b/>
                <w:bCs/>
                <w:sz w:val="24"/>
                <w:szCs w:val="21"/>
                <w:lang w:val="en-US" w:eastAsia="zh-CN"/>
              </w:rPr>
              <w:t>2</w:t>
            </w:r>
            <w:r>
              <w:rPr>
                <w:rFonts w:hint="eastAsia"/>
                <w:b/>
                <w:bCs/>
                <w:sz w:val="24"/>
                <w:szCs w:val="21"/>
                <w:lang w:eastAsia="zh-CN"/>
              </w:rPr>
              <w:t>）</w:t>
            </w:r>
            <w:r>
              <w:rPr>
                <w:rFonts w:hint="eastAsia"/>
                <w:b/>
                <w:bCs/>
                <w:sz w:val="24"/>
                <w:szCs w:val="21"/>
              </w:rPr>
              <w:t>水生生态保护措施</w:t>
            </w:r>
          </w:p>
          <w:p w14:paraId="4157B0F4">
            <w:pPr>
              <w:adjustRightInd w:val="0"/>
              <w:spacing w:line="360" w:lineRule="auto"/>
              <w:ind w:firstLine="480" w:firstLineChars="200"/>
              <w:contextualSpacing/>
              <w:rPr>
                <w:bCs/>
                <w:sz w:val="24"/>
                <w:szCs w:val="21"/>
              </w:rPr>
            </w:pPr>
            <w:r>
              <w:rPr>
                <w:rFonts w:hint="eastAsia"/>
                <w:bCs/>
                <w:sz w:val="24"/>
                <w:szCs w:val="21"/>
              </w:rPr>
              <w:t>①</w:t>
            </w:r>
            <w:r>
              <w:rPr>
                <w:rFonts w:hint="eastAsia"/>
                <w:bCs/>
                <w:sz w:val="24"/>
                <w:szCs w:val="21"/>
                <w:lang w:val="en-US" w:eastAsia="zh-CN"/>
              </w:rPr>
              <w:t>工程于</w:t>
            </w:r>
            <w:r>
              <w:rPr>
                <w:rFonts w:hint="eastAsia"/>
                <w:bCs/>
                <w:sz w:val="24"/>
                <w:szCs w:val="21"/>
              </w:rPr>
              <w:t>在枯水期进行。</w:t>
            </w:r>
          </w:p>
          <w:p w14:paraId="2E810B85">
            <w:pPr>
              <w:adjustRightInd w:val="0"/>
              <w:spacing w:line="360" w:lineRule="auto"/>
              <w:ind w:firstLine="480" w:firstLineChars="200"/>
              <w:contextualSpacing/>
              <w:rPr>
                <w:bCs/>
                <w:sz w:val="24"/>
                <w:szCs w:val="21"/>
              </w:rPr>
            </w:pPr>
            <w:r>
              <w:rPr>
                <w:rFonts w:hint="eastAsia"/>
                <w:bCs/>
                <w:sz w:val="24"/>
                <w:szCs w:val="21"/>
              </w:rPr>
              <w:t>②合理控制涉水工程施工范围，减少水体扰动程度和范围。</w:t>
            </w:r>
          </w:p>
          <w:p w14:paraId="3FC15AF4">
            <w:pPr>
              <w:adjustRightInd w:val="0"/>
              <w:spacing w:line="360" w:lineRule="auto"/>
              <w:ind w:firstLine="480" w:firstLineChars="200"/>
              <w:contextualSpacing/>
              <w:rPr>
                <w:bCs/>
                <w:sz w:val="24"/>
                <w:szCs w:val="21"/>
              </w:rPr>
            </w:pPr>
            <w:r>
              <w:rPr>
                <w:rFonts w:hint="eastAsia"/>
                <w:bCs/>
                <w:sz w:val="24"/>
                <w:szCs w:val="21"/>
              </w:rPr>
              <w:t>③加强</w:t>
            </w:r>
            <w:r>
              <w:rPr>
                <w:rFonts w:hint="eastAsia"/>
                <w:bCs/>
                <w:sz w:val="24"/>
                <w:szCs w:val="21"/>
                <w:lang w:val="en-US" w:eastAsia="zh-CN"/>
              </w:rPr>
              <w:t>了</w:t>
            </w:r>
            <w:r>
              <w:rPr>
                <w:rFonts w:hint="eastAsia"/>
                <w:bCs/>
                <w:sz w:val="24"/>
                <w:szCs w:val="21"/>
              </w:rPr>
              <w:t>管理，提高施工人员环保意识，严禁施工人员捕捞鱼类、虾蟹等，尽量减少人为原因造成的不必要的破坏。</w:t>
            </w:r>
          </w:p>
          <w:p w14:paraId="62C561DD">
            <w:pPr>
              <w:adjustRightInd w:val="0"/>
              <w:spacing w:line="360" w:lineRule="auto"/>
              <w:ind w:firstLine="480" w:firstLineChars="200"/>
              <w:contextualSpacing/>
              <w:rPr>
                <w:rFonts w:hint="eastAsia" w:eastAsia="宋体"/>
                <w:bCs/>
                <w:sz w:val="24"/>
                <w:szCs w:val="21"/>
                <w:lang w:eastAsia="zh-CN"/>
              </w:rPr>
            </w:pPr>
            <w:r>
              <w:rPr>
                <w:rFonts w:hint="eastAsia"/>
                <w:bCs/>
                <w:sz w:val="24"/>
                <w:szCs w:val="21"/>
              </w:rPr>
              <w:t>④施工过程中弃渣</w:t>
            </w:r>
            <w:r>
              <w:rPr>
                <w:rFonts w:hint="eastAsia"/>
                <w:bCs/>
                <w:sz w:val="24"/>
                <w:szCs w:val="21"/>
                <w:lang w:val="en-US" w:eastAsia="zh-CN"/>
              </w:rPr>
              <w:t>未</w:t>
            </w:r>
            <w:r>
              <w:rPr>
                <w:rFonts w:hint="eastAsia"/>
                <w:bCs/>
                <w:sz w:val="24"/>
                <w:szCs w:val="21"/>
              </w:rPr>
              <w:t>弃入河道</w:t>
            </w:r>
            <w:r>
              <w:rPr>
                <w:rFonts w:hint="eastAsia"/>
                <w:bCs/>
                <w:sz w:val="24"/>
                <w:szCs w:val="21"/>
                <w:lang w:eastAsia="zh-CN"/>
              </w:rPr>
              <w:t>。</w:t>
            </w:r>
          </w:p>
          <w:p w14:paraId="7D66F38A">
            <w:pPr>
              <w:adjustRightInd w:val="0"/>
              <w:spacing w:line="360" w:lineRule="auto"/>
              <w:ind w:firstLine="480" w:firstLineChars="200"/>
              <w:contextualSpacing/>
              <w:rPr>
                <w:bCs/>
                <w:sz w:val="24"/>
                <w:szCs w:val="21"/>
              </w:rPr>
            </w:pPr>
            <w:r>
              <w:rPr>
                <w:rFonts w:hint="eastAsia"/>
                <w:bCs/>
                <w:sz w:val="24"/>
                <w:szCs w:val="21"/>
              </w:rPr>
              <w:t>⑤临时堆放场尽量远离</w:t>
            </w:r>
            <w:r>
              <w:rPr>
                <w:rFonts w:hint="eastAsia"/>
                <w:bCs/>
                <w:sz w:val="24"/>
                <w:szCs w:val="21"/>
                <w:lang w:val="en-US" w:eastAsia="zh-CN"/>
              </w:rPr>
              <w:t>了</w:t>
            </w:r>
            <w:r>
              <w:rPr>
                <w:rFonts w:hint="eastAsia"/>
                <w:bCs/>
                <w:sz w:val="24"/>
                <w:szCs w:val="21"/>
              </w:rPr>
              <w:t>河道，并采取</w:t>
            </w:r>
            <w:r>
              <w:rPr>
                <w:rFonts w:hint="eastAsia"/>
                <w:bCs/>
                <w:sz w:val="24"/>
                <w:szCs w:val="21"/>
                <w:lang w:val="en-US" w:eastAsia="zh-CN"/>
              </w:rPr>
              <w:t>了</w:t>
            </w:r>
            <w:r>
              <w:rPr>
                <w:rFonts w:hint="eastAsia"/>
                <w:bCs/>
                <w:sz w:val="24"/>
                <w:szCs w:val="21"/>
              </w:rPr>
              <w:t>围挡措施。</w:t>
            </w:r>
          </w:p>
          <w:p w14:paraId="099A0F49">
            <w:pPr>
              <w:adjustRightInd w:val="0"/>
              <w:spacing w:line="360" w:lineRule="auto"/>
              <w:ind w:firstLine="482" w:firstLineChars="200"/>
              <w:contextualSpacing/>
              <w:rPr>
                <w:b/>
                <w:bCs/>
                <w:sz w:val="24"/>
                <w:szCs w:val="21"/>
              </w:rPr>
            </w:pPr>
            <w:r>
              <w:rPr>
                <w:rFonts w:hint="eastAsia"/>
                <w:b/>
                <w:bCs/>
                <w:sz w:val="24"/>
                <w:szCs w:val="21"/>
                <w:lang w:eastAsia="zh-CN"/>
              </w:rPr>
              <w:t>（</w:t>
            </w:r>
            <w:r>
              <w:rPr>
                <w:rFonts w:hint="eastAsia"/>
                <w:b/>
                <w:bCs/>
                <w:sz w:val="24"/>
                <w:szCs w:val="21"/>
                <w:lang w:val="en-US" w:eastAsia="zh-CN"/>
              </w:rPr>
              <w:t>3</w:t>
            </w:r>
            <w:r>
              <w:rPr>
                <w:rFonts w:hint="eastAsia"/>
                <w:b/>
                <w:bCs/>
                <w:sz w:val="24"/>
                <w:szCs w:val="21"/>
                <w:lang w:eastAsia="zh-CN"/>
              </w:rPr>
              <w:t>）</w:t>
            </w:r>
            <w:r>
              <w:rPr>
                <w:rFonts w:hint="eastAsia"/>
                <w:b/>
                <w:bCs/>
                <w:sz w:val="24"/>
                <w:szCs w:val="21"/>
              </w:rPr>
              <w:t>水土流失保护措施</w:t>
            </w:r>
          </w:p>
          <w:p w14:paraId="1900AFD5">
            <w:pPr>
              <w:pStyle w:val="19"/>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auto"/>
              <w:rPr>
                <w:rFonts w:hint="eastAsia"/>
                <w:lang w:eastAsia="zh-CN"/>
              </w:rPr>
            </w:pPr>
            <w:r>
              <w:t>施工前对占地范围内耕地和林地进行表土剥离，施工过程中对裸露边坡进行临时覆盖，并在堤后来水侧修建临时排水沟和临时沉沙凼，施工期间路面采用透水硬化。施工后期对绿化区域进行土地整治，整治完成后进行表土回铺，并进行绿化带、草皮护坡</w:t>
            </w:r>
            <w:r>
              <w:rPr>
                <w:rFonts w:hint="eastAsia"/>
                <w:lang w:eastAsia="zh-CN"/>
              </w:rPr>
              <w:t>；</w:t>
            </w:r>
          </w:p>
          <w:p w14:paraId="7E99F2A3">
            <w:pPr>
              <w:pStyle w:val="19"/>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auto"/>
              <w:rPr>
                <w:rFonts w:hint="eastAsia" w:ascii="瀹嬩綋" w:hAnsi="瀹嬩綋" w:eastAsia="瀹嬩綋"/>
                <w:sz w:val="24"/>
                <w:szCs w:val="24"/>
                <w:lang w:eastAsia="zh-CN"/>
              </w:rPr>
            </w:pPr>
            <w:r>
              <w:t>施工期沿表土堆场区周边修建临时排水沟、临时沉沙凼和临时拦挡，施工过程中对堆放表土进行临时覆盖，施工结束以后进行</w:t>
            </w:r>
            <w:r>
              <w:rPr>
                <w:rFonts w:hint="eastAsia"/>
              </w:rPr>
              <w:t>土地整治</w:t>
            </w:r>
            <w:r>
              <w:rPr>
                <w:rFonts w:hint="eastAsia" w:ascii="瀹嬩綋" w:hAnsi="瀹嬩綋" w:eastAsia="瀹嬩綋"/>
                <w:sz w:val="24"/>
                <w:szCs w:val="24"/>
                <w:lang w:eastAsia="zh-CN"/>
              </w:rPr>
              <w:t>。</w:t>
            </w:r>
          </w:p>
          <w:p w14:paraId="5CA4A622">
            <w:pPr>
              <w:pStyle w:val="19"/>
              <w:keepNext w:val="0"/>
              <w:keepLines w:val="0"/>
              <w:pageBreakBefore w:val="0"/>
              <w:widowControl w:val="0"/>
              <w:numPr>
                <w:ilvl w:val="0"/>
                <w:numId w:val="2"/>
              </w:numPr>
              <w:kinsoku/>
              <w:wordWrap/>
              <w:overflowPunct/>
              <w:topLinePunct w:val="0"/>
              <w:autoSpaceDE/>
              <w:autoSpaceDN/>
              <w:bidi w:val="0"/>
              <w:adjustRightInd/>
              <w:snapToGrid/>
              <w:spacing w:after="0" w:line="360" w:lineRule="auto"/>
              <w:ind w:left="0" w:leftChars="0" w:firstLine="482" w:firstLineChars="200"/>
              <w:textAlignment w:val="auto"/>
              <w:rPr>
                <w:rFonts w:hint="eastAsia" w:ascii="瀹嬩綋" w:hAnsi="瀹嬩綋" w:eastAsia="瀹嬩綋"/>
                <w:b/>
                <w:bCs/>
                <w:sz w:val="24"/>
                <w:szCs w:val="24"/>
              </w:rPr>
            </w:pPr>
            <w:r>
              <w:rPr>
                <w:rFonts w:hint="eastAsia" w:ascii="瀹嬩綋" w:hAnsi="瀹嬩綋" w:eastAsia="瀹嬩綋"/>
                <w:b/>
                <w:bCs/>
                <w:sz w:val="24"/>
                <w:szCs w:val="24"/>
              </w:rPr>
              <w:t>水污染物产生情况及对策措施</w:t>
            </w:r>
          </w:p>
          <w:p w14:paraId="6B8D2859">
            <w:pPr>
              <w:pStyle w:val="19"/>
              <w:keepNext w:val="0"/>
              <w:keepLines w:val="0"/>
              <w:pageBreakBefore w:val="0"/>
              <w:widowControl w:val="0"/>
              <w:numPr>
                <w:ilvl w:val="0"/>
                <w:numId w:val="3"/>
              </w:numPr>
              <w:kinsoku/>
              <w:wordWrap/>
              <w:overflowPunct/>
              <w:topLinePunct w:val="0"/>
              <w:autoSpaceDE/>
              <w:autoSpaceDN/>
              <w:bidi w:val="0"/>
              <w:adjustRightInd/>
              <w:snapToGrid/>
              <w:spacing w:after="0" w:line="360" w:lineRule="auto"/>
              <w:ind w:leftChars="200"/>
              <w:textAlignment w:val="auto"/>
              <w:rPr>
                <w:rFonts w:hint="eastAsia" w:ascii="瀹嬩綋" w:hAnsi="瀹嬩綋" w:eastAsia="瀹嬩綋"/>
                <w:color w:val="auto"/>
                <w:sz w:val="24"/>
                <w:szCs w:val="24"/>
                <w:lang w:val="en-US" w:eastAsia="zh-CN"/>
              </w:rPr>
            </w:pPr>
            <w:r>
              <w:rPr>
                <w:rFonts w:hint="eastAsia" w:ascii="瀹嬩綋" w:hAnsi="瀹嬩綋" w:eastAsia="瀹嬩綋"/>
                <w:color w:val="auto"/>
                <w:sz w:val="24"/>
                <w:szCs w:val="24"/>
                <w:lang w:val="en-US" w:eastAsia="zh-CN"/>
              </w:rPr>
              <w:t>施工期</w:t>
            </w:r>
          </w:p>
          <w:p w14:paraId="1CE4FD41">
            <w:pPr>
              <w:pStyle w:val="19"/>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auto"/>
              <w:rPr>
                <w:rFonts w:hint="eastAsia" w:ascii="瀹嬩綋" w:hAnsi="瀹嬩綋" w:eastAsia="瀹嬩綋"/>
                <w:color w:val="auto"/>
                <w:sz w:val="24"/>
                <w:szCs w:val="24"/>
                <w:lang w:val="en-US" w:eastAsia="zh-CN"/>
              </w:rPr>
            </w:pPr>
            <w:r>
              <w:rPr>
                <w:rFonts w:hint="eastAsia" w:ascii="瀹嬩綋" w:hAnsi="瀹嬩綋" w:eastAsia="瀹嬩綋"/>
                <w:color w:val="auto"/>
                <w:sz w:val="24"/>
                <w:szCs w:val="24"/>
                <w:lang w:val="en-US" w:eastAsia="zh-CN"/>
              </w:rPr>
              <w:t>本项目施工场地设置隔油沉淀池处理施工冲洗废水，处理后的尾水应回用，可以回用于场地洒水降尘和绿化，废水未外排。</w:t>
            </w:r>
          </w:p>
          <w:p w14:paraId="68AE8751">
            <w:pPr>
              <w:pStyle w:val="19"/>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auto"/>
              <w:rPr>
                <w:rFonts w:hint="eastAsia"/>
                <w:color w:val="auto"/>
                <w:sz w:val="24"/>
                <w:szCs w:val="24"/>
                <w:lang w:val="en-US" w:eastAsia="zh-CN"/>
              </w:rPr>
            </w:pPr>
            <w:r>
              <w:rPr>
                <w:rFonts w:hint="default"/>
                <w:color w:val="auto"/>
                <w:sz w:val="24"/>
                <w:szCs w:val="24"/>
              </w:rPr>
              <w:t>施工人员就近租用周边居民的房屋作为施工营地，其产生的生活污水排入所租用民房既有的卫生设施</w:t>
            </w:r>
            <w:r>
              <w:rPr>
                <w:rFonts w:hint="eastAsia"/>
                <w:color w:val="auto"/>
                <w:sz w:val="24"/>
                <w:szCs w:val="24"/>
                <w:lang w:val="en-US" w:eastAsia="zh-CN"/>
              </w:rPr>
              <w:t>。</w:t>
            </w:r>
          </w:p>
          <w:p w14:paraId="766E6999">
            <w:pPr>
              <w:pStyle w:val="19"/>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auto"/>
              <w:rPr>
                <w:rFonts w:hint="eastAsia"/>
                <w:color w:val="auto"/>
                <w:sz w:val="24"/>
                <w:szCs w:val="24"/>
                <w:lang w:val="en-US" w:eastAsia="zh-CN"/>
              </w:rPr>
            </w:pPr>
            <w:r>
              <w:rPr>
                <w:rFonts w:hint="eastAsia"/>
                <w:color w:val="auto"/>
                <w:sz w:val="24"/>
                <w:szCs w:val="24"/>
                <w:lang w:val="en-US" w:eastAsia="zh-CN"/>
              </w:rPr>
              <w:t>（2）营运期</w:t>
            </w:r>
          </w:p>
          <w:p w14:paraId="61B3FAC4">
            <w:pPr>
              <w:pStyle w:val="19"/>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auto"/>
              <w:rPr>
                <w:rFonts w:hint="default" w:ascii="瀹嬩綋" w:hAnsi="瀹嬩綋" w:eastAsia="瀹嬩綋"/>
                <w:color w:val="FF0000"/>
                <w:sz w:val="24"/>
                <w:szCs w:val="24"/>
                <w:lang w:val="en-US"/>
              </w:rPr>
            </w:pPr>
            <w:r>
              <w:rPr>
                <w:rFonts w:hint="eastAsia"/>
                <w:color w:val="auto"/>
                <w:sz w:val="24"/>
                <w:szCs w:val="24"/>
                <w:lang w:val="en-US" w:eastAsia="zh-CN"/>
              </w:rPr>
              <w:t>营运期无废水。</w:t>
            </w:r>
          </w:p>
          <w:p w14:paraId="1E149BF3">
            <w:pPr>
              <w:pStyle w:val="19"/>
              <w:keepNext w:val="0"/>
              <w:keepLines w:val="0"/>
              <w:pageBreakBefore w:val="0"/>
              <w:widowControl w:val="0"/>
              <w:numPr>
                <w:ilvl w:val="0"/>
                <w:numId w:val="2"/>
              </w:numPr>
              <w:kinsoku/>
              <w:wordWrap/>
              <w:overflowPunct/>
              <w:topLinePunct w:val="0"/>
              <w:autoSpaceDE/>
              <w:autoSpaceDN/>
              <w:bidi w:val="0"/>
              <w:adjustRightInd/>
              <w:snapToGrid/>
              <w:spacing w:after="0" w:line="360" w:lineRule="auto"/>
              <w:ind w:left="0" w:leftChars="0" w:firstLine="482" w:firstLineChars="200"/>
              <w:textAlignment w:val="auto"/>
              <w:rPr>
                <w:rFonts w:hint="eastAsia"/>
              </w:rPr>
            </w:pPr>
            <w:r>
              <w:rPr>
                <w:rFonts w:hint="eastAsia" w:ascii="瀹嬩綋" w:hAnsi="瀹嬩綋" w:eastAsia="瀹嬩綋"/>
                <w:b/>
                <w:bCs/>
                <w:sz w:val="24"/>
                <w:szCs w:val="24"/>
              </w:rPr>
              <w:t>大气污染物产生情况及对策措施</w:t>
            </w:r>
          </w:p>
          <w:p w14:paraId="1DF6D97C">
            <w:pPr>
              <w:pStyle w:val="19"/>
              <w:keepNext w:val="0"/>
              <w:keepLines w:val="0"/>
              <w:pageBreakBefore w:val="0"/>
              <w:widowControl w:val="0"/>
              <w:numPr>
                <w:ilvl w:val="0"/>
                <w:numId w:val="4"/>
              </w:numPr>
              <w:kinsoku/>
              <w:wordWrap/>
              <w:overflowPunct/>
              <w:topLinePunct w:val="0"/>
              <w:autoSpaceDE/>
              <w:autoSpaceDN/>
              <w:bidi w:val="0"/>
              <w:adjustRightInd/>
              <w:snapToGrid/>
              <w:spacing w:after="0" w:line="360" w:lineRule="auto"/>
              <w:ind w:leftChars="200"/>
              <w:textAlignment w:val="auto"/>
              <w:rPr>
                <w:rFonts w:hint="eastAsia"/>
              </w:rPr>
            </w:pPr>
            <w:r>
              <w:rPr>
                <w:rFonts w:hint="eastAsia"/>
              </w:rPr>
              <w:t>施工期</w:t>
            </w:r>
          </w:p>
          <w:p w14:paraId="26F710FE">
            <w:pPr>
              <w:pStyle w:val="19"/>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auto"/>
              <w:rPr>
                <w:rFonts w:hint="eastAsia"/>
              </w:rPr>
            </w:pPr>
            <w:r>
              <w:rPr>
                <w:rFonts w:hint="eastAsia"/>
              </w:rPr>
              <w:t>施工期对周围大气环境的影响主要为扬尘、机械废气。经过现场调查，本项目周边200m 范围内主要敏感点较少，较为分散。洒水抑尘、设置围挡；临时堆土场设置防尘纱网、挡墙等、及时清扫运输道路洒落物料，物料运输车辆密闭运输、规范运输车辆、采用成品</w:t>
            </w:r>
            <w:r>
              <w:rPr>
                <w:rFonts w:hint="eastAsia"/>
                <w:lang w:val="en-US" w:eastAsia="zh-CN"/>
              </w:rPr>
              <w:t>混凝土</w:t>
            </w:r>
            <w:r>
              <w:rPr>
                <w:rFonts w:hint="eastAsia"/>
              </w:rPr>
              <w:t>、选用先进的施工机械，减少油耗和燃油废气污染、尽量使用电气化设备，少使用燃油设备、施工阶段做好设备的维修和养护工作等。施工期落实了各项大气环境保护措施，未对工程周边大气环境和敏感点造成明显环境影响，未接到附近居民关于大气环境污染的投诉事件。</w:t>
            </w:r>
          </w:p>
          <w:p w14:paraId="5919EFB0">
            <w:pPr>
              <w:pStyle w:val="19"/>
              <w:keepNext w:val="0"/>
              <w:keepLines w:val="0"/>
              <w:pageBreakBefore w:val="0"/>
              <w:widowControl w:val="0"/>
              <w:numPr>
                <w:ilvl w:val="0"/>
                <w:numId w:val="4"/>
              </w:numPr>
              <w:kinsoku/>
              <w:wordWrap/>
              <w:overflowPunct/>
              <w:topLinePunct w:val="0"/>
              <w:autoSpaceDE/>
              <w:autoSpaceDN/>
              <w:bidi w:val="0"/>
              <w:adjustRightInd/>
              <w:snapToGrid/>
              <w:spacing w:after="0" w:line="360" w:lineRule="auto"/>
              <w:ind w:left="420" w:leftChars="200" w:firstLine="0" w:firstLineChars="0"/>
              <w:textAlignment w:val="auto"/>
              <w:rPr>
                <w:rFonts w:hint="eastAsia"/>
              </w:rPr>
            </w:pPr>
            <w:r>
              <w:rPr>
                <w:rFonts w:hint="eastAsia"/>
              </w:rPr>
              <w:t>营运期</w:t>
            </w:r>
          </w:p>
          <w:p w14:paraId="256CFBC1">
            <w:pPr>
              <w:pStyle w:val="19"/>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auto"/>
              <w:rPr>
                <w:rFonts w:hint="eastAsia"/>
              </w:rPr>
            </w:pPr>
            <w:r>
              <w:rPr>
                <w:rFonts w:hint="eastAsia"/>
              </w:rPr>
              <w:t>本项目运营期</w:t>
            </w:r>
            <w:r>
              <w:rPr>
                <w:rFonts w:hint="eastAsia"/>
                <w:lang w:val="en-US" w:eastAsia="zh-CN"/>
              </w:rPr>
              <w:t>无废气</w:t>
            </w:r>
            <w:r>
              <w:rPr>
                <w:rFonts w:hint="eastAsia"/>
              </w:rPr>
              <w:t>。</w:t>
            </w:r>
          </w:p>
          <w:p w14:paraId="348270E2">
            <w:pPr>
              <w:pStyle w:val="19"/>
              <w:keepNext w:val="0"/>
              <w:keepLines w:val="0"/>
              <w:pageBreakBefore w:val="0"/>
              <w:widowControl w:val="0"/>
              <w:numPr>
                <w:ilvl w:val="0"/>
                <w:numId w:val="2"/>
              </w:numPr>
              <w:kinsoku/>
              <w:wordWrap/>
              <w:overflowPunct/>
              <w:topLinePunct w:val="0"/>
              <w:autoSpaceDE/>
              <w:autoSpaceDN/>
              <w:bidi w:val="0"/>
              <w:adjustRightInd/>
              <w:snapToGrid/>
              <w:spacing w:after="0" w:line="360" w:lineRule="auto"/>
              <w:ind w:left="0" w:leftChars="0" w:firstLine="482" w:firstLineChars="200"/>
              <w:textAlignment w:val="auto"/>
              <w:rPr>
                <w:rFonts w:hint="eastAsia"/>
              </w:rPr>
            </w:pPr>
            <w:r>
              <w:rPr>
                <w:rFonts w:hint="eastAsia" w:ascii="瀹嬩綋" w:hAnsi="瀹嬩綋" w:eastAsia="瀹嬩綋"/>
                <w:b/>
                <w:bCs/>
                <w:sz w:val="24"/>
                <w:szCs w:val="24"/>
              </w:rPr>
              <w:t>声环境影响及对策措施</w:t>
            </w:r>
          </w:p>
          <w:p w14:paraId="249D28D0">
            <w:pPr>
              <w:pStyle w:val="19"/>
              <w:keepNext w:val="0"/>
              <w:keepLines w:val="0"/>
              <w:pageBreakBefore w:val="0"/>
              <w:widowControl w:val="0"/>
              <w:numPr>
                <w:ilvl w:val="0"/>
                <w:numId w:val="5"/>
              </w:numPr>
              <w:kinsoku/>
              <w:wordWrap/>
              <w:overflowPunct/>
              <w:topLinePunct w:val="0"/>
              <w:autoSpaceDE/>
              <w:autoSpaceDN/>
              <w:bidi w:val="0"/>
              <w:adjustRightInd/>
              <w:snapToGrid/>
              <w:spacing w:after="0" w:line="360" w:lineRule="auto"/>
              <w:ind w:leftChars="200"/>
              <w:textAlignment w:val="auto"/>
              <w:rPr>
                <w:rFonts w:hint="eastAsia"/>
              </w:rPr>
            </w:pPr>
            <w:r>
              <w:rPr>
                <w:rFonts w:hint="eastAsia"/>
              </w:rPr>
              <w:t>施工期</w:t>
            </w:r>
          </w:p>
          <w:p w14:paraId="2B48C8E9">
            <w:pPr>
              <w:pStyle w:val="19"/>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auto"/>
              <w:rPr>
                <w:rFonts w:hint="eastAsia"/>
                <w:lang w:eastAsia="zh-CN"/>
              </w:rPr>
            </w:pPr>
            <w:r>
              <w:rPr>
                <w:rFonts w:hint="eastAsia"/>
              </w:rPr>
              <w:t>合理布置施工场地、使用低噪声设备，运输采取合理的运输路线，夜间不施工，合理安排施工作业时间，离敏感点较近的设备及高噪声施工设备设置围挡等，有效减轻了施工噪声对周边环境的影响</w:t>
            </w:r>
            <w:r>
              <w:rPr>
                <w:rFonts w:hint="eastAsia"/>
                <w:lang w:eastAsia="zh-CN"/>
              </w:rPr>
              <w:t>。</w:t>
            </w:r>
          </w:p>
          <w:p w14:paraId="09EA7CE5">
            <w:pPr>
              <w:pStyle w:val="19"/>
              <w:keepNext w:val="0"/>
              <w:keepLines w:val="0"/>
              <w:pageBreakBefore w:val="0"/>
              <w:widowControl w:val="0"/>
              <w:numPr>
                <w:ilvl w:val="0"/>
                <w:numId w:val="5"/>
              </w:numPr>
              <w:kinsoku/>
              <w:wordWrap/>
              <w:overflowPunct/>
              <w:topLinePunct w:val="0"/>
              <w:autoSpaceDE/>
              <w:autoSpaceDN/>
              <w:bidi w:val="0"/>
              <w:adjustRightInd/>
              <w:snapToGrid/>
              <w:spacing w:after="0" w:line="360" w:lineRule="auto"/>
              <w:ind w:left="420" w:leftChars="200" w:firstLine="0" w:firstLineChars="0"/>
              <w:textAlignment w:val="auto"/>
              <w:rPr>
                <w:rFonts w:hint="eastAsia"/>
              </w:rPr>
            </w:pPr>
            <w:r>
              <w:rPr>
                <w:rFonts w:hint="eastAsia"/>
              </w:rPr>
              <w:t>营运期</w:t>
            </w:r>
          </w:p>
          <w:p w14:paraId="5A1F86AE">
            <w:pPr>
              <w:pStyle w:val="19"/>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auto"/>
              <w:rPr>
                <w:rFonts w:hint="eastAsia"/>
              </w:rPr>
            </w:pPr>
            <w:r>
              <w:rPr>
                <w:rFonts w:hint="eastAsia"/>
              </w:rPr>
              <w:t>营运期</w:t>
            </w:r>
            <w:r>
              <w:rPr>
                <w:rFonts w:hint="eastAsia"/>
                <w:lang w:val="en-US" w:eastAsia="zh-CN"/>
              </w:rPr>
              <w:t>无噪声</w:t>
            </w:r>
            <w:r>
              <w:rPr>
                <w:rFonts w:hint="eastAsia"/>
              </w:rPr>
              <w:t>。</w:t>
            </w:r>
          </w:p>
          <w:p w14:paraId="7E23AD19">
            <w:pPr>
              <w:pStyle w:val="19"/>
              <w:keepNext w:val="0"/>
              <w:keepLines w:val="0"/>
              <w:pageBreakBefore w:val="0"/>
              <w:widowControl w:val="0"/>
              <w:numPr>
                <w:ilvl w:val="0"/>
                <w:numId w:val="2"/>
              </w:numPr>
              <w:kinsoku/>
              <w:wordWrap/>
              <w:overflowPunct/>
              <w:topLinePunct w:val="0"/>
              <w:autoSpaceDE/>
              <w:autoSpaceDN/>
              <w:bidi w:val="0"/>
              <w:adjustRightInd/>
              <w:snapToGrid/>
              <w:spacing w:after="0" w:line="360" w:lineRule="auto"/>
              <w:ind w:left="0" w:leftChars="0" w:firstLine="482" w:firstLineChars="200"/>
              <w:textAlignment w:val="auto"/>
              <w:rPr>
                <w:rFonts w:hint="eastAsia"/>
              </w:rPr>
            </w:pPr>
            <w:r>
              <w:rPr>
                <w:rFonts w:hint="eastAsia" w:ascii="瀹嬩綋" w:hAnsi="瀹嬩綋" w:eastAsia="瀹嬩綋"/>
                <w:b/>
                <w:bCs/>
                <w:sz w:val="24"/>
                <w:szCs w:val="24"/>
              </w:rPr>
              <w:t>固体废物产生及处置措施</w:t>
            </w:r>
          </w:p>
          <w:p w14:paraId="5DB7E4DA">
            <w:pPr>
              <w:pStyle w:val="19"/>
              <w:keepNext w:val="0"/>
              <w:keepLines w:val="0"/>
              <w:pageBreakBefore w:val="0"/>
              <w:widowControl w:val="0"/>
              <w:numPr>
                <w:ilvl w:val="0"/>
                <w:numId w:val="6"/>
              </w:numPr>
              <w:kinsoku/>
              <w:wordWrap/>
              <w:overflowPunct/>
              <w:topLinePunct w:val="0"/>
              <w:autoSpaceDE/>
              <w:autoSpaceDN/>
              <w:bidi w:val="0"/>
              <w:adjustRightInd/>
              <w:snapToGrid/>
              <w:spacing w:after="0" w:line="360" w:lineRule="auto"/>
              <w:ind w:leftChars="200"/>
              <w:textAlignment w:val="auto"/>
              <w:rPr>
                <w:rFonts w:hint="eastAsia"/>
              </w:rPr>
            </w:pPr>
            <w:r>
              <w:rPr>
                <w:rFonts w:hint="eastAsia"/>
              </w:rPr>
              <w:t>施工期</w:t>
            </w:r>
          </w:p>
          <w:p w14:paraId="3197BBEF">
            <w:pPr>
              <w:pStyle w:val="19"/>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auto"/>
              <w:rPr>
                <w:rFonts w:hint="eastAsia"/>
              </w:rPr>
            </w:pPr>
            <w:r>
              <w:rPr>
                <w:rFonts w:hint="eastAsia"/>
              </w:rPr>
              <w:t>根据调查，施工期固废主要为项目施工土石堆放、施工建筑垃圾、施工人员生活垃圾。临时土方堆场表面毡布覆盖、周围设置围挡设施和截排水沟，与施工场地周围设置的截排水沟和沉淀池相连接，</w:t>
            </w:r>
            <w:r>
              <w:rPr>
                <w:color w:val="auto"/>
              </w:rPr>
              <w:t>无外借土石方，无多余土石方产生，最终本项目实现土石方综合利用</w:t>
            </w:r>
            <w:r>
              <w:rPr>
                <w:rFonts w:hint="eastAsia"/>
              </w:rPr>
              <w:t>；建筑垃圾分类收集，可回收的回收利用，不能回收利用的及时清运至建设部门指定的渣场；垃圾收集桶收集后由城市环卫部门统一清运。</w:t>
            </w:r>
          </w:p>
          <w:p w14:paraId="1C07AEA2">
            <w:pPr>
              <w:pStyle w:val="19"/>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auto"/>
              <w:rPr>
                <w:rFonts w:hint="eastAsia"/>
              </w:rPr>
            </w:pPr>
            <w:r>
              <w:rPr>
                <w:rFonts w:hint="eastAsia"/>
              </w:rPr>
              <w:t>根据现场调查，项目区施工建筑垃圾、土方、生活垃圾均已按要求进行处理，现场无遗留建筑垃圾、弃方和生活垃圾。</w:t>
            </w:r>
          </w:p>
          <w:p w14:paraId="408E1BA3">
            <w:pPr>
              <w:pStyle w:val="19"/>
              <w:keepNext w:val="0"/>
              <w:keepLines w:val="0"/>
              <w:pageBreakBefore w:val="0"/>
              <w:widowControl w:val="0"/>
              <w:numPr>
                <w:ilvl w:val="0"/>
                <w:numId w:val="6"/>
              </w:numPr>
              <w:kinsoku/>
              <w:wordWrap/>
              <w:overflowPunct/>
              <w:topLinePunct w:val="0"/>
              <w:autoSpaceDE/>
              <w:autoSpaceDN/>
              <w:bidi w:val="0"/>
              <w:adjustRightInd/>
              <w:snapToGrid/>
              <w:spacing w:after="0" w:line="360" w:lineRule="auto"/>
              <w:ind w:left="420" w:leftChars="200" w:firstLine="0" w:firstLineChars="0"/>
              <w:textAlignment w:val="auto"/>
              <w:rPr>
                <w:rFonts w:hint="eastAsia"/>
              </w:rPr>
            </w:pPr>
            <w:r>
              <w:rPr>
                <w:rFonts w:hint="eastAsia"/>
              </w:rPr>
              <w:t>营运期</w:t>
            </w:r>
          </w:p>
          <w:p w14:paraId="01E88878">
            <w:pPr>
              <w:pStyle w:val="19"/>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80" w:firstLineChars="200"/>
              <w:textAlignment w:val="auto"/>
              <w:rPr>
                <w:rFonts w:hint="eastAsia"/>
                <w:lang w:eastAsia="zh-CN"/>
              </w:rPr>
            </w:pPr>
            <w:r>
              <w:rPr>
                <w:rFonts w:hint="eastAsia"/>
                <w:lang w:eastAsia="zh-CN"/>
              </w:rPr>
              <w:t>项目本身无固废产生。</w:t>
            </w:r>
          </w:p>
          <w:p w14:paraId="4FBFE839">
            <w:pPr>
              <w:rPr>
                <w:rFonts w:hint="eastAsia"/>
                <w:lang w:eastAsia="zh-CN"/>
              </w:rPr>
            </w:pPr>
          </w:p>
          <w:p w14:paraId="1388E05D">
            <w:pPr>
              <w:rPr>
                <w:rFonts w:hint="eastAsia"/>
                <w:lang w:eastAsia="zh-CN"/>
              </w:rPr>
            </w:pPr>
          </w:p>
          <w:p w14:paraId="1B7929B5">
            <w:pPr>
              <w:rPr>
                <w:rFonts w:hint="eastAsia"/>
                <w:lang w:eastAsia="zh-CN"/>
              </w:rPr>
            </w:pPr>
          </w:p>
          <w:p w14:paraId="775A29D1">
            <w:pPr>
              <w:rPr>
                <w:rFonts w:hint="eastAsia"/>
                <w:lang w:eastAsia="zh-CN"/>
              </w:rPr>
            </w:pPr>
          </w:p>
          <w:p w14:paraId="50238617">
            <w:pPr>
              <w:rPr>
                <w:rFonts w:hint="eastAsia"/>
                <w:lang w:eastAsia="zh-CN"/>
              </w:rPr>
            </w:pPr>
          </w:p>
          <w:p w14:paraId="199B8196">
            <w:pPr>
              <w:rPr>
                <w:rFonts w:hint="eastAsia"/>
                <w:lang w:eastAsia="zh-CN"/>
              </w:rPr>
            </w:pPr>
          </w:p>
          <w:p w14:paraId="6E0976D0">
            <w:pPr>
              <w:rPr>
                <w:rFonts w:hint="eastAsia"/>
                <w:lang w:eastAsia="zh-CN"/>
              </w:rPr>
            </w:pPr>
          </w:p>
          <w:p w14:paraId="6A228F90">
            <w:pPr>
              <w:rPr>
                <w:rFonts w:hint="eastAsia"/>
                <w:lang w:eastAsia="zh-CN"/>
              </w:rPr>
            </w:pPr>
          </w:p>
          <w:p w14:paraId="79DE14A4">
            <w:pPr>
              <w:rPr>
                <w:rFonts w:hint="eastAsia"/>
                <w:lang w:eastAsia="zh-CN"/>
              </w:rPr>
            </w:pPr>
          </w:p>
          <w:p w14:paraId="5CE1B524">
            <w:pPr>
              <w:rPr>
                <w:rFonts w:hint="eastAsia"/>
                <w:lang w:eastAsia="zh-CN"/>
              </w:rPr>
            </w:pPr>
          </w:p>
          <w:p w14:paraId="2C091D87">
            <w:pPr>
              <w:rPr>
                <w:rFonts w:hint="eastAsia"/>
                <w:lang w:eastAsia="zh-CN"/>
              </w:rPr>
            </w:pPr>
          </w:p>
          <w:p w14:paraId="3EAC7B78">
            <w:pPr>
              <w:rPr>
                <w:rFonts w:hint="eastAsia"/>
                <w:lang w:eastAsia="zh-CN"/>
              </w:rPr>
            </w:pPr>
          </w:p>
          <w:p w14:paraId="277F1528">
            <w:pPr>
              <w:rPr>
                <w:rFonts w:hint="eastAsia"/>
                <w:lang w:eastAsia="zh-CN"/>
              </w:rPr>
            </w:pPr>
          </w:p>
          <w:p w14:paraId="5A3EC638">
            <w:pPr>
              <w:rPr>
                <w:rFonts w:hint="eastAsia"/>
                <w:lang w:eastAsia="zh-CN"/>
              </w:rPr>
            </w:pPr>
          </w:p>
          <w:p w14:paraId="09A4B8CB">
            <w:pPr>
              <w:rPr>
                <w:rFonts w:hint="eastAsia"/>
                <w:lang w:eastAsia="zh-CN"/>
              </w:rPr>
            </w:pPr>
          </w:p>
          <w:p w14:paraId="1CAAAF06">
            <w:pPr>
              <w:rPr>
                <w:rFonts w:hint="eastAsia"/>
                <w:lang w:eastAsia="zh-CN"/>
              </w:rPr>
            </w:pPr>
          </w:p>
          <w:p w14:paraId="74E74B3D">
            <w:pPr>
              <w:rPr>
                <w:rFonts w:hint="eastAsia"/>
                <w:lang w:eastAsia="zh-CN"/>
              </w:rPr>
            </w:pPr>
          </w:p>
          <w:p w14:paraId="6E673B6A">
            <w:pPr>
              <w:rPr>
                <w:rFonts w:hint="eastAsia"/>
                <w:lang w:eastAsia="zh-CN"/>
              </w:rPr>
            </w:pPr>
          </w:p>
          <w:p w14:paraId="27D99859">
            <w:pPr>
              <w:rPr>
                <w:rFonts w:hint="eastAsia"/>
                <w:lang w:eastAsia="zh-CN"/>
              </w:rPr>
            </w:pPr>
          </w:p>
          <w:p w14:paraId="1CD43507">
            <w:pPr>
              <w:rPr>
                <w:rFonts w:hint="eastAsia"/>
                <w:lang w:eastAsia="zh-CN"/>
              </w:rPr>
            </w:pPr>
          </w:p>
          <w:p w14:paraId="009E54FA">
            <w:pPr>
              <w:rPr>
                <w:rFonts w:hint="eastAsia"/>
                <w:lang w:eastAsia="zh-CN"/>
              </w:rPr>
            </w:pPr>
          </w:p>
          <w:p w14:paraId="23697153">
            <w:pPr>
              <w:rPr>
                <w:rFonts w:hint="eastAsia"/>
                <w:lang w:eastAsia="zh-CN"/>
              </w:rPr>
            </w:pPr>
          </w:p>
          <w:p w14:paraId="599B717B">
            <w:pPr>
              <w:rPr>
                <w:rFonts w:hint="eastAsia"/>
                <w:lang w:eastAsia="zh-CN"/>
              </w:rPr>
            </w:pPr>
          </w:p>
          <w:p w14:paraId="36157757">
            <w:pPr>
              <w:rPr>
                <w:rFonts w:hint="eastAsia"/>
                <w:lang w:eastAsia="zh-CN"/>
              </w:rPr>
            </w:pPr>
          </w:p>
          <w:p w14:paraId="34E380F1">
            <w:pPr>
              <w:rPr>
                <w:rFonts w:hint="eastAsia"/>
                <w:lang w:eastAsia="zh-CN"/>
              </w:rPr>
            </w:pPr>
          </w:p>
          <w:p w14:paraId="590974F3">
            <w:pPr>
              <w:rPr>
                <w:rFonts w:hint="eastAsia"/>
                <w:lang w:eastAsia="zh-CN"/>
              </w:rPr>
            </w:pPr>
          </w:p>
          <w:p w14:paraId="642FA01F">
            <w:pPr>
              <w:rPr>
                <w:rFonts w:hint="eastAsia"/>
                <w:lang w:eastAsia="zh-CN"/>
              </w:rPr>
            </w:pPr>
          </w:p>
          <w:p w14:paraId="35E799D0">
            <w:pPr>
              <w:rPr>
                <w:rFonts w:hint="eastAsia"/>
                <w:lang w:eastAsia="zh-CN"/>
              </w:rPr>
            </w:pPr>
          </w:p>
          <w:p w14:paraId="2F0E8BB0">
            <w:pPr>
              <w:rPr>
                <w:rFonts w:hint="eastAsia"/>
                <w:lang w:eastAsia="zh-CN"/>
              </w:rPr>
            </w:pPr>
          </w:p>
          <w:p w14:paraId="1441BAF2">
            <w:pPr>
              <w:rPr>
                <w:rFonts w:hint="eastAsia"/>
                <w:lang w:eastAsia="zh-CN"/>
              </w:rPr>
            </w:pPr>
          </w:p>
          <w:p w14:paraId="6D09E453">
            <w:pPr>
              <w:rPr>
                <w:rFonts w:hint="eastAsia"/>
                <w:lang w:eastAsia="zh-CN"/>
              </w:rPr>
            </w:pPr>
          </w:p>
          <w:p w14:paraId="121D6AD1">
            <w:pPr>
              <w:rPr>
                <w:rFonts w:hint="eastAsia"/>
                <w:lang w:eastAsia="zh-CN"/>
              </w:rPr>
            </w:pPr>
          </w:p>
          <w:p w14:paraId="40283D39">
            <w:pPr>
              <w:rPr>
                <w:rFonts w:hint="eastAsia"/>
                <w:lang w:eastAsia="zh-CN"/>
              </w:rPr>
            </w:pPr>
          </w:p>
          <w:p w14:paraId="56A9D742">
            <w:pPr>
              <w:rPr>
                <w:rFonts w:hint="eastAsia"/>
                <w:lang w:eastAsia="zh-CN"/>
              </w:rPr>
            </w:pPr>
          </w:p>
          <w:p w14:paraId="786581EB">
            <w:pPr>
              <w:rPr>
                <w:rFonts w:hint="eastAsia"/>
                <w:lang w:eastAsia="zh-CN"/>
              </w:rPr>
            </w:pPr>
          </w:p>
          <w:p w14:paraId="7078C432">
            <w:pPr>
              <w:rPr>
                <w:rFonts w:hint="eastAsia"/>
                <w:lang w:eastAsia="zh-CN"/>
              </w:rPr>
            </w:pPr>
          </w:p>
          <w:p w14:paraId="28330056"/>
        </w:tc>
      </w:tr>
    </w:tbl>
    <w:p w14:paraId="05016985">
      <w:pPr>
        <w:spacing w:line="360" w:lineRule="auto"/>
        <w:ind w:firstLine="281"/>
        <w:outlineLvl w:val="0"/>
        <w:rPr>
          <w:b/>
          <w:sz w:val="28"/>
        </w:rPr>
      </w:pPr>
      <w:bookmarkStart w:id="150" w:name="_Toc13600"/>
      <w:r>
        <w:rPr>
          <w:b/>
          <w:sz w:val="28"/>
        </w:rPr>
        <w:t>表五、环境影响评价回顾</w:t>
      </w:r>
      <w:bookmarkEnd w:id="150"/>
    </w:p>
    <w:tbl>
      <w:tblPr>
        <w:tblStyle w:val="33"/>
        <w:tblW w:w="87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0"/>
      </w:tblGrid>
      <w:tr w14:paraId="06D2D6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7" w:hRule="atLeast"/>
          <w:jc w:val="center"/>
        </w:trPr>
        <w:tc>
          <w:tcPr>
            <w:tcW w:w="8720" w:type="dxa"/>
          </w:tcPr>
          <w:p w14:paraId="0B6E380E">
            <w:pPr>
              <w:spacing w:line="360" w:lineRule="auto"/>
              <w:rPr>
                <w:rFonts w:hint="eastAsia"/>
                <w:b/>
                <w:bCs/>
                <w:sz w:val="24"/>
                <w:szCs w:val="24"/>
              </w:rPr>
            </w:pPr>
            <w:r>
              <w:rPr>
                <w:rFonts w:hint="eastAsia"/>
                <w:b/>
                <w:bCs/>
                <w:sz w:val="24"/>
                <w:szCs w:val="24"/>
              </w:rPr>
              <w:t>环境影响评价的主要环境影响预测及结论（生态、声、大气、水、振动、电磁、固体废物等）</w:t>
            </w:r>
          </w:p>
          <w:p w14:paraId="1D7199B0">
            <w:pPr>
              <w:spacing w:line="360" w:lineRule="auto"/>
              <w:rPr>
                <w:b/>
                <w:sz w:val="24"/>
                <w:szCs w:val="24"/>
              </w:rPr>
            </w:pPr>
            <w:r>
              <w:rPr>
                <w:b/>
                <w:sz w:val="24"/>
                <w:szCs w:val="24"/>
              </w:rPr>
              <w:t>一、</w:t>
            </w:r>
            <w:r>
              <w:rPr>
                <w:rFonts w:hint="eastAsia"/>
                <w:b/>
                <w:sz w:val="24"/>
                <w:szCs w:val="24"/>
              </w:rPr>
              <w:t>环境影响评价的主要环境影响预测及结论</w:t>
            </w:r>
          </w:p>
          <w:p w14:paraId="2A21AFE8">
            <w:pPr>
              <w:spacing w:line="360" w:lineRule="auto"/>
              <w:ind w:firstLine="482" w:firstLineChars="200"/>
              <w:rPr>
                <w:rFonts w:hint="default" w:eastAsia="宋体"/>
                <w:b/>
                <w:sz w:val="24"/>
                <w:szCs w:val="24"/>
                <w:lang w:val="en-US" w:eastAsia="zh-CN"/>
              </w:rPr>
            </w:pPr>
            <w:r>
              <w:rPr>
                <w:b/>
                <w:sz w:val="24"/>
                <w:szCs w:val="24"/>
              </w:rPr>
              <w:t>1、</w:t>
            </w:r>
            <w:r>
              <w:rPr>
                <w:rFonts w:hint="eastAsia"/>
                <w:b/>
                <w:sz w:val="24"/>
                <w:szCs w:val="24"/>
                <w:lang w:val="en-US" w:eastAsia="zh-CN"/>
              </w:rPr>
              <w:t>水环境影响评价结论</w:t>
            </w:r>
          </w:p>
          <w:p w14:paraId="20A75567">
            <w:pPr>
              <w:spacing w:line="360" w:lineRule="auto"/>
              <w:ind w:firstLine="482" w:firstLineChars="200"/>
              <w:rPr>
                <w:rFonts w:hint="eastAsia" w:eastAsia="宋体"/>
                <w:sz w:val="24"/>
                <w:szCs w:val="24"/>
                <w:lang w:val="en-US" w:eastAsia="zh-CN"/>
              </w:rPr>
            </w:pPr>
            <w:r>
              <w:rPr>
                <w:rFonts w:hint="eastAsia"/>
                <w:b/>
                <w:bCs/>
                <w:sz w:val="24"/>
                <w:szCs w:val="24"/>
                <w:lang w:val="en-US" w:eastAsia="zh-CN"/>
              </w:rPr>
              <w:t>施工期：</w:t>
            </w:r>
            <w:r>
              <w:rPr>
                <w:rFonts w:hint="default"/>
                <w:color w:val="auto"/>
                <w:sz w:val="24"/>
                <w:szCs w:val="24"/>
              </w:rPr>
              <w:t>施工人员就近租用周边居民的房屋作为施工营地，其产生的生活污水排入所租用民房既有的卫生设施</w:t>
            </w:r>
            <w:r>
              <w:rPr>
                <w:rFonts w:hint="eastAsia"/>
                <w:color w:val="auto"/>
                <w:sz w:val="24"/>
                <w:szCs w:val="24"/>
                <w:lang w:val="en-US" w:eastAsia="zh-CN"/>
              </w:rPr>
              <w:t>收集处理，</w:t>
            </w:r>
            <w:r>
              <w:rPr>
                <w:rFonts w:hint="default"/>
                <w:color w:val="auto"/>
                <w:sz w:val="24"/>
                <w:szCs w:val="24"/>
              </w:rPr>
              <w:t>严禁排入河流</w:t>
            </w:r>
            <w:r>
              <w:rPr>
                <w:rFonts w:hint="eastAsia"/>
                <w:color w:val="auto"/>
                <w:sz w:val="24"/>
                <w:szCs w:val="24"/>
                <w:lang w:eastAsia="zh-CN"/>
              </w:rPr>
              <w:t>。</w:t>
            </w:r>
            <w:r>
              <w:rPr>
                <w:rFonts w:hint="default"/>
                <w:color w:val="auto"/>
                <w:sz w:val="24"/>
                <w:szCs w:val="24"/>
              </w:rPr>
              <w:t>施工废水经</w:t>
            </w:r>
            <w:r>
              <w:rPr>
                <w:rFonts w:hint="eastAsia"/>
                <w:color w:val="auto"/>
                <w:sz w:val="24"/>
                <w:szCs w:val="24"/>
                <w:lang w:val="en-US" w:eastAsia="zh-CN"/>
              </w:rPr>
              <w:t>隔油、</w:t>
            </w:r>
            <w:r>
              <w:rPr>
                <w:rFonts w:hint="default"/>
                <w:color w:val="auto"/>
                <w:sz w:val="24"/>
                <w:szCs w:val="24"/>
              </w:rPr>
              <w:t>沉淀处理后用于场地洒水降尘，严禁外排，对水环境影响较小</w:t>
            </w:r>
            <w:r>
              <w:rPr>
                <w:rFonts w:hint="eastAsia"/>
                <w:color w:val="auto"/>
                <w:sz w:val="24"/>
                <w:szCs w:val="24"/>
                <w:lang w:eastAsia="zh-CN"/>
              </w:rPr>
              <w:t>。</w:t>
            </w:r>
          </w:p>
          <w:p w14:paraId="69662F3F">
            <w:pPr>
              <w:spacing w:line="360" w:lineRule="auto"/>
              <w:ind w:firstLine="482" w:firstLineChars="200"/>
              <w:rPr>
                <w:sz w:val="24"/>
                <w:szCs w:val="24"/>
              </w:rPr>
            </w:pPr>
            <w:r>
              <w:rPr>
                <w:rFonts w:hint="eastAsia"/>
                <w:b/>
                <w:bCs/>
                <w:sz w:val="24"/>
                <w:szCs w:val="24"/>
                <w:lang w:val="en-US" w:eastAsia="zh-CN"/>
              </w:rPr>
              <w:t>运营期：</w:t>
            </w:r>
            <w:r>
              <w:rPr>
                <w:rFonts w:hint="default" w:ascii="Times New Roman" w:hAnsi="Times New Roman" w:cs="Times New Roman"/>
                <w:color w:val="auto"/>
                <w:sz w:val="24"/>
                <w:szCs w:val="24"/>
              </w:rPr>
              <w:t>营运期</w:t>
            </w:r>
            <w:r>
              <w:rPr>
                <w:rFonts w:hint="eastAsia" w:cs="Times New Roman"/>
                <w:color w:val="auto"/>
                <w:sz w:val="24"/>
                <w:szCs w:val="24"/>
                <w:lang w:val="en-US" w:eastAsia="zh-CN"/>
              </w:rPr>
              <w:t>无废水产生</w:t>
            </w:r>
            <w:r>
              <w:rPr>
                <w:rFonts w:hint="eastAsia"/>
                <w:sz w:val="24"/>
                <w:szCs w:val="24"/>
              </w:rPr>
              <w:t>。</w:t>
            </w:r>
          </w:p>
          <w:p w14:paraId="5491DE97">
            <w:pPr>
              <w:spacing w:line="360" w:lineRule="auto"/>
              <w:ind w:firstLine="241"/>
              <w:rPr>
                <w:b/>
                <w:bCs/>
                <w:sz w:val="24"/>
                <w:szCs w:val="24"/>
                <w:lang w:val="zh-CN"/>
              </w:rPr>
            </w:pPr>
            <w:r>
              <w:rPr>
                <w:b/>
                <w:bCs/>
                <w:sz w:val="24"/>
                <w:szCs w:val="24"/>
              </w:rPr>
              <w:t>2</w:t>
            </w:r>
            <w:r>
              <w:rPr>
                <w:b/>
                <w:bCs/>
                <w:sz w:val="24"/>
                <w:szCs w:val="24"/>
                <w:lang w:val="zh-CN"/>
              </w:rPr>
              <w:t>、</w:t>
            </w:r>
            <w:r>
              <w:rPr>
                <w:rFonts w:hint="eastAsia"/>
                <w:b/>
                <w:bCs/>
                <w:sz w:val="24"/>
                <w:szCs w:val="24"/>
                <w:lang w:val="zh-CN"/>
              </w:rPr>
              <w:t>大气环境影响评价结论</w:t>
            </w:r>
          </w:p>
          <w:p w14:paraId="3704C5BB">
            <w:pPr>
              <w:spacing w:line="360" w:lineRule="auto"/>
              <w:ind w:firstLine="482" w:firstLineChars="200"/>
              <w:rPr>
                <w:rFonts w:hint="eastAsia" w:eastAsia="宋体"/>
                <w:sz w:val="24"/>
                <w:szCs w:val="24"/>
                <w:lang w:val="en-US" w:eastAsia="zh-CN"/>
              </w:rPr>
            </w:pPr>
            <w:r>
              <w:rPr>
                <w:rFonts w:hint="eastAsia"/>
                <w:b/>
                <w:bCs/>
                <w:sz w:val="24"/>
                <w:szCs w:val="24"/>
                <w:lang w:val="en-US" w:eastAsia="zh-CN"/>
              </w:rPr>
              <w:t>施工期：</w:t>
            </w:r>
            <w:r>
              <w:rPr>
                <w:rFonts w:hint="eastAsia"/>
                <w:color w:val="auto"/>
                <w:sz w:val="24"/>
                <w:szCs w:val="24"/>
                <w:lang w:val="en-US" w:eastAsia="zh-CN"/>
              </w:rPr>
              <w:t>工程</w:t>
            </w:r>
            <w:r>
              <w:rPr>
                <w:rFonts w:hint="default"/>
                <w:color w:val="auto"/>
                <w:sz w:val="24"/>
                <w:szCs w:val="24"/>
              </w:rPr>
              <w:t>建设过程中主要大气污染物为扬尘、动力机械排放的尾气</w:t>
            </w:r>
            <w:r>
              <w:rPr>
                <w:rFonts w:hint="eastAsia"/>
                <w:color w:val="auto"/>
                <w:sz w:val="24"/>
                <w:szCs w:val="24"/>
                <w:lang w:eastAsia="zh-CN"/>
              </w:rPr>
              <w:t>。</w:t>
            </w:r>
            <w:r>
              <w:rPr>
                <w:rFonts w:hint="eastAsia"/>
                <w:color w:val="auto"/>
                <w:sz w:val="24"/>
                <w:szCs w:val="24"/>
                <w:lang w:val="en-US" w:eastAsia="zh-CN"/>
              </w:rPr>
              <w:t>通过</w:t>
            </w:r>
            <w:r>
              <w:rPr>
                <w:rFonts w:hint="default"/>
                <w:color w:val="auto"/>
                <w:sz w:val="24"/>
                <w:szCs w:val="24"/>
              </w:rPr>
              <w:t>原材料运输交通道路应及时洒水、清扫，对进出项目区的车辆进行车速控制，防止增加路面灰尘</w:t>
            </w:r>
            <w:r>
              <w:rPr>
                <w:rFonts w:hint="eastAsia"/>
                <w:color w:val="auto"/>
                <w:sz w:val="24"/>
                <w:szCs w:val="24"/>
                <w:lang w:eastAsia="zh-CN"/>
              </w:rPr>
              <w:t>；</w:t>
            </w:r>
            <w:r>
              <w:rPr>
                <w:rFonts w:hint="default"/>
                <w:color w:val="auto"/>
                <w:sz w:val="24"/>
                <w:szCs w:val="24"/>
              </w:rPr>
              <w:t>避免大风天气施工，风速四级以上暂停土方开挖及渣土堆放作业</w:t>
            </w:r>
            <w:r>
              <w:rPr>
                <w:rFonts w:hint="eastAsia"/>
                <w:color w:val="auto"/>
                <w:sz w:val="24"/>
                <w:szCs w:val="24"/>
                <w:lang w:eastAsia="zh-CN"/>
              </w:rPr>
              <w:t>；</w:t>
            </w:r>
            <w:r>
              <w:rPr>
                <w:rFonts w:hint="default"/>
                <w:color w:val="auto"/>
                <w:sz w:val="24"/>
                <w:szCs w:val="24"/>
              </w:rPr>
              <w:t>施工现场设置围栏，封闭施工，缩小施工现场扬尘和尾气扩散范围</w:t>
            </w:r>
            <w:r>
              <w:rPr>
                <w:rFonts w:hint="eastAsia"/>
                <w:color w:val="auto"/>
                <w:sz w:val="24"/>
                <w:szCs w:val="24"/>
                <w:lang w:eastAsia="zh-CN"/>
              </w:rPr>
              <w:t>；</w:t>
            </w:r>
            <w:r>
              <w:rPr>
                <w:rFonts w:hint="default"/>
                <w:color w:val="auto"/>
                <w:sz w:val="24"/>
                <w:szCs w:val="24"/>
              </w:rPr>
              <w:t>对施工车辆及时清洗，禁止超载，清运车辆覆盖帆布，防止洒落等</w:t>
            </w:r>
            <w:r>
              <w:rPr>
                <w:rFonts w:hint="eastAsia"/>
                <w:color w:val="auto"/>
                <w:sz w:val="24"/>
                <w:szCs w:val="24"/>
                <w:lang w:eastAsia="zh-CN"/>
              </w:rPr>
              <w:t>；</w:t>
            </w:r>
            <w:r>
              <w:rPr>
                <w:rFonts w:ascii="宋体" w:hAnsi="宋体" w:eastAsia="宋体" w:cs="宋体"/>
                <w:sz w:val="24"/>
                <w:szCs w:val="24"/>
              </w:rPr>
              <w:t>加强设备和车辆的检修和维护，选用优质设备和燃油</w:t>
            </w:r>
            <w:r>
              <w:rPr>
                <w:rFonts w:hint="eastAsia" w:ascii="宋体" w:hAnsi="宋体" w:eastAsia="宋体" w:cs="宋体"/>
                <w:sz w:val="24"/>
                <w:szCs w:val="24"/>
                <w:lang w:eastAsia="zh-CN"/>
              </w:rPr>
              <w:t>。</w:t>
            </w:r>
            <w:r>
              <w:rPr>
                <w:rFonts w:hint="default"/>
                <w:color w:val="auto"/>
                <w:sz w:val="24"/>
                <w:szCs w:val="24"/>
              </w:rPr>
              <w:t>采取上述措施后，可以最大限度减少扬尘对周围环境的污染，且施工期扬尘对环境空气的影响是暂时的，随着施工的结束而消失</w:t>
            </w:r>
            <w:r>
              <w:rPr>
                <w:rFonts w:hint="eastAsia"/>
                <w:color w:val="auto"/>
                <w:sz w:val="24"/>
                <w:szCs w:val="24"/>
                <w:lang w:eastAsia="zh-CN"/>
              </w:rPr>
              <w:t>。</w:t>
            </w:r>
          </w:p>
          <w:p w14:paraId="1394351A">
            <w:pPr>
              <w:spacing w:line="360" w:lineRule="auto"/>
              <w:ind w:firstLine="482" w:firstLineChars="200"/>
              <w:rPr>
                <w:b/>
                <w:bCs/>
                <w:sz w:val="24"/>
                <w:szCs w:val="24"/>
                <w:lang w:val="zh-CN"/>
              </w:rPr>
            </w:pPr>
            <w:r>
              <w:rPr>
                <w:rFonts w:hint="eastAsia"/>
                <w:b/>
                <w:bCs/>
                <w:sz w:val="24"/>
                <w:szCs w:val="24"/>
                <w:lang w:val="en-US" w:eastAsia="zh-CN"/>
              </w:rPr>
              <w:t>运营期：</w:t>
            </w:r>
            <w:r>
              <w:rPr>
                <w:rFonts w:hint="eastAsia"/>
                <w:sz w:val="24"/>
                <w:szCs w:val="24"/>
                <w:lang w:val="en-US" w:eastAsia="zh-CN"/>
              </w:rPr>
              <w:t>本项目营运期无废气产生。</w:t>
            </w:r>
          </w:p>
          <w:p w14:paraId="0E52DBA3">
            <w:pPr>
              <w:spacing w:line="360" w:lineRule="auto"/>
              <w:rPr>
                <w:rFonts w:hint="default" w:eastAsia="宋体"/>
                <w:b/>
                <w:bCs/>
                <w:sz w:val="24"/>
                <w:szCs w:val="24"/>
                <w:lang w:val="en-US" w:eastAsia="zh-CN"/>
              </w:rPr>
            </w:pPr>
            <w:r>
              <w:rPr>
                <w:rFonts w:hint="eastAsia"/>
                <w:b/>
                <w:bCs/>
                <w:sz w:val="24"/>
                <w:szCs w:val="24"/>
                <w:lang w:val="en-US" w:eastAsia="zh-CN"/>
              </w:rPr>
              <w:t>3、声环境影响评价结论</w:t>
            </w:r>
          </w:p>
          <w:p w14:paraId="498EB9E8">
            <w:pPr>
              <w:spacing w:line="360" w:lineRule="auto"/>
              <w:ind w:firstLine="482" w:firstLineChars="200"/>
              <w:rPr>
                <w:rFonts w:hint="eastAsia" w:eastAsia="宋体"/>
                <w:sz w:val="24"/>
                <w:szCs w:val="24"/>
                <w:lang w:val="en-US" w:eastAsia="zh-CN"/>
              </w:rPr>
            </w:pPr>
            <w:r>
              <w:rPr>
                <w:rFonts w:hint="eastAsia"/>
                <w:b/>
                <w:bCs/>
                <w:sz w:val="24"/>
                <w:szCs w:val="24"/>
                <w:lang w:val="en-US" w:eastAsia="zh-CN"/>
              </w:rPr>
              <w:t>施工期：</w:t>
            </w:r>
            <w:r>
              <w:rPr>
                <w:rFonts w:ascii="宋体" w:hAnsi="宋体" w:eastAsia="宋体" w:cs="宋体"/>
                <w:sz w:val="24"/>
                <w:szCs w:val="24"/>
              </w:rPr>
              <w:t>施工噪声影响特点为短期性，暂时性，随着施工活动的结束施工噪声 也消失，施工期应注意加强噪声防治措施，尽可能降低施工噪声对区域声环境的影响，采取如下措施：</w:t>
            </w:r>
            <w:r>
              <w:rPr>
                <w:rFonts w:hint="default"/>
                <w:color w:val="auto"/>
                <w:sz w:val="24"/>
                <w:szCs w:val="24"/>
              </w:rPr>
              <w:t>设置专人指挥施工区车辆进出</w:t>
            </w:r>
            <w:r>
              <w:rPr>
                <w:rFonts w:hint="eastAsia"/>
                <w:color w:val="auto"/>
                <w:sz w:val="24"/>
                <w:szCs w:val="24"/>
                <w:lang w:eastAsia="zh-CN"/>
              </w:rPr>
              <w:t>；</w:t>
            </w:r>
            <w:r>
              <w:rPr>
                <w:rFonts w:hint="default"/>
                <w:color w:val="auto"/>
                <w:sz w:val="24"/>
                <w:szCs w:val="24"/>
              </w:rPr>
              <w:t>采取封闭施工</w:t>
            </w:r>
            <w:r>
              <w:rPr>
                <w:rFonts w:hint="eastAsia"/>
                <w:color w:val="auto"/>
                <w:sz w:val="24"/>
                <w:szCs w:val="24"/>
                <w:lang w:eastAsia="zh-CN"/>
              </w:rPr>
              <w:t>；</w:t>
            </w:r>
            <w:r>
              <w:rPr>
                <w:rFonts w:hint="default"/>
                <w:color w:val="auto"/>
                <w:sz w:val="24"/>
                <w:szCs w:val="24"/>
              </w:rPr>
              <w:t>尽可能将高噪声源远离周边敏感点</w:t>
            </w:r>
            <w:r>
              <w:rPr>
                <w:rFonts w:hint="eastAsia"/>
                <w:color w:val="auto"/>
                <w:sz w:val="24"/>
                <w:szCs w:val="24"/>
                <w:lang w:eastAsia="zh-CN"/>
              </w:rPr>
              <w:t>；</w:t>
            </w:r>
            <w:r>
              <w:rPr>
                <w:rFonts w:hint="default"/>
                <w:color w:val="auto"/>
                <w:sz w:val="24"/>
                <w:szCs w:val="24"/>
              </w:rPr>
              <w:t>合理安排车辆运输路线和运输时间</w:t>
            </w:r>
            <w:r>
              <w:rPr>
                <w:rFonts w:hint="eastAsia"/>
                <w:color w:val="auto"/>
                <w:sz w:val="24"/>
                <w:szCs w:val="24"/>
              </w:rPr>
              <w:t>，</w:t>
            </w:r>
            <w:r>
              <w:rPr>
                <w:rFonts w:hint="default"/>
                <w:color w:val="auto"/>
                <w:sz w:val="24"/>
                <w:szCs w:val="24"/>
              </w:rPr>
              <w:t>靠近敏感点减速慢行</w:t>
            </w:r>
            <w:r>
              <w:rPr>
                <w:rFonts w:hint="eastAsia"/>
                <w:color w:val="auto"/>
                <w:sz w:val="24"/>
                <w:szCs w:val="24"/>
              </w:rPr>
              <w:t>、</w:t>
            </w:r>
            <w:r>
              <w:rPr>
                <w:rFonts w:hint="default"/>
                <w:color w:val="auto"/>
                <w:sz w:val="24"/>
                <w:szCs w:val="24"/>
              </w:rPr>
              <w:t>禁止鸣笛</w:t>
            </w:r>
            <w:r>
              <w:rPr>
                <w:rFonts w:hint="eastAsia"/>
                <w:color w:val="auto"/>
                <w:sz w:val="24"/>
                <w:szCs w:val="24"/>
              </w:rPr>
              <w:t>；</w:t>
            </w:r>
            <w:r>
              <w:rPr>
                <w:rFonts w:hint="default"/>
                <w:color w:val="auto"/>
                <w:sz w:val="24"/>
                <w:szCs w:val="24"/>
              </w:rPr>
              <w:t>加强与周围居民沟通，防止扰民纠纷；加强施工期噪声监理工作</w:t>
            </w:r>
            <w:r>
              <w:rPr>
                <w:rFonts w:hint="eastAsia"/>
                <w:color w:val="auto"/>
                <w:sz w:val="24"/>
                <w:szCs w:val="24"/>
                <w:lang w:eastAsia="zh-CN"/>
              </w:rPr>
              <w:t>。</w:t>
            </w:r>
            <w:r>
              <w:rPr>
                <w:rFonts w:hint="eastAsia"/>
                <w:color w:val="auto"/>
                <w:sz w:val="24"/>
                <w:szCs w:val="24"/>
                <w:lang w:val="en-US" w:eastAsia="zh-CN"/>
              </w:rPr>
              <w:t>在距离施工红线最近的保护目标附近施工时设置</w:t>
            </w:r>
            <w:r>
              <w:rPr>
                <w:rFonts w:hint="default"/>
                <w:color w:val="auto"/>
                <w:sz w:val="24"/>
                <w:szCs w:val="24"/>
                <w:lang w:val="en-US" w:eastAsia="zh-CN"/>
              </w:rPr>
              <w:t>2m高</w:t>
            </w:r>
            <w:r>
              <w:rPr>
                <w:rFonts w:hint="default"/>
                <w:color w:val="auto"/>
                <w:sz w:val="24"/>
                <w:szCs w:val="24"/>
              </w:rPr>
              <w:t>移动挡板进行隔声，降低对施工噪声对居民的点的影响</w:t>
            </w:r>
            <w:r>
              <w:rPr>
                <w:rFonts w:hint="eastAsia"/>
                <w:color w:val="auto"/>
                <w:sz w:val="24"/>
                <w:szCs w:val="24"/>
                <w:lang w:eastAsia="zh-CN"/>
              </w:rPr>
              <w:t>。</w:t>
            </w:r>
          </w:p>
          <w:p w14:paraId="746FBF63">
            <w:pPr>
              <w:spacing w:line="360" w:lineRule="auto"/>
              <w:ind w:firstLine="482" w:firstLineChars="200"/>
              <w:rPr>
                <w:rFonts w:hint="eastAsia"/>
                <w:b/>
                <w:bCs/>
                <w:sz w:val="24"/>
                <w:szCs w:val="24"/>
                <w:lang w:val="zh-CN"/>
              </w:rPr>
            </w:pPr>
            <w:r>
              <w:rPr>
                <w:rFonts w:hint="eastAsia"/>
                <w:b/>
                <w:bCs/>
                <w:sz w:val="24"/>
                <w:szCs w:val="24"/>
                <w:lang w:val="en-US" w:eastAsia="zh-CN"/>
              </w:rPr>
              <w:t>运营期：</w:t>
            </w:r>
            <w:r>
              <w:rPr>
                <w:rFonts w:hint="eastAsia"/>
                <w:b w:val="0"/>
                <w:bCs w:val="0"/>
                <w:sz w:val="24"/>
                <w:szCs w:val="24"/>
                <w:lang w:val="en-US" w:eastAsia="zh-CN"/>
              </w:rPr>
              <w:t>项目为防洪及河湖整治，无噪声产生</w:t>
            </w:r>
            <w:r>
              <w:rPr>
                <w:rFonts w:hint="eastAsia"/>
                <w:sz w:val="24"/>
                <w:szCs w:val="24"/>
                <w:lang w:val="en-US" w:eastAsia="zh-CN"/>
              </w:rPr>
              <w:t>。</w:t>
            </w:r>
          </w:p>
          <w:p w14:paraId="11168988">
            <w:pPr>
              <w:spacing w:line="360" w:lineRule="auto"/>
              <w:rPr>
                <w:rFonts w:hint="default"/>
                <w:lang w:val="en-US" w:eastAsia="zh-CN"/>
              </w:rPr>
            </w:pPr>
            <w:r>
              <w:rPr>
                <w:rFonts w:hint="eastAsia"/>
                <w:b/>
                <w:bCs/>
                <w:sz w:val="24"/>
                <w:szCs w:val="24"/>
                <w:lang w:val="en-US" w:eastAsia="zh-CN"/>
              </w:rPr>
              <w:t>4、生态环境影响评价结论</w:t>
            </w:r>
          </w:p>
          <w:p w14:paraId="4F2B1BF2">
            <w:pPr>
              <w:spacing w:line="360" w:lineRule="auto"/>
              <w:ind w:firstLine="482" w:firstLineChars="200"/>
              <w:rPr>
                <w:rFonts w:hint="eastAsia" w:eastAsia="宋体"/>
                <w:b/>
                <w:bCs/>
                <w:sz w:val="24"/>
                <w:szCs w:val="24"/>
                <w:lang w:val="en-US" w:eastAsia="zh-CN"/>
              </w:rPr>
            </w:pPr>
            <w:r>
              <w:rPr>
                <w:rFonts w:hint="eastAsia"/>
                <w:b/>
                <w:bCs/>
                <w:sz w:val="24"/>
                <w:szCs w:val="24"/>
                <w:lang w:val="en-US" w:eastAsia="zh-CN"/>
              </w:rPr>
              <w:t>施工期：</w:t>
            </w:r>
            <w:r>
              <w:rPr>
                <w:rFonts w:hint="default" w:ascii="Times New Roman" w:hAnsi="Times New Roman" w:eastAsia="宋体" w:cs="Times New Roman"/>
                <w:color w:val="auto"/>
                <w:sz w:val="24"/>
                <w:szCs w:val="24"/>
              </w:rPr>
              <w:t>项目减少工程临时占地；</w:t>
            </w:r>
            <w:r>
              <w:rPr>
                <w:rFonts w:hint="eastAsia" w:ascii="Times New Roman" w:hAnsi="Times New Roman" w:eastAsia="宋体" w:cs="Times New Roman"/>
                <w:color w:val="auto"/>
                <w:sz w:val="24"/>
                <w:szCs w:val="24"/>
              </w:rPr>
              <w:t>土石方开挖应尽量避开雨季施工，</w:t>
            </w:r>
            <w:r>
              <w:rPr>
                <w:rFonts w:hint="default" w:ascii="Times New Roman" w:hAnsi="Times New Roman" w:eastAsia="宋体" w:cs="Times New Roman"/>
                <w:color w:val="auto"/>
                <w:sz w:val="24"/>
                <w:szCs w:val="24"/>
              </w:rPr>
              <w:t>工程弃土（渣）及时清运，避免雨季造成水土流失；</w:t>
            </w:r>
            <w:r>
              <w:rPr>
                <w:rFonts w:hint="eastAsia" w:ascii="Times New Roman" w:hAnsi="Times New Roman" w:eastAsia="宋体" w:cs="Times New Roman"/>
                <w:color w:val="auto"/>
                <w:sz w:val="24"/>
                <w:szCs w:val="24"/>
                <w:lang w:eastAsia="zh-CN"/>
              </w:rPr>
              <w:t>于临时堆场设置排水沟、截水沟以及临时挡土墙，对堆场、裸土采取覆盖措施；</w:t>
            </w:r>
            <w:r>
              <w:rPr>
                <w:rFonts w:hint="default" w:ascii="Times New Roman" w:hAnsi="Times New Roman" w:eastAsia="宋体" w:cs="Times New Roman"/>
                <w:color w:val="auto"/>
                <w:sz w:val="24"/>
                <w:szCs w:val="24"/>
              </w:rPr>
              <w:t>做好表层土收集工作，施工结束后及时进行迹地恢复</w:t>
            </w:r>
            <w:r>
              <w:rPr>
                <w:rFonts w:hint="eastAsia" w:ascii="Times New Roman" w:hAnsi="Times New Roman" w:eastAsia="宋体" w:cs="Times New Roman"/>
                <w:color w:val="auto"/>
                <w:sz w:val="24"/>
                <w:szCs w:val="24"/>
                <w:lang w:eastAsia="zh-CN"/>
              </w:rPr>
              <w:t>，</w:t>
            </w:r>
            <w:r>
              <w:rPr>
                <w:rFonts w:hint="default" w:ascii="Times New Roman" w:hAnsi="Times New Roman" w:eastAsia="宋体" w:cs="Times New Roman"/>
                <w:color w:val="auto"/>
                <w:sz w:val="24"/>
                <w:szCs w:val="24"/>
              </w:rPr>
              <w:t>项目当地自然野生动植物少，本项目的实施不会对其造成较大影响</w:t>
            </w:r>
            <w:r>
              <w:rPr>
                <w:rFonts w:hint="eastAsia" w:cs="Times New Roman"/>
                <w:color w:val="auto"/>
                <w:sz w:val="24"/>
                <w:szCs w:val="24"/>
                <w:lang w:eastAsia="zh-CN"/>
              </w:rPr>
              <w:t>。</w:t>
            </w:r>
          </w:p>
          <w:p w14:paraId="1D3B6752">
            <w:pPr>
              <w:spacing w:line="360" w:lineRule="auto"/>
              <w:ind w:firstLine="482" w:firstLineChars="200"/>
              <w:rPr>
                <w:rFonts w:hint="default" w:eastAsia="宋体"/>
                <w:b/>
                <w:bCs/>
                <w:sz w:val="24"/>
                <w:szCs w:val="24"/>
                <w:lang w:val="en-US" w:eastAsia="zh-CN"/>
              </w:rPr>
            </w:pPr>
            <w:r>
              <w:rPr>
                <w:rFonts w:hint="eastAsia"/>
                <w:b/>
                <w:bCs/>
                <w:sz w:val="24"/>
                <w:szCs w:val="24"/>
                <w:lang w:val="en-US" w:eastAsia="zh-CN"/>
              </w:rPr>
              <w:t>营运期：</w:t>
            </w:r>
            <w:r>
              <w:rPr>
                <w:rFonts w:hint="eastAsia"/>
                <w:b w:val="0"/>
                <w:bCs w:val="0"/>
                <w:sz w:val="24"/>
                <w:szCs w:val="24"/>
                <w:lang w:val="en-US" w:eastAsia="zh-CN"/>
              </w:rPr>
              <w:t>不涉及</w:t>
            </w:r>
            <w:r>
              <w:rPr>
                <w:rFonts w:hint="eastAsia" w:cs="Times New Roman"/>
                <w:b w:val="0"/>
                <w:bCs w:val="0"/>
                <w:color w:val="auto"/>
                <w:sz w:val="24"/>
                <w:szCs w:val="24"/>
                <w:lang w:val="zh-CN" w:eastAsia="zh-CN"/>
              </w:rPr>
              <w:t>。</w:t>
            </w:r>
          </w:p>
          <w:p w14:paraId="03C355AB">
            <w:pPr>
              <w:numPr>
                <w:ilvl w:val="0"/>
                <w:numId w:val="7"/>
              </w:numPr>
              <w:spacing w:line="360" w:lineRule="auto"/>
              <w:rPr>
                <w:rFonts w:hint="eastAsia"/>
                <w:b/>
                <w:bCs/>
                <w:sz w:val="24"/>
                <w:szCs w:val="24"/>
                <w:lang w:val="en-US" w:eastAsia="zh-CN"/>
              </w:rPr>
            </w:pPr>
            <w:r>
              <w:rPr>
                <w:rFonts w:hint="eastAsia"/>
                <w:b/>
                <w:bCs/>
                <w:sz w:val="24"/>
                <w:szCs w:val="24"/>
                <w:lang w:val="en-US" w:eastAsia="zh-CN"/>
              </w:rPr>
              <w:t>固体废物影响评价结论</w:t>
            </w:r>
          </w:p>
          <w:p w14:paraId="7B449AD9">
            <w:pPr>
              <w:spacing w:line="360" w:lineRule="auto"/>
              <w:ind w:firstLine="482" w:firstLineChars="200"/>
              <w:rPr>
                <w:rFonts w:hint="eastAsia" w:eastAsia="宋体"/>
                <w:b/>
                <w:bCs/>
                <w:sz w:val="24"/>
                <w:szCs w:val="24"/>
                <w:lang w:val="en-US" w:eastAsia="zh-CN"/>
              </w:rPr>
            </w:pPr>
            <w:r>
              <w:rPr>
                <w:rFonts w:hint="eastAsia"/>
                <w:b/>
                <w:bCs/>
                <w:sz w:val="24"/>
                <w:szCs w:val="24"/>
                <w:lang w:val="en-US" w:eastAsia="zh-CN"/>
              </w:rPr>
              <w:t>施工期：</w:t>
            </w:r>
            <w:r>
              <w:rPr>
                <w:rFonts w:hint="eastAsia"/>
                <w:b w:val="0"/>
                <w:bCs w:val="0"/>
                <w:sz w:val="24"/>
                <w:szCs w:val="24"/>
                <w:lang w:val="en-US" w:eastAsia="zh-CN"/>
              </w:rPr>
              <w:t>工程施工无外借土石方，无多余土石方产生，最终本项目实现土石方综合利用</w:t>
            </w:r>
            <w:r>
              <w:rPr>
                <w:rFonts w:hint="eastAsia"/>
                <w:b w:val="0"/>
                <w:bCs w:val="0"/>
                <w:color w:val="auto"/>
                <w:sz w:val="24"/>
                <w:szCs w:val="24"/>
                <w:lang w:val="en-US" w:eastAsia="zh-CN"/>
              </w:rPr>
              <w:t>，无</w:t>
            </w:r>
            <w:r>
              <w:rPr>
                <w:rFonts w:hint="eastAsia"/>
                <w:color w:val="auto"/>
                <w:sz w:val="24"/>
                <w:szCs w:val="24"/>
                <w:lang w:val="en-US" w:eastAsia="zh-CN"/>
              </w:rPr>
              <w:t>弃土场；</w:t>
            </w:r>
            <w:r>
              <w:rPr>
                <w:rFonts w:hint="default"/>
                <w:color w:val="auto"/>
                <w:sz w:val="24"/>
                <w:szCs w:val="24"/>
              </w:rPr>
              <w:t>对场地挖掘产生的土方应切实按照要求用于场地回填及覆土，并尽快利用以减少堆存时间</w:t>
            </w:r>
            <w:r>
              <w:rPr>
                <w:rFonts w:hint="eastAsia"/>
                <w:color w:val="auto"/>
                <w:sz w:val="24"/>
                <w:szCs w:val="24"/>
                <w:lang w:eastAsia="zh-CN"/>
              </w:rPr>
              <w:t>；</w:t>
            </w:r>
            <w:r>
              <w:rPr>
                <w:rFonts w:hint="default"/>
                <w:color w:val="auto"/>
                <w:sz w:val="24"/>
                <w:szCs w:val="24"/>
              </w:rPr>
              <w:t>生活垃圾应集中收集</w:t>
            </w:r>
            <w:r>
              <w:rPr>
                <w:rFonts w:hint="eastAsia"/>
                <w:color w:val="auto"/>
                <w:sz w:val="24"/>
                <w:szCs w:val="24"/>
                <w:lang w:eastAsia="zh-CN"/>
              </w:rPr>
              <w:t>；</w:t>
            </w:r>
            <w:r>
              <w:rPr>
                <w:rFonts w:hint="default"/>
                <w:color w:val="auto"/>
                <w:sz w:val="24"/>
                <w:szCs w:val="24"/>
              </w:rPr>
              <w:t>施工期产生的固体废物去向明确，处置合理，对环境造成的影响较小，且随着工程结束，该影响也随之消失</w:t>
            </w:r>
            <w:r>
              <w:rPr>
                <w:rFonts w:hint="eastAsia"/>
                <w:color w:val="auto"/>
                <w:sz w:val="24"/>
                <w:szCs w:val="24"/>
                <w:lang w:eastAsia="zh-CN"/>
              </w:rPr>
              <w:t>。</w:t>
            </w:r>
          </w:p>
          <w:p w14:paraId="63F560A7">
            <w:pPr>
              <w:spacing w:line="360" w:lineRule="auto"/>
              <w:ind w:firstLine="482" w:firstLineChars="200"/>
              <w:rPr>
                <w:rFonts w:hint="default"/>
                <w:lang w:val="en-US" w:eastAsia="zh-CN"/>
              </w:rPr>
            </w:pPr>
            <w:r>
              <w:rPr>
                <w:rFonts w:hint="eastAsia"/>
                <w:b/>
                <w:bCs/>
                <w:sz w:val="24"/>
                <w:szCs w:val="24"/>
                <w:lang w:val="en-US" w:eastAsia="zh-CN"/>
              </w:rPr>
              <w:t>营运期：</w:t>
            </w:r>
            <w:r>
              <w:rPr>
                <w:rFonts w:hint="eastAsia" w:cs="Times New Roman"/>
                <w:color w:val="auto"/>
                <w:sz w:val="24"/>
                <w:szCs w:val="24"/>
                <w:lang w:val="en-US" w:eastAsia="zh-CN"/>
              </w:rPr>
              <w:t>无固废</w:t>
            </w:r>
            <w:r>
              <w:rPr>
                <w:rFonts w:hint="eastAsia" w:cs="Times New Roman"/>
                <w:color w:val="auto"/>
                <w:sz w:val="24"/>
                <w:szCs w:val="24"/>
                <w:lang w:val="zh-CN" w:eastAsia="zh-CN"/>
              </w:rPr>
              <w:t>。</w:t>
            </w:r>
          </w:p>
          <w:p w14:paraId="565FB6DE">
            <w:pPr>
              <w:spacing w:line="360" w:lineRule="auto"/>
              <w:rPr>
                <w:rFonts w:hint="eastAsia"/>
                <w:b/>
                <w:bCs/>
                <w:sz w:val="24"/>
                <w:szCs w:val="24"/>
                <w:lang w:val="en-US" w:eastAsia="zh-CN"/>
              </w:rPr>
            </w:pPr>
            <w:r>
              <w:rPr>
                <w:rFonts w:hint="eastAsia"/>
                <w:b/>
                <w:bCs/>
                <w:sz w:val="24"/>
                <w:szCs w:val="24"/>
                <w:lang w:val="en-US" w:eastAsia="zh-CN"/>
              </w:rPr>
              <w:t>二、环评结论</w:t>
            </w:r>
          </w:p>
          <w:p w14:paraId="102F672C">
            <w:pPr>
              <w:spacing w:line="360" w:lineRule="auto"/>
              <w:ind w:firstLine="482" w:firstLineChars="200"/>
              <w:rPr>
                <w:b/>
                <w:bCs/>
                <w:sz w:val="24"/>
                <w:szCs w:val="24"/>
                <w:lang w:val="zh-CN"/>
              </w:rPr>
            </w:pPr>
            <w:r>
              <w:rPr>
                <w:rFonts w:hint="eastAsia"/>
                <w:b/>
                <w:bCs/>
                <w:sz w:val="24"/>
                <w:szCs w:val="24"/>
                <w:lang w:val="en-US" w:eastAsia="zh-CN"/>
              </w:rPr>
              <w:t>1、</w:t>
            </w:r>
            <w:r>
              <w:rPr>
                <w:rFonts w:hint="eastAsia"/>
                <w:b/>
                <w:bCs/>
                <w:sz w:val="24"/>
                <w:szCs w:val="24"/>
                <w:lang w:val="zh-CN"/>
              </w:rPr>
              <w:t>与产业政策和行业规划符合性</w:t>
            </w:r>
          </w:p>
          <w:p w14:paraId="6A8FBEEF">
            <w:pPr>
              <w:spacing w:line="360" w:lineRule="auto"/>
              <w:ind w:firstLine="480" w:firstLineChars="200"/>
              <w:rPr>
                <w:rFonts w:hint="eastAsia"/>
                <w:sz w:val="24"/>
                <w:szCs w:val="24"/>
                <w:lang w:val="zh-CN"/>
              </w:rPr>
            </w:pPr>
            <w:r>
              <w:rPr>
                <w:rFonts w:hint="eastAsia"/>
                <w:sz w:val="24"/>
                <w:szCs w:val="24"/>
                <w:lang w:val="zh-CN"/>
              </w:rPr>
              <w:t>项目为新建河道护岸，生态湿地建设，根据《国民经济行业分类》（GB/T4754-2017）可知，本项目属于E4822河湖治理及防洪设施工程建筑、N 7610防洪除涝设施管理。</w:t>
            </w:r>
          </w:p>
          <w:p w14:paraId="5C47E06C">
            <w:pPr>
              <w:spacing w:line="360" w:lineRule="auto"/>
              <w:ind w:firstLine="480" w:firstLineChars="200"/>
              <w:rPr>
                <w:rFonts w:hint="eastAsia"/>
                <w:sz w:val="24"/>
                <w:szCs w:val="24"/>
                <w:lang w:val="zh-CN"/>
              </w:rPr>
            </w:pPr>
            <w:r>
              <w:rPr>
                <w:rFonts w:hint="eastAsia"/>
                <w:sz w:val="24"/>
                <w:szCs w:val="24"/>
                <w:lang w:val="zh-CN"/>
              </w:rPr>
              <w:t>根据《产业结构调整指导目录（2019 年本）》可知，本项目属于“第一类鼓励类”中“二、水利9、城市积涝预警和防洪工程”。</w:t>
            </w:r>
          </w:p>
          <w:p w14:paraId="59A59423">
            <w:pPr>
              <w:spacing w:line="360" w:lineRule="auto"/>
              <w:ind w:firstLine="480" w:firstLineChars="200"/>
              <w:rPr>
                <w:sz w:val="24"/>
                <w:szCs w:val="24"/>
                <w:lang w:val="zh-CN"/>
              </w:rPr>
            </w:pPr>
            <w:r>
              <w:rPr>
                <w:rFonts w:hint="eastAsia"/>
                <w:sz w:val="24"/>
                <w:szCs w:val="24"/>
                <w:lang w:val="zh-CN"/>
              </w:rPr>
              <w:t>2021年7月21日，项目取得金堂县发展和改革局《关于四川省金堂县资水河防洪治理过程（二期）可行性研究报告（代项目建议书）的批复》（金堂发改投资[2021]38号）。</w:t>
            </w:r>
          </w:p>
          <w:p w14:paraId="4030D9C8">
            <w:pPr>
              <w:spacing w:line="360" w:lineRule="auto"/>
              <w:ind w:firstLine="482" w:firstLineChars="200"/>
              <w:rPr>
                <w:b/>
                <w:bCs/>
                <w:sz w:val="24"/>
                <w:szCs w:val="24"/>
                <w:lang w:val="zh-CN"/>
              </w:rPr>
            </w:pPr>
            <w:r>
              <w:rPr>
                <w:rFonts w:hint="eastAsia"/>
                <w:b/>
                <w:bCs/>
                <w:sz w:val="24"/>
                <w:szCs w:val="24"/>
                <w:lang w:val="en-US" w:eastAsia="zh-CN"/>
              </w:rPr>
              <w:t>2、规划</w:t>
            </w:r>
            <w:r>
              <w:rPr>
                <w:rFonts w:hint="eastAsia"/>
                <w:b/>
                <w:bCs/>
                <w:sz w:val="24"/>
                <w:szCs w:val="24"/>
                <w:lang w:val="zh-CN"/>
              </w:rPr>
              <w:t>符合性分析</w:t>
            </w:r>
          </w:p>
          <w:p w14:paraId="73961B51">
            <w:pPr>
              <w:spacing w:line="360" w:lineRule="auto"/>
              <w:ind w:firstLine="480" w:firstLineChars="200"/>
              <w:rPr>
                <w:rFonts w:hint="eastAsia"/>
                <w:sz w:val="24"/>
                <w:lang w:eastAsia="zh-CN"/>
              </w:rPr>
            </w:pPr>
            <w:r>
              <w:rPr>
                <w:rFonts w:hint="eastAsia"/>
                <w:sz w:val="24"/>
              </w:rPr>
              <w:t>本项目涉及河流为资水河（又名阳化河），为沱江中游左岸一级支流，属于沱江水系。项目通过修建防洪护岸、生态节点，有利于提升资水河两岸防洪排涝能力，符合《四川省沱江流域综合规划》</w:t>
            </w:r>
            <w:r>
              <w:rPr>
                <w:rFonts w:hint="eastAsia"/>
                <w:sz w:val="24"/>
                <w:lang w:eastAsia="zh-CN"/>
              </w:rPr>
              <w:t>。</w:t>
            </w:r>
          </w:p>
          <w:p w14:paraId="0F897BC2">
            <w:pPr>
              <w:spacing w:line="360" w:lineRule="auto"/>
              <w:ind w:firstLine="480" w:firstLineChars="200"/>
              <w:rPr>
                <w:sz w:val="24"/>
                <w:szCs w:val="24"/>
                <w:lang w:val="zh-CN"/>
              </w:rPr>
            </w:pPr>
            <w:r>
              <w:rPr>
                <w:rFonts w:hint="eastAsia"/>
                <w:sz w:val="24"/>
              </w:rPr>
              <w:t>本项目涉及河流为资水河（又名阳化河），为沱江中游左岸一级支流，属于沱江水系。项目通过修建防洪护岸、生态节点，有利于改善资水河两岸防洪形势，符合《金堂县国民经济和社会发展第十四个五年规划和二〇三五年远景目标的建议》</w:t>
            </w:r>
            <w:r>
              <w:rPr>
                <w:sz w:val="24"/>
                <w:szCs w:val="24"/>
                <w:lang w:val="zh-CN"/>
              </w:rPr>
              <w:t>。</w:t>
            </w:r>
          </w:p>
          <w:p w14:paraId="2D1FAA0B">
            <w:pPr>
              <w:spacing w:line="360" w:lineRule="auto"/>
              <w:ind w:firstLine="480" w:firstLineChars="200"/>
              <w:rPr>
                <w:sz w:val="24"/>
                <w:szCs w:val="24"/>
                <w:lang w:val="zh-CN"/>
              </w:rPr>
            </w:pPr>
            <w:r>
              <w:rPr>
                <w:rFonts w:hint="eastAsia"/>
                <w:sz w:val="24"/>
                <w:szCs w:val="24"/>
                <w:lang w:val="zh-CN"/>
              </w:rPr>
              <w:t>本项目不在四川省生态保护红线范围内。本项目符合“三线一单”要求</w:t>
            </w:r>
          </w:p>
          <w:p w14:paraId="73DD093A">
            <w:pPr>
              <w:numPr>
                <w:ilvl w:val="0"/>
                <w:numId w:val="0"/>
              </w:numPr>
              <w:spacing w:line="360" w:lineRule="auto"/>
              <w:ind w:firstLine="482" w:firstLineChars="200"/>
              <w:rPr>
                <w:rFonts w:hint="eastAsia"/>
                <w:b/>
                <w:sz w:val="24"/>
                <w:szCs w:val="24"/>
                <w:lang w:val="en-US" w:eastAsia="zh-CN"/>
              </w:rPr>
            </w:pPr>
            <w:r>
              <w:rPr>
                <w:rFonts w:hint="eastAsia"/>
                <w:b/>
                <w:sz w:val="24"/>
                <w:szCs w:val="24"/>
                <w:lang w:val="en-US" w:eastAsia="zh-CN"/>
              </w:rPr>
              <w:t>3、环境质量现状分析结论</w:t>
            </w:r>
          </w:p>
          <w:p w14:paraId="6A9716E2">
            <w:pPr>
              <w:numPr>
                <w:ilvl w:val="0"/>
                <w:numId w:val="0"/>
              </w:numPr>
              <w:spacing w:line="360" w:lineRule="auto"/>
              <w:ind w:firstLine="480" w:firstLineChars="200"/>
              <w:rPr>
                <w:rFonts w:hint="default"/>
                <w:b w:val="0"/>
                <w:bCs/>
                <w:color w:val="auto"/>
                <w:sz w:val="24"/>
                <w:lang w:val="en-US" w:eastAsia="zh-CN"/>
              </w:rPr>
            </w:pPr>
            <w:r>
              <w:rPr>
                <w:rFonts w:hint="eastAsia"/>
                <w:b w:val="0"/>
                <w:bCs/>
                <w:color w:val="auto"/>
                <w:sz w:val="24"/>
                <w:lang w:eastAsia="zh-CN"/>
              </w:rPr>
              <w:t>（</w:t>
            </w:r>
            <w:r>
              <w:rPr>
                <w:rFonts w:hint="eastAsia"/>
                <w:b w:val="0"/>
                <w:bCs/>
                <w:color w:val="auto"/>
                <w:sz w:val="24"/>
                <w:lang w:val="en-US" w:eastAsia="zh-CN"/>
              </w:rPr>
              <w:t>1</w:t>
            </w:r>
            <w:r>
              <w:rPr>
                <w:rFonts w:hint="eastAsia"/>
                <w:b w:val="0"/>
                <w:bCs/>
                <w:color w:val="auto"/>
                <w:sz w:val="24"/>
                <w:lang w:eastAsia="zh-CN"/>
              </w:rPr>
              <w:t>）</w:t>
            </w:r>
            <w:r>
              <w:rPr>
                <w:rFonts w:hint="eastAsia"/>
                <w:b w:val="0"/>
                <w:bCs/>
                <w:color w:val="auto"/>
                <w:sz w:val="24"/>
                <w:lang w:val="en-US" w:eastAsia="zh-CN"/>
              </w:rPr>
              <w:t>环境空气</w:t>
            </w:r>
          </w:p>
          <w:p w14:paraId="4372AF4B">
            <w:pPr>
              <w:numPr>
                <w:ilvl w:val="0"/>
                <w:numId w:val="0"/>
              </w:numPr>
              <w:spacing w:line="360" w:lineRule="auto"/>
              <w:ind w:firstLine="480" w:firstLineChars="200"/>
              <w:rPr>
                <w:rFonts w:hint="eastAsia"/>
                <w:color w:val="auto"/>
                <w:sz w:val="24"/>
                <w:lang w:eastAsia="zh-CN"/>
              </w:rPr>
            </w:pPr>
            <w:r>
              <w:rPr>
                <w:b w:val="0"/>
                <w:bCs/>
                <w:color w:val="auto"/>
                <w:sz w:val="24"/>
              </w:rPr>
              <w:t>项目所在区域达标判定：城市环境空气质量达标情况评价指标为SO</w:t>
            </w:r>
            <w:r>
              <w:rPr>
                <w:b w:val="0"/>
                <w:bCs/>
                <w:color w:val="auto"/>
                <w:sz w:val="24"/>
                <w:vertAlign w:val="subscript"/>
              </w:rPr>
              <w:t>2</w:t>
            </w:r>
            <w:r>
              <w:rPr>
                <w:b w:val="0"/>
                <w:bCs/>
                <w:color w:val="auto"/>
                <w:sz w:val="24"/>
              </w:rPr>
              <w:t>、NO</w:t>
            </w:r>
            <w:r>
              <w:rPr>
                <w:b w:val="0"/>
                <w:bCs/>
                <w:color w:val="auto"/>
                <w:sz w:val="24"/>
                <w:vertAlign w:val="subscript"/>
              </w:rPr>
              <w:t>2</w:t>
            </w:r>
            <w:r>
              <w:rPr>
                <w:b w:val="0"/>
                <w:bCs/>
                <w:color w:val="auto"/>
                <w:sz w:val="24"/>
              </w:rPr>
              <w:t>、PM</w:t>
            </w:r>
            <w:r>
              <w:rPr>
                <w:b w:val="0"/>
                <w:bCs/>
                <w:color w:val="auto"/>
                <w:sz w:val="24"/>
                <w:vertAlign w:val="subscript"/>
              </w:rPr>
              <w:t>10</w:t>
            </w:r>
            <w:r>
              <w:rPr>
                <w:b w:val="0"/>
                <w:bCs/>
                <w:color w:val="auto"/>
                <w:sz w:val="24"/>
              </w:rPr>
              <w:t>、PM</w:t>
            </w:r>
            <w:r>
              <w:rPr>
                <w:b w:val="0"/>
                <w:bCs/>
                <w:color w:val="auto"/>
                <w:sz w:val="24"/>
                <w:vertAlign w:val="subscript"/>
              </w:rPr>
              <w:t>2.5</w:t>
            </w:r>
            <w:r>
              <w:rPr>
                <w:b w:val="0"/>
                <w:bCs/>
                <w:color w:val="auto"/>
                <w:sz w:val="24"/>
              </w:rPr>
              <w:t>、CO、O</w:t>
            </w:r>
            <w:r>
              <w:rPr>
                <w:b w:val="0"/>
                <w:bCs/>
                <w:color w:val="auto"/>
                <w:sz w:val="24"/>
                <w:vertAlign w:val="subscript"/>
              </w:rPr>
              <w:t>3</w:t>
            </w:r>
            <w:r>
              <w:rPr>
                <w:b w:val="0"/>
                <w:bCs/>
                <w:color w:val="auto"/>
                <w:sz w:val="24"/>
              </w:rPr>
              <w:t>，六项污染</w:t>
            </w:r>
            <w:r>
              <w:rPr>
                <w:color w:val="auto"/>
                <w:sz w:val="24"/>
              </w:rPr>
              <w:t>物全部达标</w:t>
            </w:r>
            <w:r>
              <w:rPr>
                <w:rFonts w:hint="eastAsia"/>
                <w:color w:val="auto"/>
                <w:sz w:val="24"/>
                <w:lang w:eastAsia="zh-CN"/>
              </w:rPr>
              <w:t>。</w:t>
            </w:r>
          </w:p>
          <w:p w14:paraId="2DCB2FE4">
            <w:pPr>
              <w:numPr>
                <w:ilvl w:val="0"/>
                <w:numId w:val="0"/>
              </w:numPr>
              <w:spacing w:line="360" w:lineRule="auto"/>
              <w:ind w:firstLine="480" w:firstLineChars="200"/>
              <w:rPr>
                <w:rFonts w:hint="eastAsia"/>
                <w:color w:val="auto"/>
                <w:sz w:val="24"/>
                <w:lang w:val="en-US" w:eastAsia="zh-CN"/>
              </w:rPr>
            </w:pPr>
            <w:r>
              <w:rPr>
                <w:rFonts w:hint="eastAsia"/>
                <w:color w:val="auto"/>
                <w:sz w:val="24"/>
                <w:lang w:eastAsia="zh-CN"/>
              </w:rPr>
              <w:t>（</w:t>
            </w:r>
            <w:r>
              <w:rPr>
                <w:rFonts w:hint="eastAsia"/>
                <w:color w:val="auto"/>
                <w:sz w:val="24"/>
                <w:lang w:val="en-US" w:eastAsia="zh-CN"/>
              </w:rPr>
              <w:t>2</w:t>
            </w:r>
            <w:r>
              <w:rPr>
                <w:rFonts w:hint="eastAsia"/>
                <w:color w:val="auto"/>
                <w:sz w:val="24"/>
                <w:lang w:eastAsia="zh-CN"/>
              </w:rPr>
              <w:t>）</w:t>
            </w:r>
            <w:r>
              <w:rPr>
                <w:rFonts w:hint="eastAsia"/>
                <w:color w:val="auto"/>
                <w:sz w:val="24"/>
                <w:lang w:val="en-US" w:eastAsia="zh-CN"/>
              </w:rPr>
              <w:t>地表水</w:t>
            </w:r>
          </w:p>
          <w:p w14:paraId="0528CDFA">
            <w:pPr>
              <w:numPr>
                <w:ilvl w:val="0"/>
                <w:numId w:val="0"/>
              </w:numPr>
              <w:spacing w:line="360" w:lineRule="auto"/>
              <w:ind w:firstLine="480" w:firstLineChars="200"/>
              <w:rPr>
                <w:rFonts w:hint="eastAsia"/>
                <w:color w:val="auto"/>
                <w:sz w:val="24"/>
                <w:lang w:eastAsia="zh-CN"/>
              </w:rPr>
            </w:pPr>
            <w:r>
              <w:rPr>
                <w:rFonts w:hint="eastAsia"/>
                <w:color w:val="auto"/>
                <w:sz w:val="24"/>
                <w:lang w:eastAsia="zh-CN"/>
              </w:rPr>
              <w:t>资水河水质整体属于地表IV类，主要超标污染物为总磷和高锰酸盐指数。从季节性变化角度来看，阳化河在第1、2季度期间水质较差，属于地表Ⅳ~Ⅴ类。从空间变化角度来看，进入竹篙镇前水质较好，下游出境断面兰家桥水质较差，为IV类水质。支流水质整体较差，汇入阳化河前广兴河水质为地表Ⅴ类，竹溪河水质为地表IV类。</w:t>
            </w:r>
          </w:p>
          <w:p w14:paraId="0E43DCB9">
            <w:pPr>
              <w:numPr>
                <w:ilvl w:val="0"/>
                <w:numId w:val="0"/>
              </w:numPr>
              <w:spacing w:line="360" w:lineRule="auto"/>
              <w:ind w:firstLine="480" w:firstLineChars="200"/>
              <w:rPr>
                <w:rFonts w:hint="eastAsia"/>
                <w:color w:val="auto"/>
                <w:sz w:val="24"/>
                <w:lang w:eastAsia="zh-CN"/>
              </w:rPr>
            </w:pPr>
            <w:r>
              <w:rPr>
                <w:rFonts w:hint="eastAsia"/>
                <w:color w:val="auto"/>
                <w:sz w:val="24"/>
                <w:lang w:eastAsia="zh-CN"/>
              </w:rPr>
              <w:t>竹篙镇境内资水河流域污染源类型包括上游来水污染、大气沉降污染、农田径流面源污染、农村散户散排生活污水及河道内源污染。其中以农田面源污染和散户生活污水点源污染为主要污染源，竹溪河两侧污染类型主要为农田面源和乡镇面源；广兴河两侧以农田、乡镇面源污染和生活污水点源污染为主。同时，由于河道中存在的底泥、淤泥中氮、磷和有机质向上覆水的释放量过多会造成水体富营养化，因此河道存在一定的内源污染。</w:t>
            </w:r>
          </w:p>
          <w:p w14:paraId="2A3AA19B">
            <w:pPr>
              <w:spacing w:line="360" w:lineRule="auto"/>
              <w:ind w:firstLine="480"/>
              <w:rPr>
                <w:rFonts w:hint="eastAsia" w:cs="Times New Roman"/>
                <w:color w:val="auto"/>
                <w:sz w:val="24"/>
                <w:szCs w:val="24"/>
                <w:lang w:val="en-US" w:eastAsia="zh-CN"/>
              </w:rPr>
            </w:pPr>
            <w:r>
              <w:rPr>
                <w:rFonts w:hint="eastAsia" w:ascii="Times New Roman" w:hAnsi="Times New Roman" w:cs="Times New Roman"/>
                <w:color w:val="auto"/>
                <w:sz w:val="24"/>
                <w:szCs w:val="24"/>
                <w:lang w:val="en-US" w:eastAsia="zh-CN"/>
              </w:rPr>
              <w:t>在本项目建设完成后，能有效改善区域</w:t>
            </w:r>
            <w:r>
              <w:rPr>
                <w:rFonts w:hint="eastAsia" w:cs="Times New Roman"/>
                <w:color w:val="auto"/>
                <w:sz w:val="24"/>
                <w:szCs w:val="24"/>
                <w:lang w:val="en-US" w:eastAsia="zh-CN"/>
              </w:rPr>
              <w:t>水体环境</w:t>
            </w:r>
            <w:r>
              <w:rPr>
                <w:rFonts w:hint="eastAsia" w:ascii="Times New Roman" w:hAnsi="Times New Roman" w:cs="Times New Roman"/>
                <w:color w:val="auto"/>
                <w:sz w:val="24"/>
                <w:szCs w:val="24"/>
                <w:lang w:val="en-US" w:eastAsia="zh-CN"/>
              </w:rPr>
              <w:t>，</w:t>
            </w:r>
            <w:r>
              <w:rPr>
                <w:rFonts w:hint="eastAsia" w:cs="Times New Roman"/>
                <w:color w:val="auto"/>
                <w:sz w:val="24"/>
                <w:szCs w:val="24"/>
                <w:lang w:val="en-US" w:eastAsia="zh-CN"/>
              </w:rPr>
              <w:t>有效减少水体污染。</w:t>
            </w:r>
          </w:p>
          <w:p w14:paraId="33B059F4">
            <w:pPr>
              <w:numPr>
                <w:ilvl w:val="0"/>
                <w:numId w:val="8"/>
              </w:numPr>
              <w:spacing w:line="360" w:lineRule="auto"/>
              <w:ind w:left="0" w:leftChars="0" w:firstLine="480" w:firstLineChars="200"/>
              <w:rPr>
                <w:rFonts w:hint="eastAsia" w:cs="Times New Roman"/>
                <w:color w:val="auto"/>
                <w:sz w:val="24"/>
                <w:szCs w:val="24"/>
                <w:lang w:val="en-US" w:eastAsia="zh-CN"/>
              </w:rPr>
            </w:pPr>
            <w:r>
              <w:rPr>
                <w:rFonts w:hint="eastAsia" w:cs="Times New Roman"/>
                <w:color w:val="auto"/>
                <w:sz w:val="24"/>
                <w:szCs w:val="24"/>
                <w:lang w:val="en-US" w:eastAsia="zh-CN"/>
              </w:rPr>
              <w:t>噪声</w:t>
            </w:r>
          </w:p>
          <w:p w14:paraId="77EA9C10">
            <w:pPr>
              <w:spacing w:line="360" w:lineRule="auto"/>
              <w:ind w:firstLine="480"/>
              <w:rPr>
                <w:rFonts w:hint="eastAsia" w:ascii="Times New Roman" w:hAnsi="Times New Roman" w:cs="Times New Roman"/>
                <w:color w:val="auto"/>
                <w:sz w:val="24"/>
                <w:szCs w:val="24"/>
                <w:lang w:val="en-US" w:eastAsia="zh-CN"/>
              </w:rPr>
            </w:pPr>
            <w:r>
              <w:rPr>
                <w:rFonts w:hint="eastAsia" w:cs="Times New Roman"/>
                <w:color w:val="auto"/>
                <w:sz w:val="24"/>
                <w:szCs w:val="24"/>
                <w:lang w:val="en-US" w:eastAsia="zh-CN"/>
              </w:rPr>
              <w:t>项目区域</w:t>
            </w:r>
            <w:r>
              <w:rPr>
                <w:rFonts w:hint="eastAsia" w:ascii="Times New Roman" w:hAnsi="Times New Roman" w:cs="Times New Roman"/>
                <w:color w:val="auto"/>
                <w:sz w:val="24"/>
                <w:szCs w:val="24"/>
                <w:lang w:val="en-US" w:eastAsia="zh-CN"/>
              </w:rPr>
              <w:t>能满足《声环境质量标准》（GB3096-2008）中2类标准限值要求。</w:t>
            </w:r>
          </w:p>
          <w:p w14:paraId="566A9DB6">
            <w:pPr>
              <w:spacing w:line="360" w:lineRule="auto"/>
              <w:ind w:firstLine="482" w:firstLineChars="200"/>
              <w:rPr>
                <w:rFonts w:hint="default" w:eastAsia="宋体"/>
                <w:b/>
                <w:sz w:val="24"/>
                <w:szCs w:val="24"/>
                <w:lang w:val="en-US" w:eastAsia="zh-CN"/>
              </w:rPr>
            </w:pPr>
            <w:r>
              <w:rPr>
                <w:rFonts w:hint="eastAsia"/>
                <w:b/>
                <w:sz w:val="24"/>
                <w:szCs w:val="24"/>
                <w:lang w:val="en-US" w:eastAsia="zh-CN"/>
              </w:rPr>
              <w:t>4、达标排放结论</w:t>
            </w:r>
          </w:p>
          <w:p w14:paraId="4AC9D528">
            <w:pPr>
              <w:spacing w:line="360" w:lineRule="auto"/>
              <w:ind w:firstLine="480" w:firstLineChars="200"/>
              <w:rPr>
                <w:rFonts w:hint="eastAsia"/>
                <w:sz w:val="24"/>
                <w:lang w:eastAsia="zh-CN"/>
              </w:rPr>
            </w:pPr>
            <w:r>
              <w:rPr>
                <w:rFonts w:hint="eastAsia"/>
                <w:sz w:val="24"/>
              </w:rPr>
              <w:t>本项目为生态影响类建设项目，运营期项目本身不产生废水、废气、噪声、固废等污染物，对环境无不利影响</w:t>
            </w:r>
            <w:r>
              <w:rPr>
                <w:rFonts w:hint="eastAsia"/>
                <w:sz w:val="24"/>
                <w:lang w:eastAsia="zh-CN"/>
              </w:rPr>
              <w:t>。</w:t>
            </w:r>
          </w:p>
          <w:p w14:paraId="656901BE">
            <w:pPr>
              <w:spacing w:line="360" w:lineRule="auto"/>
              <w:ind w:firstLine="480" w:firstLineChars="200"/>
              <w:rPr>
                <w:rFonts w:hint="eastAsia"/>
                <w:sz w:val="24"/>
                <w:szCs w:val="24"/>
                <w:lang w:val="en-US" w:eastAsia="zh-CN"/>
              </w:rPr>
            </w:pPr>
            <w:r>
              <w:rPr>
                <w:rFonts w:hint="eastAsia"/>
                <w:sz w:val="24"/>
              </w:rPr>
              <w:t>运营期应制定河道堤防工程管理的有关规章制度；加强河道巡视；组织堤防护岸工程维护岁修，消除隐患，维护工程完好，确保工程安全；汛期应严格按防汛要求进行河堤安全监管；当堤防工程发生重大险情和重大事故时，及时向上级主管部门请示报告和抢险</w:t>
            </w:r>
            <w:r>
              <w:rPr>
                <w:rFonts w:hint="eastAsia"/>
                <w:sz w:val="24"/>
                <w:szCs w:val="24"/>
                <w:lang w:val="en-US" w:eastAsia="zh-CN"/>
              </w:rPr>
              <w:t>。</w:t>
            </w:r>
          </w:p>
          <w:p w14:paraId="5A7623FF">
            <w:pPr>
              <w:numPr>
                <w:ilvl w:val="0"/>
                <w:numId w:val="0"/>
              </w:numPr>
              <w:spacing w:line="360" w:lineRule="auto"/>
              <w:ind w:leftChars="0" w:firstLine="480" w:firstLineChars="200"/>
              <w:rPr>
                <w:rFonts w:hint="eastAsia"/>
                <w:b/>
                <w:bCs/>
                <w:sz w:val="24"/>
                <w:szCs w:val="24"/>
                <w:lang w:val="en-US" w:eastAsia="zh-CN"/>
              </w:rPr>
            </w:pPr>
            <w:r>
              <w:rPr>
                <w:rFonts w:hint="eastAsia"/>
                <w:sz w:val="24"/>
                <w:szCs w:val="24"/>
                <w:lang w:val="en-US" w:eastAsia="zh-CN"/>
              </w:rPr>
              <w:t>5</w:t>
            </w:r>
            <w:r>
              <w:rPr>
                <w:rFonts w:hint="eastAsia"/>
                <w:b/>
                <w:bCs/>
                <w:sz w:val="24"/>
                <w:szCs w:val="24"/>
                <w:lang w:val="en-US" w:eastAsia="zh-CN"/>
              </w:rPr>
              <w:t>、总量控制结论</w:t>
            </w:r>
          </w:p>
          <w:p w14:paraId="7068BDD6">
            <w:pPr>
              <w:numPr>
                <w:ilvl w:val="0"/>
                <w:numId w:val="0"/>
              </w:numPr>
              <w:spacing w:line="360" w:lineRule="auto"/>
              <w:ind w:leftChars="0" w:firstLine="480" w:firstLineChars="200"/>
              <w:rPr>
                <w:rFonts w:hint="eastAsia"/>
                <w:sz w:val="24"/>
                <w:szCs w:val="24"/>
                <w:lang w:val="en-US" w:eastAsia="zh-CN"/>
              </w:rPr>
            </w:pPr>
            <w:r>
              <w:rPr>
                <w:rFonts w:hint="eastAsia"/>
                <w:sz w:val="24"/>
                <w:szCs w:val="24"/>
                <w:lang w:val="en-US" w:eastAsia="zh-CN"/>
              </w:rPr>
              <w:t>本项目为防洪及河湖整治工程，属非污染型生态项目，运营期间无污染物产生，因此本项目无总量控制指标。</w:t>
            </w:r>
          </w:p>
          <w:p w14:paraId="5C1D09AA">
            <w:pPr>
              <w:numPr>
                <w:ilvl w:val="0"/>
                <w:numId w:val="0"/>
              </w:numPr>
              <w:spacing w:line="360" w:lineRule="auto"/>
              <w:ind w:leftChars="0" w:firstLine="482" w:firstLineChars="200"/>
              <w:rPr>
                <w:rFonts w:ascii="宋体" w:hAnsi="宋体" w:eastAsia="宋体" w:cs="宋体"/>
                <w:b/>
                <w:bCs/>
                <w:sz w:val="24"/>
                <w:szCs w:val="24"/>
              </w:rPr>
            </w:pPr>
            <w:r>
              <w:rPr>
                <w:rFonts w:hint="eastAsia" w:ascii="宋体" w:hAnsi="宋体" w:cs="宋体"/>
                <w:b/>
                <w:bCs/>
                <w:sz w:val="24"/>
                <w:szCs w:val="24"/>
                <w:lang w:val="en-US" w:eastAsia="zh-CN"/>
              </w:rPr>
              <w:t>6</w:t>
            </w:r>
            <w:r>
              <w:rPr>
                <w:rFonts w:ascii="宋体" w:hAnsi="宋体" w:eastAsia="宋体" w:cs="宋体"/>
                <w:b/>
                <w:bCs/>
                <w:sz w:val="24"/>
                <w:szCs w:val="24"/>
              </w:rPr>
              <w:t>、本项目环境可行性结论</w:t>
            </w:r>
          </w:p>
          <w:p w14:paraId="5B6D2FE2">
            <w:pPr>
              <w:numPr>
                <w:ilvl w:val="0"/>
                <w:numId w:val="0"/>
              </w:numPr>
              <w:spacing w:line="360" w:lineRule="auto"/>
              <w:ind w:leftChars="0" w:firstLine="480" w:firstLineChars="200"/>
            </w:pPr>
            <w:r>
              <w:rPr>
                <w:rFonts w:hint="eastAsia" w:ascii="宋体" w:cs="宋体"/>
                <w:sz w:val="24"/>
              </w:rPr>
              <w:t>本项目符合国家产业政策和相关规划，符合“三线一单”要求，选址选线合理，无明显制约因素。本工程属于生态影响类建设项目，工程建设对环境的不利影响主要是施工期土地占用、动植物及其生境破坏、水土流失等生态环境影响，以及施工扬尘、施工噪声、施工废水、施工固废等污染影响。通过采取环评提出的各项保护措施和要求后，施工期的不利环境影响可以得到有效消除或减缓。从环境保护角度分析，本工程的建设是可行的。本工程建设有利于完善金堂县北河、沱江沿线的防洪、排涝体系，保障防洪安全，改善生态环境</w:t>
            </w:r>
            <w:r>
              <w:rPr>
                <w:rFonts w:hint="eastAsia"/>
                <w:sz w:val="24"/>
                <w:szCs w:val="24"/>
                <w:lang w:val="en-US" w:eastAsia="zh-CN"/>
              </w:rPr>
              <w:t>。</w:t>
            </w:r>
          </w:p>
        </w:tc>
      </w:tr>
      <w:tr w14:paraId="04FFED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0" w:hRule="atLeast"/>
          <w:jc w:val="center"/>
        </w:trPr>
        <w:tc>
          <w:tcPr>
            <w:tcW w:w="8720" w:type="dxa"/>
          </w:tcPr>
          <w:p w14:paraId="6169BE15">
            <w:pPr>
              <w:keepNext w:val="0"/>
              <w:keepLines w:val="0"/>
              <w:pageBreakBefore w:val="0"/>
              <w:widowControl w:val="0"/>
              <w:kinsoku/>
              <w:wordWrap/>
              <w:overflowPunct/>
              <w:topLinePunct w:val="0"/>
              <w:autoSpaceDE/>
              <w:autoSpaceDN/>
              <w:bidi w:val="0"/>
              <w:adjustRightInd/>
              <w:snapToGrid/>
              <w:spacing w:line="360" w:lineRule="auto"/>
              <w:ind w:firstLine="241"/>
              <w:textAlignment w:val="auto"/>
              <w:outlineLvl w:val="0"/>
              <w:rPr>
                <w:b/>
                <w:sz w:val="24"/>
                <w:szCs w:val="24"/>
              </w:rPr>
            </w:pPr>
            <w:bookmarkStart w:id="151" w:name="_Toc165483457"/>
            <w:bookmarkStart w:id="152" w:name="_Toc25193"/>
            <w:r>
              <w:rPr>
                <w:b/>
                <w:sz w:val="24"/>
                <w:szCs w:val="24"/>
              </w:rPr>
              <w:t>环境影响评价文件批复意见</w:t>
            </w:r>
            <w:bookmarkEnd w:id="151"/>
            <w:bookmarkEnd w:id="152"/>
          </w:p>
          <w:p w14:paraId="30AE08EA">
            <w:pPr>
              <w:pStyle w:val="28"/>
              <w:keepNext w:val="0"/>
              <w:keepLines w:val="0"/>
              <w:pageBreakBefore w:val="0"/>
              <w:widowControl w:val="0"/>
              <w:kinsoku/>
              <w:wordWrap/>
              <w:overflowPunct/>
              <w:topLinePunct w:val="0"/>
              <w:autoSpaceDE/>
              <w:autoSpaceDN/>
              <w:bidi w:val="0"/>
              <w:adjustRightInd/>
              <w:snapToGrid/>
              <w:spacing w:line="360" w:lineRule="auto"/>
              <w:ind w:firstLine="480" w:firstLineChars="200"/>
              <w:contextualSpacing/>
              <w:textAlignment w:val="auto"/>
              <w:rPr>
                <w:rFonts w:hint="default"/>
                <w:bCs/>
                <w:sz w:val="24"/>
                <w:szCs w:val="24"/>
              </w:rPr>
            </w:pPr>
            <w:bookmarkStart w:id="153" w:name="_Toc9729"/>
            <w:bookmarkStart w:id="154" w:name="_Toc13504"/>
            <w:bookmarkStart w:id="155" w:name="bookmark1"/>
            <w:bookmarkStart w:id="156" w:name="_Toc28081"/>
            <w:bookmarkStart w:id="157" w:name="_Toc20010"/>
            <w:r>
              <w:rPr>
                <w:rFonts w:hint="eastAsia"/>
                <w:bCs/>
                <w:sz w:val="24"/>
                <w:szCs w:val="24"/>
                <w:lang w:val="en-US" w:eastAsia="zh-CN"/>
              </w:rPr>
              <w:t>成都市金堂生态环境局</w:t>
            </w:r>
            <w:r>
              <w:rPr>
                <w:rFonts w:hint="default"/>
                <w:bCs/>
                <w:sz w:val="24"/>
                <w:szCs w:val="24"/>
              </w:rPr>
              <w:t>出具了《</w:t>
            </w:r>
            <w:r>
              <w:rPr>
                <w:bCs/>
                <w:sz w:val="24"/>
                <w:szCs w:val="24"/>
              </w:rPr>
              <w:t>关于</w:t>
            </w:r>
            <w:r>
              <w:rPr>
                <w:rFonts w:hint="eastAsia"/>
                <w:bCs/>
                <w:sz w:val="24"/>
                <w:szCs w:val="24"/>
              </w:rPr>
              <w:t>四川田岭涧生物科技发展有限公司四川省金堂县资水河防洪治理工程（二期）</w:t>
            </w:r>
            <w:r>
              <w:rPr>
                <w:bCs/>
                <w:sz w:val="24"/>
                <w:szCs w:val="24"/>
              </w:rPr>
              <w:t>环境影响报告表的</w:t>
            </w:r>
            <w:r>
              <w:rPr>
                <w:rFonts w:hint="eastAsia"/>
                <w:bCs/>
                <w:sz w:val="24"/>
                <w:szCs w:val="24"/>
                <w:lang w:val="en-US" w:eastAsia="zh-CN"/>
              </w:rPr>
              <w:t>审查</w:t>
            </w:r>
            <w:r>
              <w:rPr>
                <w:rFonts w:hint="default"/>
                <w:bCs/>
                <w:sz w:val="24"/>
                <w:szCs w:val="24"/>
              </w:rPr>
              <w:t>批复》（</w:t>
            </w:r>
            <w:r>
              <w:rPr>
                <w:rFonts w:hint="eastAsia"/>
                <w:bCs/>
                <w:sz w:val="24"/>
                <w:szCs w:val="24"/>
                <w:lang w:val="en-US" w:eastAsia="zh-CN"/>
              </w:rPr>
              <w:t>金环评审</w:t>
            </w:r>
            <w:r>
              <w:rPr>
                <w:bCs/>
                <w:sz w:val="24"/>
                <w:szCs w:val="24"/>
              </w:rPr>
              <w:t>〔202</w:t>
            </w:r>
            <w:r>
              <w:rPr>
                <w:rFonts w:hint="eastAsia"/>
                <w:bCs/>
                <w:sz w:val="24"/>
                <w:szCs w:val="24"/>
                <w:lang w:val="en-US" w:eastAsia="zh-CN"/>
              </w:rPr>
              <w:t>1</w:t>
            </w:r>
            <w:r>
              <w:rPr>
                <w:bCs/>
                <w:sz w:val="24"/>
                <w:szCs w:val="24"/>
              </w:rPr>
              <w:t>〕</w:t>
            </w:r>
            <w:r>
              <w:rPr>
                <w:rFonts w:hint="eastAsia"/>
                <w:bCs/>
                <w:sz w:val="24"/>
                <w:szCs w:val="24"/>
                <w:lang w:val="en-US" w:eastAsia="zh-CN"/>
              </w:rPr>
              <w:t>31</w:t>
            </w:r>
            <w:r>
              <w:rPr>
                <w:bCs/>
                <w:sz w:val="24"/>
                <w:szCs w:val="24"/>
              </w:rPr>
              <w:t>号</w:t>
            </w:r>
            <w:r>
              <w:rPr>
                <w:rFonts w:hint="default"/>
                <w:bCs/>
                <w:sz w:val="24"/>
                <w:szCs w:val="24"/>
              </w:rPr>
              <w:t>）主要内容如下：</w:t>
            </w:r>
          </w:p>
          <w:bookmarkEnd w:id="153"/>
          <w:bookmarkEnd w:id="154"/>
          <w:bookmarkEnd w:id="155"/>
          <w:bookmarkEnd w:id="156"/>
          <w:bookmarkEnd w:id="157"/>
          <w:p w14:paraId="1DB9BF90">
            <w:pPr>
              <w:pStyle w:val="28"/>
              <w:numPr>
                <w:ilvl w:val="0"/>
                <w:numId w:val="9"/>
              </w:numPr>
              <w:spacing w:line="360" w:lineRule="auto"/>
              <w:ind w:firstLine="480" w:firstLineChars="200"/>
              <w:contextualSpacing/>
              <w:rPr>
                <w:rFonts w:hint="eastAsia"/>
                <w:sz w:val="24"/>
                <w:szCs w:val="24"/>
                <w:lang w:val="en-US" w:eastAsia="zh-CN"/>
              </w:rPr>
            </w:pPr>
            <w:r>
              <w:rPr>
                <w:rFonts w:hint="eastAsia"/>
                <w:sz w:val="24"/>
                <w:szCs w:val="24"/>
                <w:lang w:val="en-US" w:eastAsia="zh-CN"/>
              </w:rPr>
              <w:t>建设内容</w:t>
            </w:r>
          </w:p>
          <w:p w14:paraId="1F98D852">
            <w:pPr>
              <w:pStyle w:val="28"/>
              <w:numPr>
                <w:ilvl w:val="0"/>
                <w:numId w:val="10"/>
              </w:numPr>
              <w:spacing w:line="360" w:lineRule="auto"/>
              <w:ind w:firstLine="480" w:firstLineChars="200"/>
              <w:contextualSpacing/>
              <w:rPr>
                <w:rFonts w:hint="default"/>
                <w:sz w:val="24"/>
                <w:szCs w:val="24"/>
              </w:rPr>
            </w:pPr>
            <w:r>
              <w:rPr>
                <w:rFonts w:hint="default"/>
                <w:sz w:val="24"/>
                <w:szCs w:val="24"/>
              </w:rPr>
              <w:t>主体建设为:新建护岸11963m，转龙镇6236m(资水河资中K0+000.00~资中K6+600.00段)，竹镇5727m(资水河资中K6+600.00~资中K11+500.00段)(分为21段)，护岸轴线布置基本沿河岸线布置，仅在有耕地的区域布置护岸工程不设防洪标准;水生态修复工程包括新建浅水区滨河湿地3.16hm</w:t>
            </w:r>
            <w:r>
              <w:rPr>
                <w:rFonts w:hint="eastAsia"/>
                <w:sz w:val="24"/>
                <w:szCs w:val="24"/>
                <w:vertAlign w:val="superscript"/>
                <w:lang w:val="en-US" w:eastAsia="zh-CN"/>
              </w:rPr>
              <w:t>2</w:t>
            </w:r>
            <w:r>
              <w:rPr>
                <w:rFonts w:hint="default"/>
                <w:sz w:val="24"/>
                <w:szCs w:val="24"/>
              </w:rPr>
              <w:t>，新建四处生态湿地节点，分为彭家沟生态湿地节点、资水河大桥生态湿地节点、神仙桥生态湿地节点、三绕生态湿地节点，主要内容包括梯田湿地11.17hm</w:t>
            </w:r>
            <w:r>
              <w:rPr>
                <w:rFonts w:hint="eastAsia"/>
                <w:sz w:val="24"/>
                <w:szCs w:val="24"/>
                <w:vertAlign w:val="superscript"/>
                <w:lang w:val="en-US" w:eastAsia="zh-CN"/>
              </w:rPr>
              <w:t>2</w:t>
            </w:r>
            <w:r>
              <w:rPr>
                <w:rFonts w:hint="default"/>
                <w:sz w:val="24"/>
                <w:szCs w:val="24"/>
              </w:rPr>
              <w:t>，垛田湿地3.99hm</w:t>
            </w:r>
            <w:r>
              <w:rPr>
                <w:rFonts w:hint="eastAsia"/>
                <w:sz w:val="24"/>
                <w:szCs w:val="24"/>
                <w:vertAlign w:val="superscript"/>
                <w:lang w:val="en-US" w:eastAsia="zh-CN"/>
              </w:rPr>
              <w:t>2</w:t>
            </w:r>
            <w:r>
              <w:rPr>
                <w:rFonts w:hint="default"/>
                <w:sz w:val="24"/>
                <w:szCs w:val="24"/>
              </w:rPr>
              <w:t>，生态隔离带 1.45hm</w:t>
            </w:r>
            <w:r>
              <w:rPr>
                <w:rFonts w:hint="eastAsia"/>
                <w:sz w:val="24"/>
                <w:szCs w:val="24"/>
                <w:vertAlign w:val="superscript"/>
                <w:lang w:val="en-US" w:eastAsia="zh-CN"/>
              </w:rPr>
              <w:t>2</w:t>
            </w:r>
            <w:r>
              <w:rPr>
                <w:rFonts w:hint="default"/>
                <w:sz w:val="24"/>
                <w:szCs w:val="24"/>
              </w:rPr>
              <w:t>，生产便道2.3km;项目无清淤疏浚工程。</w:t>
            </w:r>
          </w:p>
          <w:p w14:paraId="12D9C895">
            <w:pPr>
              <w:pStyle w:val="28"/>
              <w:numPr>
                <w:ilvl w:val="0"/>
                <w:numId w:val="10"/>
              </w:numPr>
              <w:spacing w:line="360" w:lineRule="auto"/>
              <w:ind w:firstLine="480" w:firstLineChars="200"/>
              <w:contextualSpacing/>
              <w:rPr>
                <w:rFonts w:hint="default"/>
                <w:sz w:val="24"/>
                <w:szCs w:val="24"/>
              </w:rPr>
            </w:pPr>
            <w:r>
              <w:rPr>
                <w:rFonts w:hint="default"/>
                <w:sz w:val="24"/>
                <w:szCs w:val="24"/>
              </w:rPr>
              <w:t>配套设施建设为:排涝工程、下河梯步、导流工程施工工区、临时道路、料场、弃渣场、土石方工程、施工供水施工供电、临时占地等</w:t>
            </w:r>
            <w:r>
              <w:rPr>
                <w:rFonts w:hint="eastAsia"/>
                <w:sz w:val="24"/>
                <w:szCs w:val="24"/>
                <w:lang w:eastAsia="zh-CN"/>
              </w:rPr>
              <w:t>。</w:t>
            </w:r>
          </w:p>
          <w:p w14:paraId="1A20C3D4">
            <w:pPr>
              <w:pStyle w:val="28"/>
              <w:numPr>
                <w:ilvl w:val="0"/>
                <w:numId w:val="10"/>
              </w:numPr>
              <w:spacing w:line="360" w:lineRule="auto"/>
              <w:ind w:firstLine="480" w:firstLineChars="200"/>
              <w:contextualSpacing/>
              <w:rPr>
                <w:rFonts w:hint="default"/>
                <w:sz w:val="24"/>
                <w:szCs w:val="24"/>
              </w:rPr>
            </w:pPr>
            <w:r>
              <w:rPr>
                <w:rFonts w:hint="default"/>
                <w:sz w:val="24"/>
                <w:szCs w:val="24"/>
              </w:rPr>
              <w:t>环保设施建设为</w:t>
            </w:r>
            <w:r>
              <w:rPr>
                <w:rFonts w:hint="eastAsia"/>
                <w:sz w:val="24"/>
                <w:szCs w:val="24"/>
                <w:lang w:eastAsia="zh-CN"/>
              </w:rPr>
              <w:t>：</w:t>
            </w:r>
            <w:r>
              <w:rPr>
                <w:rFonts w:hint="default"/>
                <w:sz w:val="24"/>
                <w:szCs w:val="24"/>
              </w:rPr>
              <w:t>隔油沉淀池等</w:t>
            </w:r>
            <w:r>
              <w:rPr>
                <w:rFonts w:hint="eastAsia"/>
                <w:sz w:val="24"/>
                <w:szCs w:val="24"/>
                <w:lang w:eastAsia="zh-CN"/>
              </w:rPr>
              <w:t>。</w:t>
            </w:r>
          </w:p>
          <w:p w14:paraId="77778045">
            <w:pPr>
              <w:pStyle w:val="28"/>
              <w:spacing w:line="360" w:lineRule="auto"/>
              <w:ind w:firstLine="480" w:firstLineChars="200"/>
              <w:contextualSpacing/>
              <w:rPr>
                <w:rFonts w:hint="default" w:eastAsia="宋体"/>
                <w:sz w:val="24"/>
                <w:szCs w:val="24"/>
                <w:lang w:val="en-US" w:eastAsia="zh-CN"/>
              </w:rPr>
            </w:pPr>
            <w:r>
              <w:rPr>
                <w:rFonts w:hint="default"/>
                <w:sz w:val="24"/>
                <w:szCs w:val="24"/>
              </w:rPr>
              <w:t>二、项目建设</w:t>
            </w:r>
            <w:r>
              <w:rPr>
                <w:rFonts w:hint="eastAsia"/>
                <w:sz w:val="24"/>
                <w:szCs w:val="24"/>
                <w:lang w:val="en-US" w:eastAsia="zh-CN"/>
              </w:rPr>
              <w:t>应重点做好以下工作：</w:t>
            </w:r>
          </w:p>
          <w:p w14:paraId="3E80C0A4">
            <w:pPr>
              <w:pStyle w:val="28"/>
              <w:spacing w:line="360" w:lineRule="auto"/>
              <w:ind w:firstLine="480" w:firstLineChars="200"/>
              <w:contextualSpacing/>
              <w:rPr>
                <w:rFonts w:hint="default"/>
                <w:sz w:val="24"/>
                <w:szCs w:val="24"/>
              </w:rPr>
            </w:pPr>
            <w:r>
              <w:rPr>
                <w:rFonts w:hint="default"/>
                <w:sz w:val="24"/>
                <w:szCs w:val="24"/>
              </w:rPr>
              <w:t>（一）施工期废水</w:t>
            </w:r>
            <w:r>
              <w:rPr>
                <w:rFonts w:hint="eastAsia"/>
                <w:sz w:val="24"/>
                <w:szCs w:val="24"/>
                <w:lang w:eastAsia="zh-CN"/>
              </w:rPr>
              <w:t>：</w:t>
            </w:r>
            <w:r>
              <w:rPr>
                <w:rFonts w:hint="default"/>
                <w:sz w:val="24"/>
                <w:szCs w:val="24"/>
              </w:rPr>
              <w:t>施工机械和车辆冲洗废水经隔油沉淀处理后回用于工地洒水降尘，不外排</w:t>
            </w:r>
            <w:r>
              <w:rPr>
                <w:rFonts w:hint="eastAsia"/>
                <w:sz w:val="24"/>
                <w:szCs w:val="24"/>
                <w:lang w:eastAsia="zh-CN"/>
              </w:rPr>
              <w:t>；</w:t>
            </w:r>
            <w:r>
              <w:rPr>
                <w:rFonts w:hint="default"/>
                <w:sz w:val="24"/>
                <w:szCs w:val="24"/>
              </w:rPr>
              <w:t>活污水依托当地已有的环卫设施进行收集处理。</w:t>
            </w:r>
          </w:p>
          <w:p w14:paraId="6C6B2ADE">
            <w:pPr>
              <w:pStyle w:val="28"/>
              <w:spacing w:line="360" w:lineRule="auto"/>
              <w:ind w:firstLine="480" w:firstLineChars="200"/>
              <w:contextualSpacing/>
              <w:rPr>
                <w:rFonts w:hint="default"/>
                <w:sz w:val="24"/>
                <w:szCs w:val="24"/>
              </w:rPr>
            </w:pPr>
            <w:r>
              <w:rPr>
                <w:rFonts w:hint="default"/>
                <w:sz w:val="24"/>
                <w:szCs w:val="24"/>
              </w:rPr>
              <w:t>（二）施工期废气</w:t>
            </w:r>
            <w:r>
              <w:rPr>
                <w:rFonts w:hint="eastAsia"/>
                <w:sz w:val="24"/>
                <w:szCs w:val="24"/>
                <w:lang w:eastAsia="zh-CN"/>
              </w:rPr>
              <w:t>：</w:t>
            </w:r>
            <w:r>
              <w:rPr>
                <w:rFonts w:hint="default"/>
                <w:sz w:val="24"/>
                <w:szCs w:val="24"/>
              </w:rPr>
              <w:t>封闭施工现场，以减少结构和装修过程中的粉尘飞扬现象，降低粉尘向大气中的排放;文明施工，定期对地面酒水，及时清运渣土，同时做到“六必须”“六不准”;进出车辆限速，运输道路尽量采用硬化路面并进行酒水，在施工场地出口放置防尘垫，运输车辆必须封盖严密，文明装卸，禁止在风天进行渣土作业，出场车辆清洗轮胎，保持路面清洁湿润以减少车辆产生的扬尘污染</w:t>
            </w:r>
            <w:r>
              <w:rPr>
                <w:sz w:val="24"/>
                <w:szCs w:val="24"/>
              </w:rPr>
              <w:t>。</w:t>
            </w:r>
          </w:p>
          <w:p w14:paraId="665877F0">
            <w:pPr>
              <w:pStyle w:val="28"/>
              <w:spacing w:line="360" w:lineRule="auto"/>
              <w:ind w:firstLine="480" w:firstLineChars="200"/>
              <w:contextualSpacing/>
              <w:rPr>
                <w:rFonts w:hint="default"/>
                <w:sz w:val="24"/>
                <w:szCs w:val="24"/>
              </w:rPr>
            </w:pPr>
            <w:r>
              <w:rPr>
                <w:rFonts w:hint="default"/>
                <w:sz w:val="24"/>
                <w:szCs w:val="24"/>
              </w:rPr>
              <w:t>（三）施工期噪声</w:t>
            </w:r>
            <w:r>
              <w:rPr>
                <w:rFonts w:hint="eastAsia"/>
                <w:sz w:val="24"/>
                <w:szCs w:val="24"/>
                <w:lang w:eastAsia="zh-CN"/>
              </w:rPr>
              <w:t>：</w:t>
            </w:r>
            <w:r>
              <w:rPr>
                <w:rFonts w:hint="default"/>
                <w:sz w:val="24"/>
                <w:szCs w:val="24"/>
              </w:rPr>
              <w:t>合理布置施工场地，选用优质低噪设备，落实有效的隔声减振措施</w:t>
            </w:r>
            <w:r>
              <w:rPr>
                <w:rFonts w:hint="eastAsia"/>
                <w:sz w:val="24"/>
                <w:szCs w:val="24"/>
                <w:lang w:eastAsia="zh-CN"/>
              </w:rPr>
              <w:t>；</w:t>
            </w:r>
            <w:r>
              <w:rPr>
                <w:rFonts w:hint="default"/>
                <w:sz w:val="24"/>
                <w:szCs w:val="24"/>
              </w:rPr>
              <w:t>合理安排施工时间，将强噪声作业尽量安排在白天进行，文明施工，装卸、搬运材料等严禁抛掷，最大限度降低人为噪声，确保噪声达标排放。</w:t>
            </w:r>
          </w:p>
          <w:p w14:paraId="0B153A02">
            <w:pPr>
              <w:pStyle w:val="28"/>
              <w:spacing w:line="360" w:lineRule="auto"/>
              <w:ind w:firstLine="480" w:firstLineChars="200"/>
              <w:contextualSpacing/>
              <w:rPr>
                <w:rFonts w:hint="eastAsia"/>
                <w:sz w:val="24"/>
                <w:szCs w:val="24"/>
                <w:lang w:eastAsia="zh-CN"/>
              </w:rPr>
            </w:pPr>
            <w:r>
              <w:rPr>
                <w:rFonts w:hint="default"/>
                <w:sz w:val="24"/>
                <w:szCs w:val="24"/>
              </w:rPr>
              <w:t>（四）</w:t>
            </w:r>
            <w:r>
              <w:rPr>
                <w:rFonts w:hint="eastAsia"/>
                <w:sz w:val="24"/>
                <w:szCs w:val="24"/>
              </w:rPr>
              <w:t>施工现场废物及垃圾处理</w:t>
            </w:r>
            <w:r>
              <w:rPr>
                <w:rFonts w:hint="eastAsia"/>
                <w:sz w:val="24"/>
                <w:szCs w:val="24"/>
                <w:lang w:eastAsia="zh-CN"/>
              </w:rPr>
              <w:t>：</w:t>
            </w:r>
            <w:r>
              <w:rPr>
                <w:rFonts w:hint="eastAsia"/>
                <w:sz w:val="24"/>
                <w:szCs w:val="24"/>
              </w:rPr>
              <w:t>弃方运至回填区用作线低洼地带回填和耕地恢复、绿化造地用土使用</w:t>
            </w:r>
            <w:r>
              <w:rPr>
                <w:rFonts w:hint="eastAsia"/>
                <w:sz w:val="24"/>
                <w:szCs w:val="24"/>
                <w:lang w:eastAsia="zh-CN"/>
              </w:rPr>
              <w:t>；</w:t>
            </w:r>
            <w:r>
              <w:rPr>
                <w:rFonts w:hint="eastAsia"/>
                <w:sz w:val="24"/>
                <w:szCs w:val="24"/>
              </w:rPr>
              <w:t>钢材、木材等下角料分类回收，交废物收购站处理，不能回收的建筑垃圾清运到指定的倾倒地点处理</w:t>
            </w:r>
            <w:r>
              <w:rPr>
                <w:rFonts w:hint="eastAsia"/>
                <w:sz w:val="24"/>
                <w:szCs w:val="24"/>
                <w:lang w:eastAsia="zh-CN"/>
              </w:rPr>
              <w:t>；</w:t>
            </w:r>
            <w:r>
              <w:rPr>
                <w:rFonts w:hint="eastAsia"/>
                <w:sz w:val="24"/>
                <w:szCs w:val="24"/>
              </w:rPr>
              <w:t>生活垃圾交由环卫部门统一清运处理。在施工现场设置建渣临时堆场(树立标示牌)并进行防雨防泄漏处理。</w:t>
            </w:r>
          </w:p>
          <w:p w14:paraId="50F5E931">
            <w:pPr>
              <w:numPr>
                <w:ilvl w:val="0"/>
                <w:numId w:val="0"/>
              </w:numPr>
              <w:spacing w:line="360" w:lineRule="auto"/>
              <w:ind w:firstLine="480" w:firstLineChars="200"/>
              <w:outlineLvl w:val="0"/>
              <w:rPr>
                <w:sz w:val="24"/>
                <w:szCs w:val="24"/>
              </w:rPr>
            </w:pPr>
            <w:bookmarkStart w:id="158" w:name="_Toc165483458"/>
            <w:bookmarkStart w:id="159" w:name="_Toc29379"/>
            <w:r>
              <w:rPr>
                <w:rFonts w:hint="eastAsia"/>
                <w:sz w:val="24"/>
                <w:szCs w:val="24"/>
                <w:lang w:val="en-US" w:eastAsia="zh-CN"/>
              </w:rPr>
              <w:t>详见环评批复</w:t>
            </w:r>
            <w:r>
              <w:rPr>
                <w:sz w:val="24"/>
                <w:szCs w:val="24"/>
              </w:rPr>
              <w:t>。</w:t>
            </w:r>
            <w:bookmarkEnd w:id="158"/>
            <w:bookmarkEnd w:id="159"/>
          </w:p>
          <w:p w14:paraId="0FF2EC29">
            <w:pPr>
              <w:pStyle w:val="8"/>
              <w:widowControl w:val="0"/>
              <w:numPr>
                <w:ilvl w:val="0"/>
                <w:numId w:val="0"/>
              </w:numPr>
              <w:jc w:val="both"/>
            </w:pPr>
          </w:p>
          <w:p w14:paraId="307DD0E3">
            <w:pPr>
              <w:pStyle w:val="8"/>
              <w:widowControl w:val="0"/>
              <w:numPr>
                <w:ilvl w:val="0"/>
                <w:numId w:val="0"/>
              </w:numPr>
              <w:jc w:val="both"/>
            </w:pPr>
          </w:p>
          <w:p w14:paraId="63CC93D4">
            <w:pPr>
              <w:pStyle w:val="8"/>
              <w:widowControl w:val="0"/>
              <w:numPr>
                <w:ilvl w:val="0"/>
                <w:numId w:val="0"/>
              </w:numPr>
              <w:jc w:val="both"/>
            </w:pPr>
          </w:p>
          <w:p w14:paraId="7815801D">
            <w:pPr>
              <w:pStyle w:val="8"/>
              <w:widowControl w:val="0"/>
              <w:numPr>
                <w:ilvl w:val="0"/>
                <w:numId w:val="0"/>
              </w:numPr>
              <w:jc w:val="both"/>
            </w:pPr>
          </w:p>
          <w:p w14:paraId="47017732">
            <w:pPr>
              <w:pStyle w:val="8"/>
              <w:widowControl w:val="0"/>
              <w:numPr>
                <w:ilvl w:val="0"/>
                <w:numId w:val="0"/>
              </w:numPr>
              <w:jc w:val="both"/>
            </w:pPr>
          </w:p>
          <w:p w14:paraId="705BA4DB">
            <w:pPr>
              <w:pStyle w:val="8"/>
              <w:widowControl w:val="0"/>
              <w:numPr>
                <w:ilvl w:val="0"/>
                <w:numId w:val="0"/>
              </w:numPr>
              <w:jc w:val="both"/>
            </w:pPr>
          </w:p>
          <w:p w14:paraId="10EDBA1C">
            <w:pPr>
              <w:pStyle w:val="8"/>
              <w:widowControl w:val="0"/>
              <w:numPr>
                <w:ilvl w:val="0"/>
                <w:numId w:val="0"/>
              </w:numPr>
              <w:jc w:val="both"/>
            </w:pPr>
          </w:p>
          <w:p w14:paraId="1763FABC">
            <w:pPr>
              <w:pStyle w:val="8"/>
              <w:widowControl w:val="0"/>
              <w:numPr>
                <w:ilvl w:val="0"/>
                <w:numId w:val="0"/>
              </w:numPr>
              <w:jc w:val="both"/>
            </w:pPr>
          </w:p>
          <w:p w14:paraId="7281DCFF">
            <w:pPr>
              <w:pStyle w:val="8"/>
              <w:widowControl w:val="0"/>
              <w:numPr>
                <w:ilvl w:val="0"/>
                <w:numId w:val="0"/>
              </w:numPr>
              <w:jc w:val="both"/>
            </w:pPr>
          </w:p>
          <w:p w14:paraId="02B297A2">
            <w:pPr>
              <w:pStyle w:val="8"/>
              <w:widowControl w:val="0"/>
              <w:numPr>
                <w:ilvl w:val="0"/>
                <w:numId w:val="0"/>
              </w:numPr>
              <w:jc w:val="both"/>
            </w:pPr>
          </w:p>
          <w:p w14:paraId="098C25FB">
            <w:pPr>
              <w:pStyle w:val="8"/>
              <w:widowControl w:val="0"/>
              <w:numPr>
                <w:ilvl w:val="0"/>
                <w:numId w:val="0"/>
              </w:numPr>
              <w:jc w:val="both"/>
            </w:pPr>
          </w:p>
          <w:p w14:paraId="4E5E557E">
            <w:pPr>
              <w:pStyle w:val="8"/>
              <w:widowControl w:val="0"/>
              <w:numPr>
                <w:ilvl w:val="0"/>
                <w:numId w:val="0"/>
              </w:numPr>
              <w:jc w:val="both"/>
            </w:pPr>
          </w:p>
          <w:p w14:paraId="75AC4165">
            <w:pPr>
              <w:pStyle w:val="8"/>
              <w:widowControl w:val="0"/>
              <w:numPr>
                <w:ilvl w:val="0"/>
                <w:numId w:val="0"/>
              </w:numPr>
              <w:jc w:val="both"/>
            </w:pPr>
          </w:p>
          <w:p w14:paraId="0C47DACC">
            <w:pPr>
              <w:pStyle w:val="8"/>
              <w:widowControl w:val="0"/>
              <w:numPr>
                <w:ilvl w:val="0"/>
                <w:numId w:val="0"/>
              </w:numPr>
              <w:jc w:val="both"/>
            </w:pPr>
          </w:p>
          <w:p w14:paraId="69F9F933">
            <w:pPr>
              <w:pStyle w:val="8"/>
              <w:widowControl w:val="0"/>
              <w:numPr>
                <w:ilvl w:val="0"/>
                <w:numId w:val="0"/>
              </w:numPr>
              <w:jc w:val="both"/>
            </w:pPr>
          </w:p>
          <w:p w14:paraId="5267502B">
            <w:pPr>
              <w:pStyle w:val="8"/>
              <w:widowControl w:val="0"/>
              <w:numPr>
                <w:ilvl w:val="0"/>
                <w:numId w:val="0"/>
              </w:numPr>
              <w:jc w:val="both"/>
            </w:pPr>
          </w:p>
          <w:p w14:paraId="176D452F">
            <w:pPr>
              <w:pStyle w:val="8"/>
              <w:widowControl w:val="0"/>
              <w:numPr>
                <w:ilvl w:val="0"/>
                <w:numId w:val="0"/>
              </w:numPr>
              <w:jc w:val="both"/>
            </w:pPr>
          </w:p>
          <w:p w14:paraId="67A12842">
            <w:pPr>
              <w:pStyle w:val="8"/>
              <w:widowControl w:val="0"/>
              <w:numPr>
                <w:ilvl w:val="0"/>
                <w:numId w:val="0"/>
              </w:numPr>
              <w:jc w:val="both"/>
            </w:pPr>
          </w:p>
          <w:p w14:paraId="2C01E2CC">
            <w:pPr>
              <w:pStyle w:val="8"/>
              <w:widowControl w:val="0"/>
              <w:numPr>
                <w:ilvl w:val="0"/>
                <w:numId w:val="0"/>
              </w:numPr>
              <w:jc w:val="both"/>
            </w:pPr>
          </w:p>
          <w:p w14:paraId="05DD7CDE">
            <w:pPr>
              <w:pStyle w:val="8"/>
              <w:widowControl w:val="0"/>
              <w:numPr>
                <w:ilvl w:val="0"/>
                <w:numId w:val="0"/>
              </w:numPr>
              <w:jc w:val="both"/>
            </w:pPr>
          </w:p>
          <w:p w14:paraId="09D44EC7">
            <w:pPr>
              <w:pStyle w:val="8"/>
              <w:widowControl w:val="0"/>
              <w:numPr>
                <w:ilvl w:val="0"/>
                <w:numId w:val="0"/>
              </w:numPr>
              <w:jc w:val="both"/>
            </w:pPr>
          </w:p>
          <w:p w14:paraId="5F0FD399">
            <w:pPr>
              <w:pStyle w:val="8"/>
              <w:widowControl w:val="0"/>
              <w:numPr>
                <w:ilvl w:val="0"/>
                <w:numId w:val="0"/>
              </w:numPr>
              <w:jc w:val="both"/>
            </w:pPr>
          </w:p>
        </w:tc>
      </w:tr>
    </w:tbl>
    <w:p w14:paraId="693B5C52">
      <w:pPr>
        <w:spacing w:line="360" w:lineRule="auto"/>
        <w:ind w:firstLine="281"/>
        <w:rPr>
          <w:b/>
          <w:sz w:val="28"/>
        </w:rPr>
      </w:pPr>
    </w:p>
    <w:p w14:paraId="2551A8BB">
      <w:pPr>
        <w:pStyle w:val="19"/>
        <w:ind w:left="0" w:leftChars="0" w:firstLine="240"/>
        <w:sectPr>
          <w:footerReference r:id="rId4" w:type="default"/>
          <w:pgSz w:w="11906" w:h="16838"/>
          <w:pgMar w:top="1440" w:right="1701" w:bottom="1440" w:left="1701" w:header="851" w:footer="992" w:gutter="0"/>
          <w:pgBorders>
            <w:top w:val="none" w:sz="0" w:space="0"/>
            <w:left w:val="none" w:sz="0" w:space="0"/>
            <w:bottom w:val="none" w:sz="0" w:space="0"/>
            <w:right w:val="none" w:sz="0" w:space="0"/>
          </w:pgBorders>
          <w:cols w:space="0" w:num="1"/>
          <w:docGrid w:type="lines" w:linePitch="312" w:charSpace="0"/>
        </w:sectPr>
      </w:pPr>
    </w:p>
    <w:p w14:paraId="57010A88">
      <w:pPr>
        <w:spacing w:line="360" w:lineRule="auto"/>
        <w:ind w:firstLine="281"/>
        <w:outlineLvl w:val="0"/>
        <w:rPr>
          <w:b/>
          <w:sz w:val="28"/>
        </w:rPr>
      </w:pPr>
      <w:bookmarkStart w:id="160" w:name="_Toc8709"/>
      <w:r>
        <w:rPr>
          <w:b/>
          <w:sz w:val="28"/>
        </w:rPr>
        <w:t>表六、环境保护设施、环境保护措施落实情况</w:t>
      </w:r>
      <w:bookmarkEnd w:id="160"/>
    </w:p>
    <w:p w14:paraId="48C2D9D6">
      <w:pPr>
        <w:pStyle w:val="97"/>
        <w:ind w:firstLine="0" w:firstLineChars="0"/>
        <w:jc w:val="center"/>
        <w:rPr>
          <w:color w:val="auto"/>
        </w:rPr>
      </w:pPr>
      <w:r>
        <w:rPr>
          <w:rFonts w:hint="eastAsia"/>
          <w:b/>
          <w:bCs w:val="0"/>
          <w:color w:val="auto"/>
        </w:rPr>
        <w:t>表6-1   环评文件中提出的环保措施落实情况</w:t>
      </w:r>
    </w:p>
    <w:tbl>
      <w:tblPr>
        <w:tblStyle w:val="33"/>
        <w:tblW w:w="1478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68"/>
        <w:gridCol w:w="1080"/>
        <w:gridCol w:w="6219"/>
        <w:gridCol w:w="6821"/>
      </w:tblGrid>
      <w:tr w14:paraId="671C3A1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Ex>
        <w:trPr>
          <w:trHeight w:val="454" w:hRule="atLeast"/>
          <w:jc w:val="center"/>
        </w:trPr>
        <w:tc>
          <w:tcPr>
            <w:tcW w:w="1748" w:type="dxa"/>
            <w:gridSpan w:val="2"/>
            <w:tcBorders>
              <w:tl2br w:val="single" w:color="auto" w:sz="4" w:space="0"/>
            </w:tcBorders>
            <w:vAlign w:val="center"/>
          </w:tcPr>
          <w:p w14:paraId="5E5DBBBF">
            <w:pPr>
              <w:ind w:firstLine="632" w:firstLineChars="300"/>
              <w:rPr>
                <w:b/>
                <w:szCs w:val="21"/>
              </w:rPr>
            </w:pPr>
            <w:r>
              <w:rPr>
                <w:b/>
                <w:szCs w:val="21"/>
              </w:rPr>
              <w:t>项目</w:t>
            </w:r>
          </w:p>
          <w:p w14:paraId="4CF87603">
            <w:pPr>
              <w:ind w:firstLine="211"/>
              <w:rPr>
                <w:b/>
                <w:szCs w:val="21"/>
              </w:rPr>
            </w:pPr>
            <w:r>
              <w:rPr>
                <w:b/>
                <w:szCs w:val="21"/>
              </w:rPr>
              <w:t>阶段</w:t>
            </w:r>
          </w:p>
        </w:tc>
        <w:tc>
          <w:tcPr>
            <w:tcW w:w="6219" w:type="dxa"/>
            <w:vAlign w:val="center"/>
          </w:tcPr>
          <w:p w14:paraId="72D432F2">
            <w:pPr>
              <w:widowControl/>
              <w:ind w:firstLine="211"/>
              <w:jc w:val="center"/>
              <w:rPr>
                <w:b/>
                <w:szCs w:val="21"/>
              </w:rPr>
            </w:pPr>
            <w:r>
              <w:rPr>
                <w:b/>
                <w:szCs w:val="21"/>
              </w:rPr>
              <w:t>环境影响报告表及审批文件中要求的环保措施</w:t>
            </w:r>
          </w:p>
        </w:tc>
        <w:tc>
          <w:tcPr>
            <w:tcW w:w="6821" w:type="dxa"/>
            <w:vAlign w:val="center"/>
          </w:tcPr>
          <w:p w14:paraId="51B3504B">
            <w:pPr>
              <w:ind w:firstLine="175"/>
              <w:jc w:val="center"/>
              <w:rPr>
                <w:b/>
                <w:szCs w:val="21"/>
              </w:rPr>
            </w:pPr>
            <w:r>
              <w:rPr>
                <w:b/>
                <w:spacing w:val="-6"/>
                <w:kern w:val="0"/>
                <w:sz w:val="18"/>
                <w:szCs w:val="18"/>
              </w:rPr>
              <w:t>环境保护设施、环境保护措施的落实情况，相关要求</w:t>
            </w:r>
            <w:r>
              <w:rPr>
                <w:rFonts w:hint="eastAsia"/>
                <w:b/>
                <w:spacing w:val="-6"/>
                <w:kern w:val="0"/>
                <w:sz w:val="18"/>
                <w:szCs w:val="18"/>
              </w:rPr>
              <w:t>未</w:t>
            </w:r>
            <w:r>
              <w:rPr>
                <w:b/>
                <w:spacing w:val="-6"/>
                <w:kern w:val="0"/>
                <w:sz w:val="18"/>
                <w:szCs w:val="18"/>
              </w:rPr>
              <w:t>落实的原因</w:t>
            </w:r>
          </w:p>
        </w:tc>
      </w:tr>
      <w:tr w14:paraId="6ED2D6F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902" w:hRule="atLeast"/>
          <w:jc w:val="center"/>
        </w:trPr>
        <w:tc>
          <w:tcPr>
            <w:tcW w:w="668" w:type="dxa"/>
            <w:vMerge w:val="restart"/>
            <w:vAlign w:val="center"/>
          </w:tcPr>
          <w:p w14:paraId="0CC8220E">
            <w:pPr>
              <w:ind w:firstLine="211"/>
              <w:jc w:val="center"/>
              <w:rPr>
                <w:b/>
                <w:szCs w:val="21"/>
              </w:rPr>
            </w:pPr>
            <w:r>
              <w:rPr>
                <w:b/>
                <w:szCs w:val="21"/>
              </w:rPr>
              <w:t>施</w:t>
            </w:r>
          </w:p>
          <w:p w14:paraId="74CF250F">
            <w:pPr>
              <w:ind w:firstLine="211"/>
              <w:jc w:val="center"/>
              <w:rPr>
                <w:b/>
                <w:szCs w:val="21"/>
              </w:rPr>
            </w:pPr>
            <w:r>
              <w:rPr>
                <w:b/>
                <w:szCs w:val="21"/>
              </w:rPr>
              <w:t>工</w:t>
            </w:r>
          </w:p>
          <w:p w14:paraId="49CDB692">
            <w:pPr>
              <w:ind w:firstLine="211"/>
              <w:jc w:val="center"/>
              <w:rPr>
                <w:b/>
                <w:szCs w:val="21"/>
              </w:rPr>
            </w:pPr>
            <w:r>
              <w:rPr>
                <w:b/>
                <w:szCs w:val="21"/>
              </w:rPr>
              <w:t>期</w:t>
            </w:r>
          </w:p>
        </w:tc>
        <w:tc>
          <w:tcPr>
            <w:tcW w:w="1080" w:type="dxa"/>
            <w:vAlign w:val="center"/>
          </w:tcPr>
          <w:p w14:paraId="73E1DE45">
            <w:pPr>
              <w:ind w:firstLine="211"/>
              <w:jc w:val="center"/>
              <w:rPr>
                <w:b/>
                <w:szCs w:val="21"/>
              </w:rPr>
            </w:pPr>
          </w:p>
          <w:p w14:paraId="6E006AF9">
            <w:pPr>
              <w:jc w:val="both"/>
              <w:rPr>
                <w:rFonts w:hint="default" w:eastAsia="宋体"/>
                <w:b/>
                <w:szCs w:val="21"/>
                <w:lang w:val="en-US" w:eastAsia="zh-CN"/>
              </w:rPr>
            </w:pPr>
            <w:r>
              <w:rPr>
                <w:rFonts w:hint="eastAsia"/>
                <w:b/>
                <w:szCs w:val="21"/>
                <w:lang w:val="en-US" w:eastAsia="zh-CN"/>
              </w:rPr>
              <w:t>废水防治措施</w:t>
            </w:r>
          </w:p>
        </w:tc>
        <w:tc>
          <w:tcPr>
            <w:tcW w:w="6219" w:type="dxa"/>
            <w:tcBorders>
              <w:bottom w:val="single" w:color="auto" w:sz="4" w:space="0"/>
            </w:tcBorders>
            <w:vAlign w:val="center"/>
          </w:tcPr>
          <w:p w14:paraId="3AD238F6">
            <w:pPr>
              <w:ind w:firstLine="210" w:firstLineChars="100"/>
              <w:jc w:val="left"/>
              <w:rPr>
                <w:rFonts w:hint="eastAsia" w:eastAsia="宋体"/>
                <w:bCs/>
                <w:szCs w:val="21"/>
                <w:lang w:eastAsia="zh-CN"/>
              </w:rPr>
            </w:pPr>
            <w:r>
              <w:rPr>
                <w:rFonts w:hint="eastAsia"/>
                <w:bCs/>
                <w:szCs w:val="21"/>
                <w:lang w:eastAsia="zh-CN"/>
              </w:rPr>
              <w:t>（</w:t>
            </w:r>
            <w:r>
              <w:rPr>
                <w:rFonts w:hint="eastAsia"/>
                <w:bCs/>
                <w:szCs w:val="21"/>
                <w:lang w:val="en-US" w:eastAsia="zh-CN"/>
              </w:rPr>
              <w:t>1</w:t>
            </w:r>
            <w:r>
              <w:rPr>
                <w:rFonts w:hint="eastAsia"/>
                <w:bCs/>
                <w:szCs w:val="21"/>
                <w:lang w:eastAsia="zh-CN"/>
              </w:rPr>
              <w:t>）施工废水：施工机械和车辆冲洗废水经隔油沉淀池处理后，回用于工地洒水降尘等综合利用，不外排</w:t>
            </w:r>
            <w:r>
              <w:rPr>
                <w:rFonts w:hint="eastAsia"/>
                <w:bCs/>
                <w:szCs w:val="21"/>
              </w:rPr>
              <w:t>；施工临时堆场远离河道设置，禁止建渣、废水排入河道</w:t>
            </w:r>
            <w:r>
              <w:rPr>
                <w:rFonts w:hint="eastAsia"/>
                <w:bCs/>
                <w:szCs w:val="21"/>
                <w:lang w:eastAsia="zh-CN"/>
              </w:rPr>
              <w:t>。</w:t>
            </w:r>
          </w:p>
          <w:p w14:paraId="2CAEEB1E">
            <w:pPr>
              <w:ind w:firstLine="210" w:firstLineChars="100"/>
              <w:jc w:val="left"/>
              <w:rPr>
                <w:bCs/>
                <w:szCs w:val="21"/>
              </w:rPr>
            </w:pPr>
            <w:r>
              <w:rPr>
                <w:rFonts w:hint="eastAsia"/>
                <w:bCs/>
                <w:szCs w:val="21"/>
              </w:rPr>
              <w:t>（2）生活污水：本项目租用当地民房作为施工临时办公场地，施工人员生活污水依托当地已有的环卫设施进行收集处理。</w:t>
            </w:r>
          </w:p>
        </w:tc>
        <w:tc>
          <w:tcPr>
            <w:tcW w:w="6821" w:type="dxa"/>
            <w:tcBorders>
              <w:bottom w:val="single" w:color="auto" w:sz="4" w:space="0"/>
            </w:tcBorders>
            <w:vAlign w:val="center"/>
          </w:tcPr>
          <w:p w14:paraId="04307AF6">
            <w:pPr>
              <w:pStyle w:val="107"/>
              <w:widowControl/>
              <w:adjustRightInd/>
              <w:spacing w:line="240" w:lineRule="auto"/>
              <w:ind w:firstLine="217"/>
              <w:jc w:val="both"/>
              <w:textAlignment w:val="auto"/>
              <w:rPr>
                <w:rFonts w:ascii="Times New Roman"/>
                <w:b/>
                <w:szCs w:val="21"/>
              </w:rPr>
            </w:pPr>
            <w:r>
              <w:rPr>
                <w:rFonts w:hint="eastAsia" w:ascii="Times New Roman"/>
                <w:b/>
                <w:szCs w:val="21"/>
                <w:lang w:val="en-US" w:eastAsia="zh-CN"/>
              </w:rPr>
              <w:t>经</w:t>
            </w:r>
            <w:r>
              <w:rPr>
                <w:rFonts w:hint="eastAsia" w:ascii="Times New Roman"/>
                <w:b/>
                <w:szCs w:val="21"/>
              </w:rPr>
              <w:t>走访施工单位及现场调查，相应环境保护措施已落实</w:t>
            </w:r>
            <w:r>
              <w:rPr>
                <w:rFonts w:ascii="Times New Roman"/>
                <w:b/>
                <w:szCs w:val="21"/>
              </w:rPr>
              <w:t>。</w:t>
            </w:r>
          </w:p>
          <w:p w14:paraId="294D0630">
            <w:pPr>
              <w:numPr>
                <w:ilvl w:val="0"/>
                <w:numId w:val="0"/>
              </w:numPr>
              <w:ind w:firstLine="420" w:firstLineChars="200"/>
              <w:jc w:val="left"/>
              <w:rPr>
                <w:rFonts w:hint="eastAsia" w:eastAsia="宋体"/>
                <w:bCs/>
                <w:szCs w:val="21"/>
                <w:lang w:val="en-US" w:eastAsia="zh-CN"/>
              </w:rPr>
            </w:pPr>
            <w:r>
              <w:rPr>
                <w:rFonts w:hint="eastAsia"/>
                <w:bCs/>
                <w:szCs w:val="21"/>
                <w:lang w:val="en-US" w:eastAsia="zh-CN"/>
              </w:rPr>
              <w:t>（1）修建有临时沉淀池，施工废水沉淀后回用</w:t>
            </w:r>
            <w:r>
              <w:rPr>
                <w:rFonts w:hint="eastAsia"/>
                <w:bCs/>
                <w:szCs w:val="21"/>
              </w:rPr>
              <w:t>，</w:t>
            </w:r>
            <w:r>
              <w:rPr>
                <w:rFonts w:hint="eastAsia"/>
                <w:bCs/>
                <w:szCs w:val="21"/>
                <w:lang w:val="en-US" w:eastAsia="zh-CN"/>
              </w:rPr>
              <w:t>未外排。施工</w:t>
            </w:r>
            <w:r>
              <w:rPr>
                <w:rFonts w:hint="eastAsia"/>
                <w:bCs/>
                <w:szCs w:val="21"/>
              </w:rPr>
              <w:t>建渣、废水</w:t>
            </w:r>
            <w:r>
              <w:rPr>
                <w:rFonts w:hint="eastAsia"/>
                <w:bCs/>
                <w:szCs w:val="21"/>
                <w:lang w:val="en-US" w:eastAsia="zh-CN"/>
              </w:rPr>
              <w:t>未</w:t>
            </w:r>
            <w:r>
              <w:rPr>
                <w:rFonts w:hint="eastAsia"/>
                <w:bCs/>
                <w:szCs w:val="21"/>
              </w:rPr>
              <w:t>排入河道</w:t>
            </w:r>
            <w:r>
              <w:rPr>
                <w:rFonts w:hint="eastAsia"/>
                <w:bCs/>
                <w:szCs w:val="21"/>
                <w:lang w:eastAsia="zh-CN"/>
              </w:rPr>
              <w:t>。</w:t>
            </w:r>
          </w:p>
          <w:p w14:paraId="294FA0A6">
            <w:pPr>
              <w:numPr>
                <w:ilvl w:val="0"/>
                <w:numId w:val="0"/>
              </w:numPr>
              <w:ind w:firstLine="420" w:firstLineChars="200"/>
              <w:jc w:val="left"/>
              <w:rPr>
                <w:bCs/>
                <w:szCs w:val="21"/>
              </w:rPr>
            </w:pPr>
            <w:r>
              <w:rPr>
                <w:rFonts w:hint="eastAsia"/>
                <w:bCs/>
                <w:szCs w:val="21"/>
                <w:lang w:eastAsia="zh-CN"/>
              </w:rPr>
              <w:t>（</w:t>
            </w:r>
            <w:r>
              <w:rPr>
                <w:rFonts w:hint="eastAsia"/>
                <w:bCs/>
                <w:szCs w:val="21"/>
                <w:lang w:val="en-US" w:eastAsia="zh-CN"/>
              </w:rPr>
              <w:t>2</w:t>
            </w:r>
            <w:r>
              <w:rPr>
                <w:rFonts w:hint="eastAsia"/>
                <w:bCs/>
                <w:szCs w:val="21"/>
                <w:lang w:eastAsia="zh-CN"/>
              </w:rPr>
              <w:t>）施工人员就近租用周边居民的房屋作为施工营地，其产生的生活污水排入所租用民房既有的卫生设施，</w:t>
            </w:r>
            <w:r>
              <w:rPr>
                <w:rFonts w:hint="eastAsia"/>
                <w:bCs/>
                <w:szCs w:val="21"/>
                <w:lang w:val="en-US" w:eastAsia="zh-CN"/>
              </w:rPr>
              <w:t>未</w:t>
            </w:r>
            <w:r>
              <w:rPr>
                <w:rFonts w:hint="eastAsia"/>
                <w:bCs/>
                <w:szCs w:val="21"/>
                <w:lang w:eastAsia="zh-CN"/>
              </w:rPr>
              <w:t>排入河流</w:t>
            </w:r>
            <w:r>
              <w:rPr>
                <w:rFonts w:hint="eastAsia"/>
                <w:bCs/>
                <w:szCs w:val="21"/>
              </w:rPr>
              <w:t>。</w:t>
            </w:r>
          </w:p>
        </w:tc>
      </w:tr>
      <w:tr w14:paraId="7806BB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79" w:hRule="atLeast"/>
          <w:jc w:val="center"/>
        </w:trPr>
        <w:tc>
          <w:tcPr>
            <w:tcW w:w="668" w:type="dxa"/>
            <w:vMerge w:val="continue"/>
            <w:vAlign w:val="center"/>
          </w:tcPr>
          <w:p w14:paraId="298ED48C">
            <w:pPr>
              <w:jc w:val="center"/>
              <w:rPr>
                <w:szCs w:val="21"/>
              </w:rPr>
            </w:pPr>
          </w:p>
        </w:tc>
        <w:tc>
          <w:tcPr>
            <w:tcW w:w="1080" w:type="dxa"/>
            <w:vMerge w:val="restart"/>
            <w:vAlign w:val="center"/>
          </w:tcPr>
          <w:p w14:paraId="18221B31">
            <w:pPr>
              <w:jc w:val="both"/>
              <w:rPr>
                <w:rFonts w:hint="default" w:eastAsia="宋体"/>
                <w:b/>
                <w:szCs w:val="21"/>
                <w:lang w:val="en-US" w:eastAsia="zh-CN"/>
              </w:rPr>
            </w:pPr>
            <w:r>
              <w:rPr>
                <w:rFonts w:hint="eastAsia"/>
                <w:b/>
                <w:szCs w:val="21"/>
                <w:lang w:val="en-US" w:eastAsia="zh-CN"/>
              </w:rPr>
              <w:t>废气防治措施</w:t>
            </w:r>
          </w:p>
        </w:tc>
        <w:tc>
          <w:tcPr>
            <w:tcW w:w="6219" w:type="dxa"/>
            <w:tcBorders>
              <w:bottom w:val="single" w:color="auto" w:sz="4" w:space="0"/>
            </w:tcBorders>
            <w:vAlign w:val="center"/>
          </w:tcPr>
          <w:p w14:paraId="6F79DF5E">
            <w:pPr>
              <w:widowControl/>
              <w:ind w:firstLine="211"/>
              <w:rPr>
                <w:rFonts w:hint="default" w:eastAsia="宋体"/>
                <w:szCs w:val="21"/>
                <w:lang w:val="en-US" w:eastAsia="zh-CN"/>
              </w:rPr>
            </w:pPr>
            <w:r>
              <w:rPr>
                <w:rFonts w:hint="eastAsia"/>
                <w:b/>
                <w:bCs/>
                <w:szCs w:val="21"/>
              </w:rPr>
              <w:t>1、</w:t>
            </w:r>
            <w:r>
              <w:rPr>
                <w:rFonts w:hint="eastAsia"/>
                <w:b/>
                <w:bCs/>
                <w:szCs w:val="21"/>
                <w:lang w:val="en-US" w:eastAsia="zh-CN"/>
              </w:rPr>
              <w:t>施工扬尘</w:t>
            </w:r>
          </w:p>
          <w:p w14:paraId="317B1EAC">
            <w:pPr>
              <w:ind w:firstLine="210" w:firstLineChars="100"/>
              <w:jc w:val="left"/>
              <w:rPr>
                <w:bCs/>
                <w:szCs w:val="21"/>
              </w:rPr>
            </w:pPr>
            <w:r>
              <w:rPr>
                <w:rFonts w:hint="eastAsia"/>
                <w:bCs/>
                <w:szCs w:val="21"/>
              </w:rPr>
              <w:t>敏感目标周边均应设置施工围挡</w:t>
            </w:r>
            <w:r>
              <w:rPr>
                <w:rFonts w:hint="eastAsia"/>
                <w:bCs/>
                <w:szCs w:val="21"/>
                <w:lang w:eastAsia="zh-CN"/>
              </w:rPr>
              <w:t>；</w:t>
            </w:r>
            <w:r>
              <w:rPr>
                <w:rFonts w:hint="eastAsia"/>
                <w:bCs/>
                <w:szCs w:val="21"/>
              </w:rPr>
              <w:t>科学施工、文明施工，洒水降尘；使用商品混凝土，禁止现场搅拌；施工场地内施工车辆限速行驶；进出口路面硬化、出入车辆冲洗、渣土车辆密闭运输；禁止在风天进行渣土堆放作业、临时堆场进行覆盖等</w:t>
            </w:r>
            <w:r>
              <w:rPr>
                <w:bCs/>
                <w:szCs w:val="21"/>
              </w:rPr>
              <w:t>。</w:t>
            </w:r>
          </w:p>
        </w:tc>
        <w:tc>
          <w:tcPr>
            <w:tcW w:w="6821" w:type="dxa"/>
            <w:tcBorders>
              <w:bottom w:val="single" w:color="auto" w:sz="4" w:space="0"/>
            </w:tcBorders>
            <w:vAlign w:val="center"/>
          </w:tcPr>
          <w:p w14:paraId="5B547A55">
            <w:pPr>
              <w:ind w:firstLine="422" w:firstLineChars="200"/>
              <w:rPr>
                <w:b/>
                <w:szCs w:val="21"/>
              </w:rPr>
            </w:pPr>
            <w:r>
              <w:rPr>
                <w:rFonts w:hint="eastAsia"/>
                <w:b/>
                <w:szCs w:val="21"/>
                <w:lang w:val="en-US" w:eastAsia="zh-CN"/>
              </w:rPr>
              <w:t>经</w:t>
            </w:r>
            <w:r>
              <w:rPr>
                <w:rFonts w:hint="eastAsia"/>
                <w:b/>
                <w:szCs w:val="21"/>
              </w:rPr>
              <w:t>走访施工单位及现场调查，相应环境保护措施</w:t>
            </w:r>
            <w:r>
              <w:rPr>
                <w:b/>
                <w:szCs w:val="21"/>
              </w:rPr>
              <w:t>已落实。</w:t>
            </w:r>
          </w:p>
          <w:p w14:paraId="13A68DBF">
            <w:pPr>
              <w:ind w:firstLine="420" w:firstLineChars="200"/>
              <w:jc w:val="left"/>
              <w:rPr>
                <w:rFonts w:hint="eastAsia"/>
                <w:bCs/>
                <w:szCs w:val="21"/>
              </w:rPr>
            </w:pPr>
            <w:r>
              <w:rPr>
                <w:rFonts w:hint="eastAsia"/>
                <w:bCs/>
                <w:szCs w:val="21"/>
              </w:rPr>
              <w:t>根据现场调查及走访施工单位，施工前制定了施工扬尘控制方案，施工期间，采取了湿法作业、打围施工，对道路进行洒水、清扫，同时作业处覆以防尘网，并在大风、干燥天气条件下适当增加了洒水次数，运输车辆严格按照施工方案规定的路线行驶，未穿越人口密集区，施工运输车辆车厢均采用覆盖篷布等措施，以防止撒漏；施工结束后及时清运了施工废弃物，现场调查期间未在施工区域内发现有施工废弃物。</w:t>
            </w:r>
          </w:p>
          <w:p w14:paraId="445E7DA3">
            <w:pPr>
              <w:ind w:firstLine="420" w:firstLineChars="200"/>
              <w:jc w:val="left"/>
              <w:rPr>
                <w:bCs/>
                <w:szCs w:val="21"/>
              </w:rPr>
            </w:pPr>
            <w:r>
              <w:rPr>
                <w:rFonts w:hint="eastAsia"/>
                <w:bCs/>
                <w:szCs w:val="21"/>
              </w:rPr>
              <w:t>项目施工未对周边环境产生明显影响，未收到相关环保投诉。</w:t>
            </w:r>
          </w:p>
        </w:tc>
      </w:tr>
      <w:tr w14:paraId="7546F8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38" w:hRule="atLeast"/>
          <w:jc w:val="center"/>
        </w:trPr>
        <w:tc>
          <w:tcPr>
            <w:tcW w:w="668" w:type="dxa"/>
            <w:vMerge w:val="continue"/>
            <w:vAlign w:val="center"/>
          </w:tcPr>
          <w:p w14:paraId="4D73B935">
            <w:pPr>
              <w:jc w:val="center"/>
              <w:rPr>
                <w:szCs w:val="21"/>
              </w:rPr>
            </w:pPr>
          </w:p>
        </w:tc>
        <w:tc>
          <w:tcPr>
            <w:tcW w:w="1080" w:type="dxa"/>
            <w:vMerge w:val="continue"/>
            <w:tcBorders>
              <w:bottom w:val="single" w:color="auto" w:sz="4" w:space="0"/>
            </w:tcBorders>
            <w:vAlign w:val="center"/>
          </w:tcPr>
          <w:p w14:paraId="1724919E">
            <w:pPr>
              <w:ind w:firstLine="211"/>
              <w:jc w:val="center"/>
              <w:rPr>
                <w:rFonts w:hint="eastAsia"/>
                <w:b/>
                <w:szCs w:val="21"/>
                <w:lang w:val="en-US" w:eastAsia="zh-CN"/>
              </w:rPr>
            </w:pPr>
          </w:p>
        </w:tc>
        <w:tc>
          <w:tcPr>
            <w:tcW w:w="6219" w:type="dxa"/>
            <w:tcBorders>
              <w:top w:val="single" w:color="auto" w:sz="4" w:space="0"/>
            </w:tcBorders>
            <w:vAlign w:val="center"/>
          </w:tcPr>
          <w:p w14:paraId="3028CBF0">
            <w:pPr>
              <w:numPr>
                <w:ilvl w:val="0"/>
                <w:numId w:val="0"/>
              </w:numPr>
              <w:jc w:val="left"/>
              <w:rPr>
                <w:rFonts w:hint="eastAsia"/>
                <w:bCs/>
                <w:szCs w:val="21"/>
                <w:lang w:val="en-US" w:eastAsia="zh-CN"/>
              </w:rPr>
            </w:pPr>
            <w:r>
              <w:rPr>
                <w:rFonts w:hint="eastAsia"/>
                <w:bCs/>
                <w:szCs w:val="21"/>
                <w:lang w:val="en-US" w:eastAsia="zh-CN"/>
              </w:rPr>
              <w:t>2、施工机械尾气</w:t>
            </w:r>
          </w:p>
          <w:p w14:paraId="1C3CD6C5">
            <w:pPr>
              <w:numPr>
                <w:ilvl w:val="0"/>
                <w:numId w:val="0"/>
              </w:numPr>
              <w:ind w:leftChars="200"/>
              <w:jc w:val="left"/>
              <w:rPr>
                <w:rFonts w:hint="default" w:eastAsia="宋体"/>
                <w:bCs/>
                <w:szCs w:val="21"/>
                <w:lang w:val="en-US" w:eastAsia="zh-CN"/>
              </w:rPr>
            </w:pPr>
            <w:r>
              <w:rPr>
                <w:rFonts w:hint="default" w:ascii="Times New Roman" w:hAnsi="Times New Roman" w:cs="Times New Roman"/>
                <w:bCs/>
                <w:color w:val="auto"/>
                <w:szCs w:val="21"/>
              </w:rPr>
              <w:t>施工作业时产生，间断排放</w:t>
            </w:r>
            <w:r>
              <w:rPr>
                <w:rFonts w:hint="default" w:ascii="Times New Roman" w:hAnsi="Times New Roman" w:cs="Times New Roman"/>
                <w:bCs/>
                <w:color w:val="auto"/>
                <w:szCs w:val="21"/>
                <w:lang w:eastAsia="zh-CN"/>
              </w:rPr>
              <w:t>、</w:t>
            </w:r>
            <w:r>
              <w:rPr>
                <w:rFonts w:hint="default" w:ascii="Times New Roman" w:hAnsi="Times New Roman" w:cs="Times New Roman"/>
                <w:bCs/>
                <w:color w:val="auto"/>
                <w:szCs w:val="21"/>
                <w:lang w:val="en-US" w:eastAsia="zh-CN"/>
              </w:rPr>
              <w:t>加强管理</w:t>
            </w:r>
          </w:p>
        </w:tc>
        <w:tc>
          <w:tcPr>
            <w:tcW w:w="6821" w:type="dxa"/>
            <w:tcBorders>
              <w:top w:val="single" w:color="auto" w:sz="4" w:space="0"/>
            </w:tcBorders>
            <w:vAlign w:val="center"/>
          </w:tcPr>
          <w:p w14:paraId="4F317DF5">
            <w:pPr>
              <w:ind w:firstLine="211" w:firstLineChars="100"/>
              <w:jc w:val="left"/>
              <w:rPr>
                <w:b/>
                <w:szCs w:val="21"/>
              </w:rPr>
            </w:pPr>
            <w:r>
              <w:rPr>
                <w:rFonts w:hint="eastAsia"/>
                <w:b/>
                <w:szCs w:val="21"/>
                <w:lang w:val="en-US" w:eastAsia="zh-CN"/>
              </w:rPr>
              <w:t>经</w:t>
            </w:r>
            <w:r>
              <w:rPr>
                <w:rFonts w:hint="eastAsia"/>
                <w:b/>
                <w:szCs w:val="21"/>
              </w:rPr>
              <w:t>走访施工单位及现场调查，相应环境保护措施</w:t>
            </w:r>
            <w:r>
              <w:rPr>
                <w:b/>
                <w:szCs w:val="21"/>
              </w:rPr>
              <w:t>已落实</w:t>
            </w:r>
          </w:p>
          <w:p w14:paraId="6FDB15F8">
            <w:pPr>
              <w:pStyle w:val="8"/>
              <w:rPr>
                <w:rFonts w:hint="default" w:eastAsia="宋体"/>
                <w:lang w:val="en-US" w:eastAsia="zh-CN"/>
              </w:rPr>
            </w:pPr>
            <w:r>
              <w:rPr>
                <w:rFonts w:hint="eastAsia"/>
                <w:lang w:val="en-US" w:eastAsia="zh-CN"/>
              </w:rPr>
              <w:t>选用符合标准的施工机械。</w:t>
            </w:r>
          </w:p>
        </w:tc>
      </w:tr>
      <w:tr w14:paraId="4EC3654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68" w:type="dxa"/>
            <w:vMerge w:val="continue"/>
            <w:vAlign w:val="center"/>
          </w:tcPr>
          <w:p w14:paraId="48109E5D">
            <w:pPr>
              <w:jc w:val="center"/>
              <w:rPr>
                <w:szCs w:val="21"/>
              </w:rPr>
            </w:pPr>
          </w:p>
        </w:tc>
        <w:tc>
          <w:tcPr>
            <w:tcW w:w="1080" w:type="dxa"/>
            <w:tcBorders>
              <w:top w:val="single" w:color="auto" w:sz="4" w:space="0"/>
              <w:bottom w:val="single" w:color="auto" w:sz="4" w:space="0"/>
            </w:tcBorders>
            <w:vAlign w:val="center"/>
          </w:tcPr>
          <w:p w14:paraId="1AA1F684">
            <w:pPr>
              <w:jc w:val="both"/>
              <w:rPr>
                <w:rFonts w:hint="default" w:eastAsia="宋体"/>
                <w:b/>
                <w:szCs w:val="21"/>
                <w:lang w:val="en-US" w:eastAsia="zh-CN"/>
              </w:rPr>
            </w:pPr>
            <w:r>
              <w:rPr>
                <w:rFonts w:hint="eastAsia"/>
                <w:b/>
                <w:szCs w:val="21"/>
                <w:lang w:val="en-US" w:eastAsia="zh-CN"/>
              </w:rPr>
              <w:t>噪声防治措施</w:t>
            </w:r>
          </w:p>
        </w:tc>
        <w:tc>
          <w:tcPr>
            <w:tcW w:w="6219" w:type="dxa"/>
            <w:vAlign w:val="center"/>
          </w:tcPr>
          <w:p w14:paraId="4F589299">
            <w:pPr>
              <w:ind w:firstLine="210" w:firstLineChars="100"/>
              <w:rPr>
                <w:bCs/>
                <w:szCs w:val="21"/>
              </w:rPr>
            </w:pPr>
            <w:r>
              <w:rPr>
                <w:rFonts w:hint="eastAsia"/>
                <w:bCs/>
                <w:szCs w:val="21"/>
              </w:rPr>
              <w:t>尽量选用低噪设备和工艺；加强设备维修保养；合理进行施工总平布置；合理安排作业时间，禁止夜间违法施工；合理安排运输路线和时间；靠近噪声敏感点的打围作业；合理安排工期，尽量缩短工期。</w:t>
            </w:r>
          </w:p>
        </w:tc>
        <w:tc>
          <w:tcPr>
            <w:tcW w:w="6821" w:type="dxa"/>
            <w:vAlign w:val="center"/>
          </w:tcPr>
          <w:p w14:paraId="631243E4">
            <w:pPr>
              <w:ind w:firstLine="420" w:firstLineChars="200"/>
              <w:rPr>
                <w:szCs w:val="21"/>
              </w:rPr>
            </w:pPr>
            <w:r>
              <w:rPr>
                <w:rFonts w:hint="eastAsia"/>
                <w:bCs/>
                <w:szCs w:val="21"/>
              </w:rPr>
              <w:t>根据现场调查及走访施工单位，施工设备选择了低噪声设备，并定期对设备进行了维护和保养，施工期间施工单位合理安排了施工时间，施工活动集中在昼间进行，夜间未施工，避免了施工噪声对周边的居民的影响，施工期间未发生项目噪声扰民及相关环保投诉。</w:t>
            </w:r>
          </w:p>
        </w:tc>
      </w:tr>
      <w:tr w14:paraId="5996ED9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229" w:hRule="atLeast"/>
          <w:jc w:val="center"/>
        </w:trPr>
        <w:tc>
          <w:tcPr>
            <w:tcW w:w="668" w:type="dxa"/>
            <w:vMerge w:val="continue"/>
            <w:vAlign w:val="center"/>
          </w:tcPr>
          <w:p w14:paraId="3910703D">
            <w:pPr>
              <w:jc w:val="center"/>
              <w:rPr>
                <w:szCs w:val="21"/>
              </w:rPr>
            </w:pPr>
          </w:p>
        </w:tc>
        <w:tc>
          <w:tcPr>
            <w:tcW w:w="1080" w:type="dxa"/>
            <w:tcBorders>
              <w:top w:val="single" w:color="auto" w:sz="4" w:space="0"/>
              <w:bottom w:val="single" w:color="auto" w:sz="4" w:space="0"/>
            </w:tcBorders>
            <w:vAlign w:val="center"/>
          </w:tcPr>
          <w:p w14:paraId="46AEB724">
            <w:pPr>
              <w:jc w:val="both"/>
              <w:rPr>
                <w:rFonts w:hint="default" w:eastAsia="宋体"/>
                <w:b/>
                <w:szCs w:val="21"/>
                <w:lang w:val="en-US" w:eastAsia="zh-CN"/>
              </w:rPr>
            </w:pPr>
            <w:r>
              <w:rPr>
                <w:rFonts w:hint="eastAsia"/>
                <w:b/>
                <w:szCs w:val="21"/>
                <w:lang w:val="en-US" w:eastAsia="zh-CN"/>
              </w:rPr>
              <w:t>固废防治措施</w:t>
            </w:r>
          </w:p>
        </w:tc>
        <w:tc>
          <w:tcPr>
            <w:tcW w:w="6219" w:type="dxa"/>
            <w:tcBorders>
              <w:bottom w:val="single" w:color="auto" w:sz="4" w:space="0"/>
            </w:tcBorders>
            <w:vAlign w:val="center"/>
          </w:tcPr>
          <w:p w14:paraId="71FCBAF5">
            <w:pPr>
              <w:ind w:firstLine="210" w:firstLineChars="100"/>
              <w:rPr>
                <w:rFonts w:hint="eastAsia"/>
                <w:bCs/>
                <w:szCs w:val="21"/>
                <w:lang w:val="en-US" w:eastAsia="zh-CN"/>
              </w:rPr>
            </w:pPr>
            <w:r>
              <w:rPr>
                <w:rFonts w:hint="eastAsia"/>
                <w:bCs/>
                <w:szCs w:val="21"/>
              </w:rPr>
              <w:t>施工人员产生的生活垃圾</w:t>
            </w:r>
            <w:r>
              <w:rPr>
                <w:rFonts w:hint="eastAsia"/>
                <w:bCs/>
                <w:szCs w:val="21"/>
                <w:lang w:val="en-US" w:eastAsia="zh-CN"/>
              </w:rPr>
              <w:t>由环卫部门清运。</w:t>
            </w:r>
          </w:p>
          <w:p w14:paraId="2AFFA189">
            <w:pPr>
              <w:ind w:firstLine="210" w:firstLineChars="100"/>
              <w:rPr>
                <w:rFonts w:hint="eastAsia"/>
                <w:bCs/>
                <w:szCs w:val="21"/>
                <w:lang w:val="en-US" w:eastAsia="zh-CN"/>
              </w:rPr>
            </w:pPr>
            <w:r>
              <w:rPr>
                <w:rFonts w:hint="eastAsia"/>
                <w:bCs/>
                <w:szCs w:val="21"/>
                <w:lang w:val="en-US" w:eastAsia="zh-CN"/>
              </w:rPr>
              <w:t>开挖土方送至回填区用作沿线低洼地带回填和耕地恢复、绿化造地用土使用。</w:t>
            </w:r>
          </w:p>
          <w:p w14:paraId="76ACBA83">
            <w:pPr>
              <w:ind w:firstLine="210" w:firstLineChars="100"/>
              <w:rPr>
                <w:rFonts w:hint="default"/>
                <w:bCs/>
                <w:szCs w:val="21"/>
                <w:lang w:val="en-US" w:eastAsia="zh-CN"/>
              </w:rPr>
            </w:pPr>
            <w:r>
              <w:rPr>
                <w:rFonts w:hint="default"/>
                <w:bCs/>
                <w:szCs w:val="21"/>
                <w:lang w:val="en-US" w:eastAsia="zh-CN"/>
              </w:rPr>
              <w:t>施工现场应设置建筑废弃物临时堆场（树立标示牌）并进行防雨、防泄漏处理。施工生产的废料首先应考虑废料的回收利用，对钢材、木材等下角料可分类回收，交废物收购站处理；不能回收的建筑垃圾，如含砖、石、砂的杂土等应集中堆放，及时清运到指定的倾倒地点处理</w:t>
            </w:r>
            <w:r>
              <w:rPr>
                <w:rFonts w:hint="eastAsia"/>
                <w:bCs/>
                <w:szCs w:val="21"/>
                <w:lang w:val="en-US" w:eastAsia="zh-CN"/>
              </w:rPr>
              <w:t>。</w:t>
            </w:r>
          </w:p>
        </w:tc>
        <w:tc>
          <w:tcPr>
            <w:tcW w:w="6821" w:type="dxa"/>
            <w:tcBorders>
              <w:bottom w:val="single" w:color="auto" w:sz="4" w:space="0"/>
            </w:tcBorders>
            <w:vAlign w:val="center"/>
          </w:tcPr>
          <w:p w14:paraId="21A6EC06">
            <w:pPr>
              <w:ind w:firstLine="422" w:firstLineChars="200"/>
              <w:rPr>
                <w:rFonts w:hint="eastAsia"/>
                <w:b/>
                <w:szCs w:val="21"/>
                <w:lang w:eastAsia="zh-CN"/>
              </w:rPr>
            </w:pPr>
            <w:r>
              <w:rPr>
                <w:rFonts w:hint="eastAsia"/>
                <w:b/>
                <w:szCs w:val="21"/>
                <w:lang w:val="en-US" w:eastAsia="zh-CN"/>
              </w:rPr>
              <w:t>经</w:t>
            </w:r>
            <w:r>
              <w:rPr>
                <w:rFonts w:hint="eastAsia"/>
                <w:b/>
                <w:szCs w:val="21"/>
              </w:rPr>
              <w:t>走访施工单位及现场调查，相应环境保护措施</w:t>
            </w:r>
            <w:r>
              <w:rPr>
                <w:b/>
                <w:szCs w:val="21"/>
              </w:rPr>
              <w:t>已落实</w:t>
            </w:r>
            <w:r>
              <w:rPr>
                <w:rFonts w:hint="eastAsia"/>
                <w:b/>
                <w:szCs w:val="21"/>
                <w:lang w:eastAsia="zh-CN"/>
              </w:rPr>
              <w:t>：</w:t>
            </w:r>
          </w:p>
          <w:p w14:paraId="0598FFB8">
            <w:pPr>
              <w:ind w:firstLine="420" w:firstLineChars="200"/>
              <w:rPr>
                <w:bCs/>
                <w:szCs w:val="21"/>
              </w:rPr>
            </w:pPr>
            <w:r>
              <w:rPr>
                <w:rFonts w:hint="eastAsia"/>
                <w:bCs/>
                <w:szCs w:val="21"/>
              </w:rPr>
              <w:t>根据现场调查及走访施工单位，项目施工前对施工人员进行了环保培训，施工期施工人员产生生活垃圾经垃圾桶收集后由施工人员清运至附近垃圾收集站集中处置</w:t>
            </w:r>
            <w:r>
              <w:rPr>
                <w:rFonts w:hint="eastAsia"/>
                <w:bCs/>
                <w:szCs w:val="21"/>
                <w:lang w:eastAsia="zh-CN"/>
              </w:rPr>
              <w:t>。</w:t>
            </w:r>
            <w:r>
              <w:rPr>
                <w:bCs/>
                <w:szCs w:val="21"/>
              </w:rPr>
              <w:t xml:space="preserve">    </w:t>
            </w:r>
          </w:p>
          <w:p w14:paraId="1C4E1A90">
            <w:pPr>
              <w:pStyle w:val="8"/>
              <w:rPr>
                <w:rFonts w:hint="eastAsia" w:cs="Times New Roman"/>
                <w:color w:val="auto"/>
                <w:highlight w:val="none"/>
                <w:lang w:eastAsia="zh-CN"/>
              </w:rPr>
            </w:pPr>
            <w:r>
              <w:rPr>
                <w:rFonts w:hint="eastAsia"/>
                <w:bCs/>
                <w:szCs w:val="21"/>
                <w:lang w:val="en-US" w:eastAsia="zh-CN"/>
              </w:rPr>
              <w:t>项目工程无外借土石方，无多余土石方产生，最终本项目实现土石方综合利用</w:t>
            </w:r>
            <w:r>
              <w:rPr>
                <w:rFonts w:hint="eastAsia" w:cs="Times New Roman"/>
                <w:color w:val="auto"/>
                <w:highlight w:val="none"/>
                <w:lang w:eastAsia="zh-CN"/>
              </w:rPr>
              <w:t>。</w:t>
            </w:r>
          </w:p>
          <w:p w14:paraId="3EEE4C30">
            <w:pPr>
              <w:pStyle w:val="8"/>
              <w:rPr>
                <w:rFonts w:hint="default" w:cs="Times New Roman"/>
                <w:color w:val="auto"/>
                <w:highlight w:val="none"/>
                <w:lang w:val="en-US" w:eastAsia="zh-CN"/>
              </w:rPr>
            </w:pPr>
            <w:r>
              <w:rPr>
                <w:rFonts w:hint="eastAsia" w:cs="Times New Roman"/>
                <w:color w:val="auto"/>
                <w:highlight w:val="none"/>
                <w:lang w:val="en-US" w:eastAsia="zh-CN"/>
              </w:rPr>
              <w:t>建筑垃圾</w:t>
            </w:r>
            <w:r>
              <w:rPr>
                <w:rFonts w:hint="default"/>
                <w:bCs/>
                <w:szCs w:val="21"/>
                <w:lang w:val="en-US" w:eastAsia="zh-CN"/>
              </w:rPr>
              <w:t>及时清运到指定的倾倒地点处理</w:t>
            </w:r>
            <w:r>
              <w:rPr>
                <w:rFonts w:hint="eastAsia"/>
                <w:bCs/>
                <w:szCs w:val="21"/>
                <w:lang w:val="en-US" w:eastAsia="zh-CN"/>
              </w:rPr>
              <w:t>。</w:t>
            </w:r>
          </w:p>
          <w:p w14:paraId="12A032A8">
            <w:pPr>
              <w:pStyle w:val="8"/>
              <w:rPr>
                <w:rFonts w:hint="default" w:cs="Times New Roman"/>
                <w:color w:val="auto"/>
                <w:highlight w:val="none"/>
                <w:lang w:val="en-US" w:eastAsia="zh-CN"/>
              </w:rPr>
            </w:pPr>
            <w:r>
              <w:rPr>
                <w:rFonts w:hint="eastAsia"/>
                <w:bCs/>
                <w:szCs w:val="21"/>
              </w:rPr>
              <w:t>现场调查未发生施工人员将生活垃圾随意丢弃的现象，同时项目施工所在区域内未发现有未清理的其他固体废弃物。</w:t>
            </w:r>
          </w:p>
        </w:tc>
      </w:tr>
      <w:tr w14:paraId="2362632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47" w:hRule="atLeast"/>
          <w:jc w:val="center"/>
        </w:trPr>
        <w:tc>
          <w:tcPr>
            <w:tcW w:w="668" w:type="dxa"/>
            <w:vMerge w:val="continue"/>
            <w:vAlign w:val="center"/>
          </w:tcPr>
          <w:p w14:paraId="7C9514C7">
            <w:pPr>
              <w:jc w:val="center"/>
              <w:rPr>
                <w:szCs w:val="21"/>
              </w:rPr>
            </w:pPr>
          </w:p>
        </w:tc>
        <w:tc>
          <w:tcPr>
            <w:tcW w:w="1080" w:type="dxa"/>
            <w:tcBorders>
              <w:top w:val="single" w:color="auto" w:sz="4" w:space="0"/>
            </w:tcBorders>
            <w:vAlign w:val="center"/>
          </w:tcPr>
          <w:p w14:paraId="6D422E84">
            <w:pPr>
              <w:jc w:val="both"/>
              <w:rPr>
                <w:rFonts w:hint="default"/>
                <w:b/>
                <w:szCs w:val="21"/>
                <w:lang w:val="en-US" w:eastAsia="zh-CN"/>
              </w:rPr>
            </w:pPr>
            <w:r>
              <w:rPr>
                <w:rFonts w:hint="eastAsia"/>
                <w:b/>
                <w:szCs w:val="21"/>
                <w:lang w:val="en-US" w:eastAsia="zh-CN"/>
              </w:rPr>
              <w:t>生态破坏防治措施</w:t>
            </w:r>
          </w:p>
        </w:tc>
        <w:tc>
          <w:tcPr>
            <w:tcW w:w="6219" w:type="dxa"/>
            <w:tcBorders>
              <w:top w:val="single" w:color="auto" w:sz="4" w:space="0"/>
            </w:tcBorders>
            <w:vAlign w:val="center"/>
          </w:tcPr>
          <w:p w14:paraId="205CF63D">
            <w:pPr>
              <w:ind w:firstLine="210" w:firstLineChars="100"/>
              <w:rPr>
                <w:rFonts w:hint="eastAsia"/>
                <w:bCs/>
                <w:szCs w:val="21"/>
                <w:lang w:eastAsia="zh-CN"/>
              </w:rPr>
            </w:pPr>
            <w:r>
              <w:rPr>
                <w:rFonts w:hint="eastAsia"/>
                <w:bCs/>
                <w:szCs w:val="21"/>
                <w:lang w:eastAsia="zh-CN"/>
              </w:rPr>
              <w:t>枯水期施工、控制涉水工程施工范围、工程弃渣和废水不得排入河道、加强管理。</w:t>
            </w:r>
          </w:p>
          <w:p w14:paraId="68F6E8DD">
            <w:pPr>
              <w:pStyle w:val="8"/>
              <w:rPr>
                <w:rFonts w:hint="eastAsia" w:eastAsia="宋体"/>
                <w:lang w:eastAsia="zh-CN"/>
              </w:rPr>
            </w:pPr>
            <w:r>
              <w:rPr>
                <w:rFonts w:hint="eastAsia" w:ascii="Times New Roman" w:hAnsi="Times New Roman" w:eastAsia="宋体" w:cs="Times New Roman"/>
                <w:bCs/>
                <w:kern w:val="2"/>
                <w:sz w:val="21"/>
                <w:szCs w:val="21"/>
                <w:lang w:val="en-US" w:eastAsia="zh-CN" w:bidi="ar-SA"/>
              </w:rPr>
              <w:t>优化临时施工道路选址，避开周边耕地；表土单独剥离，妥善保存，采取拦挡、覆盖等临时防护措施防止表土流失；分段施工、分段防护、土石方开挖避开降雨；临时堆场进行拦挡、覆盖；施工结束后及时采取平整、绿化等恢复措施。</w:t>
            </w:r>
          </w:p>
        </w:tc>
        <w:tc>
          <w:tcPr>
            <w:tcW w:w="6821" w:type="dxa"/>
            <w:tcBorders>
              <w:top w:val="single" w:color="auto" w:sz="4" w:space="0"/>
            </w:tcBorders>
            <w:vAlign w:val="center"/>
          </w:tcPr>
          <w:p w14:paraId="0B6839E8">
            <w:pPr>
              <w:ind w:firstLine="422" w:firstLineChars="200"/>
              <w:rPr>
                <w:rFonts w:hint="eastAsia"/>
                <w:b/>
                <w:szCs w:val="21"/>
                <w:lang w:eastAsia="zh-CN"/>
              </w:rPr>
            </w:pPr>
            <w:r>
              <w:rPr>
                <w:rFonts w:hint="eastAsia"/>
                <w:b/>
                <w:szCs w:val="21"/>
                <w:lang w:val="en-US" w:eastAsia="zh-CN"/>
              </w:rPr>
              <w:t>经</w:t>
            </w:r>
            <w:r>
              <w:rPr>
                <w:rFonts w:hint="eastAsia"/>
                <w:b/>
                <w:szCs w:val="21"/>
              </w:rPr>
              <w:t>走访施工单位及现场调查，相应环境保护措施</w:t>
            </w:r>
            <w:r>
              <w:rPr>
                <w:b/>
                <w:szCs w:val="21"/>
              </w:rPr>
              <w:t>已落实</w:t>
            </w:r>
            <w:r>
              <w:rPr>
                <w:rFonts w:hint="eastAsia"/>
                <w:b/>
                <w:szCs w:val="21"/>
                <w:lang w:eastAsia="zh-CN"/>
              </w:rPr>
              <w:t>：</w:t>
            </w:r>
          </w:p>
          <w:p w14:paraId="323A7B6A">
            <w:pPr>
              <w:pStyle w:val="8"/>
              <w:rPr>
                <w:rFonts w:hint="eastAsia" w:ascii="Times New Roman" w:hAnsi="Times New Roman" w:eastAsia="宋体" w:cs="Times New Roman"/>
                <w:bCs/>
                <w:kern w:val="2"/>
                <w:sz w:val="21"/>
                <w:szCs w:val="21"/>
                <w:lang w:val="en-US" w:eastAsia="zh-CN" w:bidi="ar-SA"/>
              </w:rPr>
            </w:pPr>
            <w:r>
              <w:rPr>
                <w:rFonts w:hint="eastAsia" w:ascii="Times New Roman" w:hAnsi="Times New Roman" w:eastAsia="宋体" w:cs="Times New Roman"/>
                <w:bCs/>
                <w:kern w:val="2"/>
                <w:sz w:val="21"/>
                <w:szCs w:val="21"/>
                <w:lang w:val="en-US" w:eastAsia="zh-CN" w:bidi="ar-SA"/>
              </w:rPr>
              <w:t>①项目基础开挖、回填不在多雨季节进行施工。②施工期间对产生的临时土方堆场进行及时的处理。③在施工期间， 对临时堆放地下垫面应采用硬化地面、在土石方堆场上部覆盖塑料薄膜（彩条布）等防风、防雨措施。④施工场地和临时堆放 场内设置了专门的雨水导流渠， 将雨水引导到沉淀池经过沉淀后回用。⑤施工结束后施工作业带、施工工区进行迹地恢复。 ⑦施工区未发生明显水土流失现象。</w:t>
            </w:r>
          </w:p>
        </w:tc>
      </w:tr>
      <w:tr w14:paraId="4C878D2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91" w:hRule="atLeast"/>
          <w:jc w:val="center"/>
        </w:trPr>
        <w:tc>
          <w:tcPr>
            <w:tcW w:w="1748" w:type="dxa"/>
            <w:gridSpan w:val="2"/>
            <w:vAlign w:val="center"/>
          </w:tcPr>
          <w:p w14:paraId="5EFBB5C2">
            <w:pPr>
              <w:adjustRightInd w:val="0"/>
              <w:snapToGrid w:val="0"/>
              <w:jc w:val="center"/>
              <w:rPr>
                <w:rFonts w:hint="default" w:eastAsia="宋体"/>
                <w:b/>
                <w:szCs w:val="21"/>
                <w:lang w:val="en-US" w:eastAsia="zh-CN"/>
              </w:rPr>
            </w:pPr>
            <w:r>
              <w:rPr>
                <w:rFonts w:hint="eastAsia"/>
                <w:b/>
                <w:szCs w:val="21"/>
              </w:rPr>
              <w:t>运营期</w:t>
            </w:r>
          </w:p>
        </w:tc>
        <w:tc>
          <w:tcPr>
            <w:tcW w:w="6219" w:type="dxa"/>
            <w:tcBorders>
              <w:bottom w:val="single" w:color="auto" w:sz="4" w:space="0"/>
            </w:tcBorders>
            <w:vAlign w:val="center"/>
          </w:tcPr>
          <w:p w14:paraId="44E9635C">
            <w:pPr>
              <w:ind w:firstLine="210" w:firstLineChars="100"/>
              <w:jc w:val="center"/>
              <w:rPr>
                <w:rFonts w:hint="default" w:eastAsia="宋体"/>
                <w:kern w:val="0"/>
                <w:szCs w:val="21"/>
                <w:lang w:val="en-US" w:eastAsia="zh-CN"/>
              </w:rPr>
            </w:pPr>
            <w:r>
              <w:rPr>
                <w:rFonts w:hint="eastAsia"/>
                <w:kern w:val="0"/>
                <w:szCs w:val="21"/>
                <w:lang w:val="en-US" w:eastAsia="zh-CN"/>
              </w:rPr>
              <w:t>--</w:t>
            </w:r>
          </w:p>
        </w:tc>
        <w:tc>
          <w:tcPr>
            <w:tcW w:w="6821" w:type="dxa"/>
            <w:tcBorders>
              <w:bottom w:val="single" w:color="auto" w:sz="4" w:space="0"/>
            </w:tcBorders>
            <w:vAlign w:val="center"/>
          </w:tcPr>
          <w:p w14:paraId="7FF747B9">
            <w:pPr>
              <w:ind w:firstLine="422" w:firstLineChars="200"/>
              <w:jc w:val="center"/>
              <w:rPr>
                <w:rFonts w:hint="default" w:eastAsia="宋体"/>
                <w:bCs/>
                <w:szCs w:val="21"/>
                <w:lang w:val="en-US" w:eastAsia="zh-CN"/>
              </w:rPr>
            </w:pPr>
            <w:r>
              <w:rPr>
                <w:rFonts w:hint="eastAsia"/>
                <w:b/>
                <w:bCs w:val="0"/>
                <w:szCs w:val="21"/>
                <w:lang w:val="en-US" w:eastAsia="zh-CN"/>
              </w:rPr>
              <w:t>--</w:t>
            </w:r>
          </w:p>
        </w:tc>
      </w:tr>
    </w:tbl>
    <w:p w14:paraId="708E97DA">
      <w:pPr>
        <w:pStyle w:val="97"/>
        <w:ind w:firstLine="0" w:firstLineChars="0"/>
        <w:jc w:val="center"/>
        <w:rPr>
          <w:color w:val="auto"/>
        </w:rPr>
      </w:pPr>
      <w:r>
        <w:rPr>
          <w:rFonts w:hint="eastAsia"/>
          <w:b/>
          <w:bCs w:val="0"/>
          <w:color w:val="auto"/>
        </w:rPr>
        <w:t>表6-2  环评批复中要求的环保措施落实情况</w:t>
      </w:r>
    </w:p>
    <w:tbl>
      <w:tblPr>
        <w:tblStyle w:val="33"/>
        <w:tblW w:w="1478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639"/>
        <w:gridCol w:w="6651"/>
        <w:gridCol w:w="6498"/>
      </w:tblGrid>
      <w:tr w14:paraId="02C8AF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39" w:type="dxa"/>
            <w:tcBorders>
              <w:tl2br w:val="single" w:color="auto" w:sz="4" w:space="0"/>
            </w:tcBorders>
            <w:vAlign w:val="center"/>
          </w:tcPr>
          <w:p w14:paraId="29648C65">
            <w:pPr>
              <w:ind w:firstLine="632" w:firstLineChars="300"/>
              <w:rPr>
                <w:b/>
                <w:szCs w:val="21"/>
              </w:rPr>
            </w:pPr>
            <w:r>
              <w:rPr>
                <w:b/>
                <w:szCs w:val="21"/>
              </w:rPr>
              <w:t>项目</w:t>
            </w:r>
          </w:p>
          <w:p w14:paraId="116ABE75">
            <w:pPr>
              <w:ind w:firstLine="211"/>
              <w:rPr>
                <w:b/>
                <w:szCs w:val="21"/>
              </w:rPr>
            </w:pPr>
            <w:r>
              <w:rPr>
                <w:rFonts w:hint="eastAsia"/>
                <w:b/>
                <w:szCs w:val="21"/>
              </w:rPr>
              <w:t>编号</w:t>
            </w:r>
          </w:p>
        </w:tc>
        <w:tc>
          <w:tcPr>
            <w:tcW w:w="6651" w:type="dxa"/>
            <w:vAlign w:val="center"/>
          </w:tcPr>
          <w:p w14:paraId="47195815">
            <w:pPr>
              <w:widowControl/>
              <w:ind w:firstLine="211"/>
              <w:jc w:val="center"/>
              <w:rPr>
                <w:b/>
                <w:szCs w:val="21"/>
              </w:rPr>
            </w:pPr>
            <w:r>
              <w:rPr>
                <w:rFonts w:hint="eastAsia"/>
                <w:b/>
                <w:szCs w:val="21"/>
              </w:rPr>
              <w:t>环评批复中要求的环境保护措施</w:t>
            </w:r>
          </w:p>
        </w:tc>
        <w:tc>
          <w:tcPr>
            <w:tcW w:w="6498" w:type="dxa"/>
            <w:vAlign w:val="center"/>
          </w:tcPr>
          <w:p w14:paraId="325505B5">
            <w:pPr>
              <w:ind w:firstLine="175"/>
              <w:jc w:val="center"/>
              <w:rPr>
                <w:b/>
                <w:szCs w:val="21"/>
              </w:rPr>
            </w:pPr>
            <w:r>
              <w:rPr>
                <w:rFonts w:hint="eastAsia"/>
                <w:b/>
                <w:spacing w:val="-6"/>
                <w:kern w:val="0"/>
                <w:sz w:val="18"/>
                <w:szCs w:val="18"/>
              </w:rPr>
              <w:t>环境保护措施落实情况及未采取措施原因</w:t>
            </w:r>
          </w:p>
        </w:tc>
      </w:tr>
      <w:tr w14:paraId="5F36899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39" w:type="dxa"/>
            <w:vAlign w:val="center"/>
          </w:tcPr>
          <w:p w14:paraId="7B0A8F49">
            <w:pPr>
              <w:ind w:firstLine="211"/>
              <w:jc w:val="center"/>
              <w:rPr>
                <w:b/>
                <w:szCs w:val="21"/>
              </w:rPr>
            </w:pPr>
            <w:r>
              <w:rPr>
                <w:rFonts w:hint="eastAsia"/>
                <w:b/>
                <w:szCs w:val="21"/>
              </w:rPr>
              <w:t>一</w:t>
            </w:r>
          </w:p>
        </w:tc>
        <w:tc>
          <w:tcPr>
            <w:tcW w:w="6651" w:type="dxa"/>
            <w:vAlign w:val="center"/>
          </w:tcPr>
          <w:p w14:paraId="3E9282EE">
            <w:pPr>
              <w:pStyle w:val="81"/>
              <w:ind w:firstLine="211" w:firstLineChars="100"/>
              <w:rPr>
                <w:rFonts w:hint="default" w:cs="Times New Roman"/>
                <w:bCs/>
                <w:color w:val="auto"/>
                <w:sz w:val="21"/>
                <w:szCs w:val="21"/>
                <w:lang w:val="en-US" w:eastAsia="zh-CN"/>
              </w:rPr>
            </w:pPr>
            <w:r>
              <w:rPr>
                <w:b/>
                <w:bCs/>
                <w:szCs w:val="21"/>
                <w:lang w:val="zh-CN" w:bidi="zh-CN"/>
              </w:rPr>
              <w:t>项目建设内容</w:t>
            </w:r>
            <w:r>
              <w:rPr>
                <w:szCs w:val="21"/>
                <w:lang w:val="zh-CN" w:bidi="zh-CN"/>
              </w:rPr>
              <w:t>：</w:t>
            </w:r>
            <w:r>
              <w:rPr>
                <w:rFonts w:hint="eastAsia" w:cs="Times New Roman"/>
                <w:bCs/>
                <w:color w:val="auto"/>
                <w:sz w:val="21"/>
                <w:szCs w:val="21"/>
                <w:lang w:val="en-US" w:eastAsia="zh-CN"/>
              </w:rPr>
              <w:t>①</w:t>
            </w:r>
            <w:r>
              <w:rPr>
                <w:rFonts w:hint="default" w:eastAsia="宋体"/>
                <w:lang w:val="en-US" w:eastAsia="zh-CN"/>
              </w:rPr>
              <w:t>防洪治理工程：</w:t>
            </w:r>
            <w:r>
              <w:rPr>
                <w:rFonts w:hint="default" w:cs="Times New Roman"/>
                <w:bCs/>
                <w:color w:val="auto"/>
                <w:sz w:val="21"/>
                <w:szCs w:val="21"/>
                <w:lang w:val="en-US" w:eastAsia="zh-CN"/>
              </w:rPr>
              <w:t>新建护岸11</w:t>
            </w:r>
            <w:r>
              <w:rPr>
                <w:rFonts w:hint="eastAsia" w:cs="Times New Roman"/>
                <w:bCs/>
                <w:color w:val="auto"/>
                <w:sz w:val="21"/>
                <w:szCs w:val="21"/>
                <w:lang w:val="en-US" w:eastAsia="zh-CN"/>
              </w:rPr>
              <w:t>963</w:t>
            </w:r>
            <w:r>
              <w:rPr>
                <w:rFonts w:hint="default" w:cs="Times New Roman"/>
                <w:bCs/>
                <w:color w:val="auto"/>
                <w:sz w:val="21"/>
                <w:szCs w:val="21"/>
                <w:lang w:val="en-US" w:eastAsia="zh-CN"/>
              </w:rPr>
              <w:t>m（转龙镇6236m，竹篙镇5727m，分为21段）。</w:t>
            </w:r>
          </w:p>
          <w:p w14:paraId="5F27CD51">
            <w:pPr>
              <w:ind w:firstLine="211"/>
              <w:rPr>
                <w:bCs/>
                <w:szCs w:val="21"/>
              </w:rPr>
            </w:pPr>
            <w:r>
              <w:rPr>
                <w:rFonts w:hint="eastAsia" w:cs="Times New Roman"/>
                <w:bCs/>
                <w:color w:val="auto"/>
                <w:sz w:val="21"/>
                <w:szCs w:val="21"/>
                <w:lang w:val="en-US" w:eastAsia="zh-CN"/>
              </w:rPr>
              <w:t>②</w:t>
            </w:r>
            <w:r>
              <w:rPr>
                <w:rFonts w:hint="default" w:cs="Times New Roman"/>
                <w:bCs/>
                <w:color w:val="auto"/>
                <w:sz w:val="21"/>
                <w:szCs w:val="21"/>
                <w:lang w:val="en-US" w:eastAsia="zh-CN"/>
              </w:rPr>
              <w:t>水生态修复工程</w:t>
            </w:r>
            <w:r>
              <w:rPr>
                <w:rFonts w:hint="eastAsia" w:cs="Times New Roman"/>
                <w:bCs/>
                <w:color w:val="auto"/>
                <w:sz w:val="21"/>
                <w:szCs w:val="21"/>
                <w:lang w:val="en-US" w:eastAsia="zh-CN"/>
              </w:rPr>
              <w:t>包括</w:t>
            </w:r>
            <w:r>
              <w:rPr>
                <w:rFonts w:hint="default" w:cs="Times New Roman"/>
                <w:bCs/>
                <w:color w:val="auto"/>
                <w:sz w:val="21"/>
                <w:szCs w:val="21"/>
                <w:lang w:val="en-US" w:eastAsia="zh-CN"/>
              </w:rPr>
              <w:t>浅水区滨河湿地3.16 hm²，新建四处生态湿地节点（分为彭家沟生态湿地节点、资水河大桥生态湿地节点、神仙桥生态湿地节点、三绕生态湿地节点，主要内容包括梯田湿地11.17hm²，垛田湿地3.99hm²，生态隔离带1.45hm²，生产便道2.3km）</w:t>
            </w:r>
            <w:r>
              <w:rPr>
                <w:szCs w:val="21"/>
                <w:lang w:val="zh-CN" w:bidi="zh-CN"/>
              </w:rPr>
              <w:t>。</w:t>
            </w:r>
          </w:p>
        </w:tc>
        <w:tc>
          <w:tcPr>
            <w:tcW w:w="6498" w:type="dxa"/>
            <w:vAlign w:val="center"/>
          </w:tcPr>
          <w:p w14:paraId="3437C96A">
            <w:pPr>
              <w:adjustRightInd w:val="0"/>
              <w:snapToGrid w:val="0"/>
              <w:spacing w:before="156" w:beforeLines="50"/>
              <w:rPr>
                <w:szCs w:val="21"/>
              </w:rPr>
            </w:pPr>
            <w:r>
              <w:rPr>
                <w:rFonts w:hint="eastAsia"/>
                <w:b/>
                <w:bCs/>
                <w:szCs w:val="21"/>
              </w:rPr>
              <w:t>经核实建设内容为</w:t>
            </w:r>
            <w:r>
              <w:rPr>
                <w:rFonts w:hint="eastAsia"/>
                <w:szCs w:val="21"/>
              </w:rPr>
              <w:t>：</w:t>
            </w:r>
          </w:p>
          <w:p w14:paraId="370F40D2">
            <w:pPr>
              <w:adjustRightInd w:val="0"/>
              <w:snapToGrid w:val="0"/>
              <w:rPr>
                <w:rFonts w:hint="default"/>
                <w:szCs w:val="21"/>
                <w:lang w:val="en-US" w:bidi="zh-CN"/>
              </w:rPr>
            </w:pPr>
            <w:r>
              <w:rPr>
                <w:rFonts w:hint="eastAsia"/>
                <w:szCs w:val="21"/>
              </w:rPr>
              <w:t>防洪治理工程：新建护岸12110m（转龙镇6999m，竹篙镇5111m，分为17段）</w:t>
            </w:r>
            <w:r>
              <w:rPr>
                <w:rFonts w:hint="eastAsia"/>
                <w:szCs w:val="21"/>
                <w:lang w:eastAsia="zh-CN"/>
              </w:rPr>
              <w:t>；</w:t>
            </w:r>
            <w:r>
              <w:rPr>
                <w:rFonts w:hint="eastAsia"/>
                <w:szCs w:val="21"/>
                <w:lang w:val="en-US" w:eastAsia="zh-CN"/>
              </w:rPr>
              <w:t>其余与环评一致</w:t>
            </w:r>
            <w:r>
              <w:rPr>
                <w:rFonts w:hint="eastAsia"/>
                <w:szCs w:val="21"/>
                <w:lang w:val="en-US" w:eastAsia="zh-CN" w:bidi="zh-CN"/>
              </w:rPr>
              <w:t>。</w:t>
            </w:r>
          </w:p>
        </w:tc>
      </w:tr>
      <w:tr w14:paraId="1205CBC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639" w:type="dxa"/>
            <w:vAlign w:val="center"/>
          </w:tcPr>
          <w:p w14:paraId="4A491C67">
            <w:pPr>
              <w:ind w:firstLine="211"/>
              <w:jc w:val="center"/>
              <w:rPr>
                <w:b/>
                <w:szCs w:val="21"/>
              </w:rPr>
            </w:pPr>
            <w:r>
              <w:rPr>
                <w:rFonts w:hint="eastAsia"/>
                <w:b/>
                <w:szCs w:val="21"/>
              </w:rPr>
              <w:t>二</w:t>
            </w:r>
          </w:p>
        </w:tc>
        <w:tc>
          <w:tcPr>
            <w:tcW w:w="6651" w:type="dxa"/>
            <w:vAlign w:val="center"/>
          </w:tcPr>
          <w:p w14:paraId="71D37E3F">
            <w:pPr>
              <w:ind w:firstLine="211"/>
              <w:rPr>
                <w:b/>
                <w:bCs/>
                <w:szCs w:val="21"/>
                <w:lang w:val="zh-CN" w:bidi="zh-CN"/>
              </w:rPr>
            </w:pPr>
            <w:r>
              <w:rPr>
                <w:b/>
                <w:bCs/>
                <w:szCs w:val="21"/>
                <w:lang w:bidi="zh-CN"/>
              </w:rPr>
              <w:t>项目建设及运行中应重点做好的工作</w:t>
            </w:r>
            <w:r>
              <w:rPr>
                <w:b/>
                <w:bCs/>
                <w:szCs w:val="21"/>
                <w:lang w:val="zh-CN" w:bidi="zh-CN"/>
              </w:rPr>
              <w:t>：</w:t>
            </w:r>
          </w:p>
          <w:p w14:paraId="7D84FBFE">
            <w:pPr>
              <w:pStyle w:val="109"/>
              <w:shd w:val="clear" w:color="auto" w:fill="auto"/>
              <w:tabs>
                <w:tab w:val="left" w:pos="944"/>
              </w:tabs>
              <w:spacing w:before="0" w:line="240" w:lineRule="auto"/>
              <w:ind w:firstLine="210" w:firstLineChars="100"/>
              <w:jc w:val="both"/>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（一）施工期废水：施工机械和车辆冲洗废水经隔油沉淀处理后回用于工地洒水降尘，不外排；活污水依托当地已有的环卫设施进行收集处理。</w:t>
            </w:r>
          </w:p>
          <w:p w14:paraId="105A83EE">
            <w:pPr>
              <w:pStyle w:val="109"/>
              <w:shd w:val="clear" w:color="auto" w:fill="auto"/>
              <w:tabs>
                <w:tab w:val="left" w:pos="944"/>
              </w:tabs>
              <w:spacing w:before="0" w:line="240" w:lineRule="auto"/>
              <w:ind w:firstLine="210" w:firstLineChars="100"/>
              <w:jc w:val="both"/>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二）施工期废气：封闭施工现场，以减少结构和装修过程中的粉尘飞扬现象，降低粉尘向大气中的排放;文明施工，定期对地面酒水，及时清运渣土，同时做到“六必须”“六不准”;进出车辆限速，运输道路尽量采用硬化路面并进行酒水，在施工场地出口放置防尘垫，运输车辆必须封盖严密，文明装卸，禁止在风天进行渣土作业，出场车辆清洗轮胎，保持路面清洁湿润以减少车辆产生的扬尘污染。</w:t>
            </w:r>
          </w:p>
          <w:p w14:paraId="66145836">
            <w:pPr>
              <w:pStyle w:val="109"/>
              <w:shd w:val="clear" w:color="auto" w:fill="auto"/>
              <w:tabs>
                <w:tab w:val="left" w:pos="944"/>
              </w:tabs>
              <w:spacing w:before="0" w:line="240" w:lineRule="auto"/>
              <w:ind w:firstLine="210" w:firstLineChars="100"/>
              <w:jc w:val="both"/>
              <w:rPr>
                <w:rFonts w:hint="eastAsia" w:ascii="Times New Roman" w:hAnsi="Times New Roman" w:eastAsia="宋体" w:cs="Times New Roman"/>
                <w:sz w:val="21"/>
                <w:szCs w:val="21"/>
              </w:rPr>
            </w:pPr>
            <w:r>
              <w:rPr>
                <w:rFonts w:hint="eastAsia" w:ascii="Times New Roman" w:hAnsi="Times New Roman" w:eastAsia="宋体" w:cs="Times New Roman"/>
                <w:sz w:val="21"/>
                <w:szCs w:val="21"/>
              </w:rPr>
              <w:t>（三）施工期噪声：合理布置施工场地，选用优质低噪设备，落实有效的隔声减振措施；合理安排施工时间，将强噪声作业尽量安排在白天进行，文明施工，装卸、搬运材料等严禁抛掷，最大限度降低人为噪声，确保噪声达标排放。</w:t>
            </w:r>
          </w:p>
          <w:p w14:paraId="5B04DCF6">
            <w:pPr>
              <w:pStyle w:val="109"/>
              <w:shd w:val="clear" w:color="auto" w:fill="auto"/>
              <w:tabs>
                <w:tab w:val="left" w:pos="944"/>
              </w:tabs>
              <w:spacing w:before="0" w:line="240" w:lineRule="auto"/>
              <w:ind w:firstLine="210" w:firstLineChars="100"/>
              <w:jc w:val="both"/>
              <w:rPr>
                <w:rFonts w:ascii="Times New Roman" w:hAnsi="Times New Roman" w:eastAsia="宋体" w:cs="Times New Roman"/>
                <w:sz w:val="21"/>
                <w:szCs w:val="21"/>
              </w:rPr>
            </w:pPr>
            <w:r>
              <w:rPr>
                <w:rFonts w:hint="eastAsia" w:ascii="Times New Roman" w:hAnsi="Times New Roman" w:eastAsia="宋体" w:cs="Times New Roman"/>
                <w:sz w:val="21"/>
                <w:szCs w:val="21"/>
              </w:rPr>
              <w:t>（四）施工现场废物及垃圾处理：弃方运至回填区用作线低洼地带回填和耕地恢复、绿化造地用土使用；钢材、木材等下角料分类回收，交废物收购站处理，不能回收的建筑垃圾清运到指定的倾倒地点处理；生活垃圾交由环卫部门统一清运处理。在施工现场设置建渣临时堆场(树立标示牌)并进行防雨防泄漏处理。</w:t>
            </w:r>
          </w:p>
        </w:tc>
        <w:tc>
          <w:tcPr>
            <w:tcW w:w="6498" w:type="dxa"/>
            <w:vAlign w:val="center"/>
          </w:tcPr>
          <w:p w14:paraId="715D3F2F">
            <w:pPr>
              <w:ind w:firstLine="211"/>
              <w:rPr>
                <w:b/>
                <w:bCs/>
                <w:szCs w:val="21"/>
                <w:lang w:val="zh-CN" w:bidi="zh-CN"/>
              </w:rPr>
            </w:pPr>
            <w:r>
              <w:rPr>
                <w:rFonts w:hint="eastAsia"/>
                <w:b/>
                <w:bCs/>
                <w:szCs w:val="21"/>
                <w:lang w:val="zh-CN" w:bidi="zh-CN"/>
              </w:rPr>
              <w:t>已落实。</w:t>
            </w:r>
          </w:p>
          <w:p w14:paraId="649DBE7A">
            <w:pPr>
              <w:ind w:firstLine="211"/>
              <w:rPr>
                <w:b/>
                <w:bCs/>
                <w:szCs w:val="21"/>
                <w:lang w:val="zh-CN" w:bidi="zh-CN"/>
              </w:rPr>
            </w:pPr>
            <w:r>
              <w:rPr>
                <w:rFonts w:hint="eastAsia"/>
                <w:szCs w:val="21"/>
                <w:lang w:val="zh-CN" w:bidi="zh-CN"/>
              </w:rPr>
              <w:t>根据现场调查及走访施工单位，施工前制定要严格的施工方案，划定有严格的施工红线，施工期间无超范围施工现象；制定了施工扬尘控制方案，施工期间，采取了湿法作业、打围施工，对道路进行洒水、清扫，同时作业处覆以防尘网，并在大风、干燥天气条件下适当增加了洒水次数，以减小扬尘影响；施工废水和生活污水进行了妥善处置，施工人员就近租用周边居民的房屋作为施工营地，其产生的生活污水排入所租用民房既有的卫生设施</w:t>
            </w:r>
            <w:r>
              <w:rPr>
                <w:rFonts w:hint="eastAsia"/>
                <w:szCs w:val="21"/>
                <w:lang w:val="en-US" w:bidi="zh-CN"/>
              </w:rPr>
              <w:t>处理</w:t>
            </w:r>
            <w:r>
              <w:rPr>
                <w:rFonts w:hint="eastAsia"/>
                <w:szCs w:val="21"/>
                <w:lang w:val="zh-CN" w:bidi="zh-CN"/>
              </w:rPr>
              <w:t>，未排入河流；</w:t>
            </w:r>
            <w:r>
              <w:rPr>
                <w:rFonts w:hint="eastAsia"/>
                <w:szCs w:val="21"/>
                <w:lang w:val="en-US" w:bidi="zh-CN"/>
              </w:rPr>
              <w:t>施工废水回用，未外排。</w:t>
            </w:r>
            <w:r>
              <w:rPr>
                <w:rFonts w:hint="eastAsia"/>
                <w:szCs w:val="21"/>
                <w:lang w:val="zh-CN" w:bidi="zh-CN"/>
              </w:rPr>
              <w:t>施工期施工人员产生生活垃圾经垃圾桶收集后由施工人员清运至附近垃圾收集站集中处置，现场调查未发生施工人员将生活垃圾随意丢弃的现象，同时项目施工所在区域内未发现有未清理的其他固体废弃物；施工设备选择了低噪声设备，并定期对设备进行了维护和保养，施工期间施工单位合理安排了施工时间，施工活动集中在昼间进行，夜间未施工，避免了施工噪声对周边的居民的影响，施工期间未发生项目噪声扰民及相关环保投诉；施工完成后，施工单位及时清理了施工现场和对压实的土地进行了翻松、整治，并采取复耕或复绿的方式对塔基周围临时占地进行了植被恢复，现状整体恢复情况较好</w:t>
            </w:r>
          </w:p>
          <w:p w14:paraId="1BDD40A5">
            <w:pPr>
              <w:adjustRightInd w:val="0"/>
              <w:ind w:firstLine="210" w:firstLineChars="100"/>
              <w:contextualSpacing/>
              <w:jc w:val="left"/>
              <w:rPr>
                <w:szCs w:val="21"/>
              </w:rPr>
            </w:pPr>
            <w:r>
              <w:rPr>
                <w:rFonts w:hint="eastAsia"/>
                <w:szCs w:val="21"/>
              </w:rPr>
              <w:t>据现场调查，在工程建设及运行管理中，建设单位和施工单位通过积极与公众沟通，做好了本项目宣传、解释工作。竣工环保验收阶段，建设单位与验收调查单位通过现场走访等方式向附近公众进行了电建环保知识的宣传。现场调查期间未收到居民对项目的投诉等，施工期间无阻工、投诉等环境纠纷和社会稳定问题</w:t>
            </w:r>
            <w:r>
              <w:rPr>
                <w:szCs w:val="21"/>
              </w:rPr>
              <w:t>。</w:t>
            </w:r>
          </w:p>
          <w:p w14:paraId="46D926A1">
            <w:pPr>
              <w:adjustRightInd w:val="0"/>
              <w:ind w:firstLine="210" w:firstLineChars="100"/>
              <w:contextualSpacing/>
              <w:jc w:val="left"/>
              <w:rPr>
                <w:szCs w:val="21"/>
              </w:rPr>
            </w:pPr>
          </w:p>
          <w:p w14:paraId="4DC5520F">
            <w:pPr>
              <w:adjustRightInd w:val="0"/>
              <w:ind w:firstLine="210" w:firstLineChars="100"/>
              <w:contextualSpacing/>
              <w:jc w:val="left"/>
              <w:rPr>
                <w:szCs w:val="21"/>
              </w:rPr>
            </w:pPr>
          </w:p>
          <w:p w14:paraId="7F7F4E80">
            <w:pPr>
              <w:adjustRightInd w:val="0"/>
              <w:ind w:firstLine="210" w:firstLineChars="100"/>
              <w:contextualSpacing/>
              <w:jc w:val="left"/>
              <w:rPr>
                <w:szCs w:val="21"/>
              </w:rPr>
            </w:pPr>
          </w:p>
          <w:p w14:paraId="10DB5130">
            <w:pPr>
              <w:adjustRightInd w:val="0"/>
              <w:ind w:firstLine="210" w:firstLineChars="100"/>
              <w:contextualSpacing/>
              <w:jc w:val="left"/>
              <w:rPr>
                <w:szCs w:val="21"/>
              </w:rPr>
            </w:pPr>
          </w:p>
          <w:p w14:paraId="555EF75C">
            <w:pPr>
              <w:adjustRightInd w:val="0"/>
              <w:ind w:firstLine="210" w:firstLineChars="100"/>
              <w:contextualSpacing/>
              <w:jc w:val="left"/>
              <w:rPr>
                <w:szCs w:val="21"/>
              </w:rPr>
            </w:pPr>
          </w:p>
          <w:p w14:paraId="0DE80B22">
            <w:pPr>
              <w:adjustRightInd w:val="0"/>
              <w:contextualSpacing/>
              <w:jc w:val="left"/>
              <w:rPr>
                <w:szCs w:val="21"/>
              </w:rPr>
            </w:pPr>
          </w:p>
        </w:tc>
      </w:tr>
    </w:tbl>
    <w:p w14:paraId="088378DA">
      <w:pPr>
        <w:spacing w:line="360" w:lineRule="auto"/>
        <w:ind w:firstLine="281"/>
        <w:rPr>
          <w:b/>
          <w:sz w:val="28"/>
        </w:rPr>
      </w:pPr>
    </w:p>
    <w:p w14:paraId="7D025AAE">
      <w:pPr>
        <w:pStyle w:val="19"/>
        <w:ind w:firstLine="240"/>
      </w:pPr>
    </w:p>
    <w:p w14:paraId="3D26AFA9">
      <w:pPr>
        <w:pStyle w:val="19"/>
        <w:ind w:firstLine="240"/>
        <w:sectPr>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12" w:charSpace="0"/>
        </w:sectPr>
      </w:pPr>
    </w:p>
    <w:p w14:paraId="49BF17C7">
      <w:pPr>
        <w:spacing w:line="360" w:lineRule="auto"/>
        <w:ind w:firstLine="281"/>
        <w:outlineLvl w:val="0"/>
        <w:rPr>
          <w:b/>
          <w:sz w:val="28"/>
        </w:rPr>
      </w:pPr>
      <w:bookmarkStart w:id="161" w:name="_Toc14464"/>
      <w:r>
        <w:rPr>
          <w:b/>
          <w:sz w:val="28"/>
        </w:rPr>
        <w:t>表</w:t>
      </w:r>
      <w:r>
        <w:rPr>
          <w:rFonts w:hint="eastAsia"/>
          <w:b/>
          <w:sz w:val="28"/>
          <w:lang w:val="en-US" w:eastAsia="zh-CN"/>
        </w:rPr>
        <w:t>七</w:t>
      </w:r>
      <w:r>
        <w:rPr>
          <w:b/>
          <w:sz w:val="28"/>
        </w:rPr>
        <w:t>、环境影响调查</w:t>
      </w:r>
      <w:bookmarkEnd w:id="161"/>
    </w:p>
    <w:tbl>
      <w:tblPr>
        <w:tblStyle w:val="34"/>
        <w:tblW w:w="0" w:type="auto"/>
        <w:tblInd w:w="-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54"/>
      </w:tblGrid>
      <w:tr w14:paraId="38CAD2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12" w:hRule="atLeast"/>
        </w:trPr>
        <w:tc>
          <w:tcPr>
            <w:tcW w:w="8754" w:type="dxa"/>
          </w:tcPr>
          <w:p w14:paraId="7CCBFD8C">
            <w:pPr>
              <w:pStyle w:val="19"/>
              <w:spacing w:after="0" w:line="360" w:lineRule="auto"/>
              <w:ind w:left="0" w:leftChars="0"/>
              <w:contextualSpacing/>
              <w:rPr>
                <w:b/>
                <w:bCs/>
              </w:rPr>
            </w:pPr>
            <w:r>
              <w:rPr>
                <w:rFonts w:hint="eastAsia"/>
                <w:b/>
                <w:bCs/>
              </w:rPr>
              <w:t>施工期</w:t>
            </w:r>
          </w:p>
        </w:tc>
      </w:tr>
      <w:tr w14:paraId="3FA456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4" w:type="dxa"/>
          </w:tcPr>
          <w:p w14:paraId="3DE9E5E7">
            <w:pPr>
              <w:pStyle w:val="19"/>
              <w:spacing w:after="0" w:line="360" w:lineRule="auto"/>
              <w:ind w:left="0" w:leftChars="0"/>
              <w:contextualSpacing/>
              <w:rPr>
                <w:b/>
                <w:bCs/>
              </w:rPr>
            </w:pPr>
            <w:r>
              <w:rPr>
                <w:rFonts w:hint="eastAsia"/>
                <w:b/>
                <w:bCs/>
              </w:rPr>
              <w:t>生态影响：</w:t>
            </w:r>
          </w:p>
          <w:p w14:paraId="761E0FD6">
            <w:pPr>
              <w:pStyle w:val="19"/>
              <w:spacing w:after="0" w:line="360" w:lineRule="auto"/>
              <w:ind w:left="0" w:leftChars="0" w:firstLine="482" w:firstLineChars="200"/>
              <w:contextualSpacing/>
              <w:rPr>
                <w:rFonts w:hint="default" w:eastAsia="宋体"/>
                <w:b/>
                <w:bCs/>
                <w:lang w:val="en-US" w:eastAsia="zh-CN"/>
              </w:rPr>
            </w:pPr>
            <w:r>
              <w:rPr>
                <w:rFonts w:hint="eastAsia"/>
                <w:b/>
                <w:bCs/>
              </w:rPr>
              <w:t>1、</w:t>
            </w:r>
            <w:r>
              <w:rPr>
                <w:rFonts w:hint="eastAsia"/>
                <w:b/>
                <w:bCs/>
                <w:lang w:val="en-US" w:eastAsia="zh-CN"/>
              </w:rPr>
              <w:t>工程占地影响</w:t>
            </w:r>
          </w:p>
          <w:p w14:paraId="2F824A1C">
            <w:pPr>
              <w:spacing w:line="360" w:lineRule="auto"/>
              <w:ind w:firstLine="480" w:firstLineChars="200"/>
              <w:rPr>
                <w:rFonts w:hint="eastAsia"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lang w:eastAsia="zh-CN"/>
              </w:rPr>
              <w:t>施工单位施工过程中严格控制施工范围，施工作业范围以外不得占用、碾压土地。工程施工过程中注意表土收集工作，单独保存，施工结束后及时将事先收集的表层土进行场地覆土平整。施工结束后撒播草籽的方式来达到恢复植被的效果。通过对临时占地的植被恢复，土地的利用状况不会发生改变，仍可以保持原有的使用功能。</w:t>
            </w:r>
          </w:p>
          <w:p w14:paraId="104BDDFE">
            <w:pPr>
              <w:pStyle w:val="19"/>
              <w:spacing w:after="0" w:line="360" w:lineRule="auto"/>
              <w:ind w:left="0" w:leftChars="0" w:firstLine="480" w:firstLineChars="200"/>
              <w:contextualSpacing/>
            </w:pPr>
            <w:r>
              <w:rPr>
                <w:rFonts w:hint="eastAsia" w:ascii="瀹嬩綋" w:hAnsi="瀹嬩綋" w:eastAsia="瀹嬩綋"/>
                <w:sz w:val="24"/>
                <w:szCs w:val="24"/>
              </w:rPr>
              <w:t>临时施工用地在工程结束前进行了清理和植被恢复工作，减少了临时占地对生态的影响。经过清理、整治，可恢复了其原有功能，临时占地对土地利用功能的影响较小。</w:t>
            </w:r>
          </w:p>
          <w:p w14:paraId="5501E6E2">
            <w:pPr>
              <w:spacing w:line="360" w:lineRule="auto"/>
              <w:ind w:firstLine="482" w:firstLineChars="200"/>
              <w:rPr>
                <w:rFonts w:hint="default" w:eastAsia="宋体"/>
                <w:kern w:val="0"/>
                <w:sz w:val="24"/>
                <w:szCs w:val="24"/>
                <w:lang w:val="en-US" w:eastAsia="zh-CN"/>
              </w:rPr>
            </w:pPr>
            <w:r>
              <w:rPr>
                <w:rFonts w:hint="eastAsia"/>
                <w:b/>
                <w:sz w:val="24"/>
                <w:szCs w:val="24"/>
              </w:rPr>
              <w:t>2</w:t>
            </w:r>
            <w:r>
              <w:rPr>
                <w:b/>
                <w:sz w:val="24"/>
                <w:szCs w:val="24"/>
              </w:rPr>
              <w:t>、</w:t>
            </w:r>
            <w:r>
              <w:rPr>
                <w:rFonts w:hint="eastAsia"/>
                <w:b/>
                <w:sz w:val="24"/>
                <w:szCs w:val="24"/>
                <w:lang w:val="en-US" w:eastAsia="zh-CN"/>
              </w:rPr>
              <w:t>对沿线植物的影响调查</w:t>
            </w:r>
          </w:p>
          <w:p w14:paraId="2635DC4C">
            <w:pPr>
              <w:spacing w:line="360" w:lineRule="auto"/>
              <w:ind w:firstLine="456" w:firstLineChars="200"/>
              <w:rPr>
                <w:rFonts w:hint="eastAsia"/>
                <w:bCs/>
                <w:spacing w:val="-6"/>
                <w:sz w:val="24"/>
                <w:szCs w:val="24"/>
                <w:lang w:eastAsia="zh-CN"/>
              </w:rPr>
            </w:pPr>
            <w:r>
              <w:rPr>
                <w:rFonts w:hint="eastAsia"/>
                <w:bCs/>
                <w:spacing w:val="-6"/>
                <w:sz w:val="24"/>
                <w:szCs w:val="24"/>
              </w:rPr>
              <w:t>根据现场调查，在工程影响范围内，受工程影响的植物均属一般常见种，本项目沿线占地范围内不涉及基本农田，未发现有国家重点保护植物和古树名木的分布。</w:t>
            </w:r>
            <w:r>
              <w:rPr>
                <w:rFonts w:hint="eastAsia"/>
                <w:bCs/>
                <w:sz w:val="24"/>
                <w:szCs w:val="21"/>
              </w:rPr>
              <w:t>施工完成后及时补偿因施工造成的植被破坏，补偿量不得少于破坏量。工程破坏的植被主要为草本植物，施工结束后撒播草籽进行恢复</w:t>
            </w:r>
            <w:r>
              <w:rPr>
                <w:rFonts w:hint="eastAsia"/>
                <w:bCs/>
                <w:sz w:val="24"/>
                <w:szCs w:val="21"/>
                <w:lang w:eastAsia="zh-CN"/>
              </w:rPr>
              <w:t>，</w:t>
            </w:r>
            <w:r>
              <w:rPr>
                <w:rFonts w:hint="eastAsia"/>
                <w:bCs/>
                <w:sz w:val="24"/>
                <w:szCs w:val="21"/>
                <w:lang w:val="en-US" w:eastAsia="zh-CN"/>
              </w:rPr>
              <w:t>对植被影响不大</w:t>
            </w:r>
            <w:r>
              <w:rPr>
                <w:rFonts w:hint="eastAsia"/>
                <w:bCs/>
                <w:spacing w:val="-6"/>
                <w:sz w:val="24"/>
                <w:szCs w:val="24"/>
                <w:lang w:eastAsia="zh-CN"/>
              </w:rPr>
              <w:t>。</w:t>
            </w:r>
          </w:p>
          <w:p w14:paraId="15A1ECF3">
            <w:pPr>
              <w:adjustRightInd w:val="0"/>
              <w:spacing w:line="360" w:lineRule="auto"/>
              <w:ind w:firstLine="482" w:firstLineChars="200"/>
              <w:rPr>
                <w:rFonts w:hint="eastAsia"/>
                <w:b/>
                <w:sz w:val="24"/>
                <w:szCs w:val="24"/>
                <w:lang w:val="en-US" w:eastAsia="zh-CN"/>
              </w:rPr>
            </w:pPr>
            <w:r>
              <w:rPr>
                <w:rFonts w:hint="eastAsia"/>
                <w:b/>
                <w:sz w:val="24"/>
                <w:szCs w:val="24"/>
                <w:lang w:val="en-US" w:eastAsia="zh-CN"/>
              </w:rPr>
              <w:t>3、对水生环境的影响调查</w:t>
            </w:r>
          </w:p>
          <w:p w14:paraId="10BBB268">
            <w:pPr>
              <w:adjustRightInd w:val="0"/>
              <w:spacing w:line="360" w:lineRule="auto"/>
              <w:ind w:firstLine="480" w:firstLineChars="200"/>
              <w:rPr>
                <w:rFonts w:hint="eastAsia" w:eastAsia="宋体"/>
                <w:b/>
                <w:sz w:val="24"/>
                <w:szCs w:val="24"/>
                <w:lang w:val="en-US" w:eastAsia="zh-CN"/>
              </w:rPr>
            </w:pPr>
            <w:r>
              <w:rPr>
                <w:rFonts w:hint="eastAsia"/>
                <w:bCs/>
                <w:sz w:val="24"/>
              </w:rPr>
              <w:t>工程河段内主要的水生动植物为常见的藻类、浮游动物、底栖动物、鱼类等。鱼类具有较强的迁移能力，可在周边河道寻觅到合适的生境。扰动引起的悬浮物质为颗粒态，它随着河水运动的同时在河水中沉降，并最终淤积于河底，这一特性决定了它的影响范围和影响时间是有限的。本项目施工涉及范围小，施工时间短，在施工完成一段时间后，因施工造成的水生生态系统的破坏将会得到恢复</w:t>
            </w:r>
            <w:r>
              <w:rPr>
                <w:rFonts w:hint="eastAsia"/>
                <w:bCs/>
                <w:sz w:val="24"/>
                <w:lang w:eastAsia="zh-CN"/>
              </w:rPr>
              <w:t>。</w:t>
            </w:r>
          </w:p>
          <w:p w14:paraId="3B0C4E38">
            <w:pPr>
              <w:adjustRightInd w:val="0"/>
              <w:spacing w:line="360" w:lineRule="auto"/>
              <w:ind w:firstLine="482" w:firstLineChars="200"/>
              <w:rPr>
                <w:bCs/>
                <w:sz w:val="24"/>
                <w:szCs w:val="24"/>
              </w:rPr>
            </w:pPr>
            <w:r>
              <w:rPr>
                <w:rFonts w:hint="eastAsia"/>
                <w:b/>
                <w:sz w:val="24"/>
                <w:szCs w:val="24"/>
                <w:lang w:val="en-US" w:eastAsia="zh-CN"/>
              </w:rPr>
              <w:t>3、</w:t>
            </w:r>
            <w:r>
              <w:rPr>
                <w:rFonts w:hint="eastAsia"/>
                <w:b/>
                <w:sz w:val="24"/>
                <w:szCs w:val="24"/>
              </w:rPr>
              <w:t>生态环境敏感目标</w:t>
            </w:r>
          </w:p>
          <w:p w14:paraId="620A17D3">
            <w:pPr>
              <w:autoSpaceDE w:val="0"/>
              <w:autoSpaceDN w:val="0"/>
              <w:adjustRightInd w:val="0"/>
              <w:spacing w:line="360" w:lineRule="auto"/>
              <w:ind w:firstLine="480" w:firstLineChars="200"/>
              <w:contextualSpacing/>
              <w:rPr>
                <w:rFonts w:hint="eastAsia"/>
                <w:bCs/>
                <w:sz w:val="24"/>
                <w:szCs w:val="24"/>
              </w:rPr>
            </w:pPr>
            <w:r>
              <w:rPr>
                <w:rFonts w:hint="eastAsia"/>
                <w:kern w:val="0"/>
                <w:sz w:val="24"/>
              </w:rPr>
              <w:t>项目沿河岸线布置，周围主要为农村环境，河岸线的两岸5~200m均分布有散户住户、田地。项目施工期做好相应的扬尘、噪声防治工作，同时施工期影响是短暂的，项目施工对周围环境的影响可承受</w:t>
            </w:r>
            <w:r>
              <w:rPr>
                <w:rFonts w:hint="eastAsia"/>
                <w:bCs/>
                <w:sz w:val="24"/>
                <w:szCs w:val="24"/>
              </w:rPr>
              <w:t>。</w:t>
            </w:r>
          </w:p>
          <w:p w14:paraId="1F5F2F84">
            <w:pPr>
              <w:numPr>
                <w:ilvl w:val="0"/>
                <w:numId w:val="0"/>
              </w:numPr>
              <w:spacing w:line="360" w:lineRule="auto"/>
              <w:ind w:firstLine="482" w:firstLineChars="200"/>
              <w:rPr>
                <w:rFonts w:hint="eastAsia" w:ascii="瀹嬩綋" w:hAnsi="瀹嬩綋" w:eastAsia="瀹嬩綋"/>
                <w:b/>
                <w:bCs/>
                <w:sz w:val="24"/>
                <w:szCs w:val="24"/>
              </w:rPr>
            </w:pPr>
            <w:r>
              <w:rPr>
                <w:rFonts w:hint="eastAsia" w:ascii="瀹嬩綋" w:hAnsi="瀹嬩綋" w:eastAsia="瀹嬩綋"/>
                <w:b/>
                <w:bCs/>
                <w:sz w:val="24"/>
                <w:szCs w:val="24"/>
                <w:lang w:val="en-US" w:eastAsia="zh-CN"/>
              </w:rPr>
              <w:t>4、</w:t>
            </w:r>
            <w:r>
              <w:rPr>
                <w:rFonts w:hint="eastAsia" w:ascii="瀹嬩綋" w:hAnsi="瀹嬩綋" w:eastAsia="瀹嬩綋"/>
                <w:b/>
                <w:bCs/>
                <w:sz w:val="24"/>
                <w:szCs w:val="24"/>
              </w:rPr>
              <w:t>对野生动物影响调查</w:t>
            </w:r>
          </w:p>
          <w:p w14:paraId="40F89FC8">
            <w:pPr>
              <w:numPr>
                <w:ilvl w:val="0"/>
                <w:numId w:val="0"/>
              </w:numPr>
              <w:spacing w:line="360" w:lineRule="auto"/>
              <w:ind w:firstLine="480" w:firstLineChars="200"/>
              <w:rPr>
                <w:bCs/>
                <w:sz w:val="24"/>
                <w:szCs w:val="24"/>
              </w:rPr>
            </w:pPr>
            <w:r>
              <w:rPr>
                <w:rFonts w:hint="eastAsia" w:ascii="瀹嬩綋" w:hAnsi="瀹嬩綋" w:eastAsia="瀹嬩綋"/>
                <w:sz w:val="24"/>
                <w:szCs w:val="24"/>
              </w:rPr>
              <w:t>项目所在地土地垦殖率较高，人类生产活动影响大，项目沿线未发现国家保护的野生珍稀动物分布。</w:t>
            </w:r>
            <w:r>
              <w:rPr>
                <w:rFonts w:hint="eastAsia"/>
                <w:bCs/>
                <w:spacing w:val="-6"/>
                <w:sz w:val="24"/>
                <w:szCs w:val="24"/>
              </w:rPr>
              <w:t>工程施工期对陆生动物的这些影响主要包括施工中对动物的干扰、生境扰动以及可能发生的人为捕猎。工程影响范围内野生动物主要为老鼠、蟾蜍、蛙类、蜥蜴、蛇、麻雀等，均为当地常见动物</w:t>
            </w:r>
            <w:r>
              <w:rPr>
                <w:rFonts w:hint="eastAsia"/>
                <w:bCs/>
                <w:sz w:val="24"/>
                <w:szCs w:val="24"/>
              </w:rPr>
              <w:t>。</w:t>
            </w:r>
          </w:p>
          <w:p w14:paraId="58012990">
            <w:pPr>
              <w:pStyle w:val="19"/>
              <w:spacing w:after="0" w:line="360" w:lineRule="auto"/>
              <w:ind w:left="0" w:leftChars="0" w:firstLine="480" w:firstLineChars="200"/>
              <w:contextualSpacing/>
              <w:rPr>
                <w:rFonts w:hint="eastAsia"/>
                <w:bCs/>
              </w:rPr>
            </w:pPr>
            <w:r>
              <w:rPr>
                <w:rFonts w:hint="eastAsia"/>
                <w:bCs/>
              </w:rPr>
              <w:t>综上所述，本项目施工期各项生态保护措施均严格按照环评文件及其批复执行，生态环境保护措施有效，各项生态保护措施落实较好。</w:t>
            </w:r>
          </w:p>
          <w:tbl>
            <w:tblPr>
              <w:tblStyle w:val="3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53"/>
              <w:gridCol w:w="4175"/>
            </w:tblGrid>
            <w:tr w14:paraId="7A041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noWrap w:val="0"/>
                  <w:vAlign w:val="center"/>
                </w:tcPr>
                <w:p w14:paraId="4021CD81">
                  <w:pPr>
                    <w:pStyle w:val="119"/>
                  </w:pPr>
                  <w:bookmarkStart w:id="162" w:name="_Hlk212818906"/>
                  <w:r>
                    <w:drawing>
                      <wp:inline distT="0" distB="0" distL="114300" distR="114300">
                        <wp:extent cx="2690495" cy="1869440"/>
                        <wp:effectExtent l="0" t="0" r="635" b="4445"/>
                        <wp:docPr id="3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2"/>
                                <pic:cNvPicPr>
                                  <a:picLocks noChangeAspect="1"/>
                                </pic:cNvPicPr>
                              </pic:nvPicPr>
                              <pic:blipFill>
                                <a:blip r:embed="rId16"/>
                                <a:stretch>
                                  <a:fillRect/>
                                </a:stretch>
                              </pic:blipFill>
                              <pic:spPr>
                                <a:xfrm>
                                  <a:off x="0" y="0"/>
                                  <a:ext cx="2690495" cy="1869440"/>
                                </a:xfrm>
                                <a:prstGeom prst="rect">
                                  <a:avLst/>
                                </a:prstGeom>
                                <a:noFill/>
                                <a:ln>
                                  <a:noFill/>
                                </a:ln>
                              </pic:spPr>
                            </pic:pic>
                          </a:graphicData>
                        </a:graphic>
                      </wp:inline>
                    </w:drawing>
                  </w:r>
                </w:p>
              </w:tc>
              <w:tc>
                <w:tcPr>
                  <w:tcW w:w="4261" w:type="dxa"/>
                  <w:noWrap w:val="0"/>
                  <w:vAlign w:val="center"/>
                </w:tcPr>
                <w:p w14:paraId="72FD2829">
                  <w:pPr>
                    <w:pStyle w:val="119"/>
                  </w:pPr>
                  <w:r>
                    <w:drawing>
                      <wp:inline distT="0" distB="0" distL="114300" distR="114300">
                        <wp:extent cx="2571750" cy="1859915"/>
                        <wp:effectExtent l="0" t="0" r="3810" b="5715"/>
                        <wp:docPr id="2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3"/>
                                <pic:cNvPicPr>
                                  <a:picLocks noChangeAspect="1"/>
                                </pic:cNvPicPr>
                              </pic:nvPicPr>
                              <pic:blipFill>
                                <a:blip r:embed="rId17"/>
                                <a:stretch>
                                  <a:fillRect/>
                                </a:stretch>
                              </pic:blipFill>
                              <pic:spPr>
                                <a:xfrm>
                                  <a:off x="0" y="0"/>
                                  <a:ext cx="2571750" cy="1859915"/>
                                </a:xfrm>
                                <a:prstGeom prst="rect">
                                  <a:avLst/>
                                </a:prstGeom>
                                <a:noFill/>
                                <a:ln>
                                  <a:noFill/>
                                </a:ln>
                              </pic:spPr>
                            </pic:pic>
                          </a:graphicData>
                        </a:graphic>
                      </wp:inline>
                    </w:drawing>
                  </w:r>
                </w:p>
              </w:tc>
            </w:tr>
            <w:tr w14:paraId="53A78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noWrap w:val="0"/>
                  <w:vAlign w:val="center"/>
                </w:tcPr>
                <w:p w14:paraId="1992F4A7">
                  <w:pPr>
                    <w:pStyle w:val="119"/>
                  </w:pPr>
                  <w:r>
                    <w:drawing>
                      <wp:inline distT="0" distB="0" distL="114300" distR="114300">
                        <wp:extent cx="2565400" cy="1943735"/>
                        <wp:effectExtent l="0" t="0" r="1905" b="4445"/>
                        <wp:docPr id="3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4"/>
                                <pic:cNvPicPr>
                                  <a:picLocks noChangeAspect="1"/>
                                </pic:cNvPicPr>
                              </pic:nvPicPr>
                              <pic:blipFill>
                                <a:blip r:embed="rId18"/>
                                <a:stretch>
                                  <a:fillRect/>
                                </a:stretch>
                              </pic:blipFill>
                              <pic:spPr>
                                <a:xfrm>
                                  <a:off x="0" y="0"/>
                                  <a:ext cx="2565400" cy="1943735"/>
                                </a:xfrm>
                                <a:prstGeom prst="rect">
                                  <a:avLst/>
                                </a:prstGeom>
                                <a:noFill/>
                                <a:ln>
                                  <a:noFill/>
                                </a:ln>
                              </pic:spPr>
                            </pic:pic>
                          </a:graphicData>
                        </a:graphic>
                      </wp:inline>
                    </w:drawing>
                  </w:r>
                </w:p>
              </w:tc>
              <w:tc>
                <w:tcPr>
                  <w:tcW w:w="4261" w:type="dxa"/>
                  <w:noWrap w:val="0"/>
                  <w:vAlign w:val="center"/>
                </w:tcPr>
                <w:p w14:paraId="1F7E42F6">
                  <w:pPr>
                    <w:pStyle w:val="119"/>
                  </w:pPr>
                  <w:r>
                    <w:drawing>
                      <wp:inline distT="0" distB="0" distL="114300" distR="114300">
                        <wp:extent cx="2571115" cy="1910715"/>
                        <wp:effectExtent l="0" t="0" r="4445" b="4445"/>
                        <wp:docPr id="2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5"/>
                                <pic:cNvPicPr>
                                  <a:picLocks noChangeAspect="1"/>
                                </pic:cNvPicPr>
                              </pic:nvPicPr>
                              <pic:blipFill>
                                <a:blip r:embed="rId19"/>
                                <a:stretch>
                                  <a:fillRect/>
                                </a:stretch>
                              </pic:blipFill>
                              <pic:spPr>
                                <a:xfrm>
                                  <a:off x="0" y="0"/>
                                  <a:ext cx="2571115" cy="1910715"/>
                                </a:xfrm>
                                <a:prstGeom prst="rect">
                                  <a:avLst/>
                                </a:prstGeom>
                                <a:noFill/>
                                <a:ln>
                                  <a:noFill/>
                                </a:ln>
                              </pic:spPr>
                            </pic:pic>
                          </a:graphicData>
                        </a:graphic>
                      </wp:inline>
                    </w:drawing>
                  </w:r>
                </w:p>
              </w:tc>
            </w:tr>
            <w:tr w14:paraId="3684C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noWrap w:val="0"/>
                  <w:vAlign w:val="center"/>
                </w:tcPr>
                <w:p w14:paraId="1C1D4A26">
                  <w:pPr>
                    <w:pStyle w:val="119"/>
                  </w:pPr>
                  <w:r>
                    <w:drawing>
                      <wp:inline distT="0" distB="0" distL="114300" distR="114300">
                        <wp:extent cx="2571750" cy="1612900"/>
                        <wp:effectExtent l="0" t="0" r="3810" b="5080"/>
                        <wp:docPr id="3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6"/>
                                <pic:cNvPicPr>
                                  <a:picLocks noChangeAspect="1"/>
                                </pic:cNvPicPr>
                              </pic:nvPicPr>
                              <pic:blipFill>
                                <a:blip r:embed="rId20"/>
                                <a:stretch>
                                  <a:fillRect/>
                                </a:stretch>
                              </pic:blipFill>
                              <pic:spPr>
                                <a:xfrm>
                                  <a:off x="0" y="0"/>
                                  <a:ext cx="2571750" cy="1612900"/>
                                </a:xfrm>
                                <a:prstGeom prst="rect">
                                  <a:avLst/>
                                </a:prstGeom>
                                <a:noFill/>
                                <a:ln>
                                  <a:noFill/>
                                </a:ln>
                              </pic:spPr>
                            </pic:pic>
                          </a:graphicData>
                        </a:graphic>
                      </wp:inline>
                    </w:drawing>
                  </w:r>
                </w:p>
              </w:tc>
              <w:tc>
                <w:tcPr>
                  <w:tcW w:w="4261" w:type="dxa"/>
                  <w:noWrap w:val="0"/>
                  <w:vAlign w:val="center"/>
                </w:tcPr>
                <w:p w14:paraId="089C461C">
                  <w:pPr>
                    <w:pStyle w:val="119"/>
                  </w:pPr>
                  <w:r>
                    <w:drawing>
                      <wp:inline distT="0" distB="0" distL="114300" distR="114300">
                        <wp:extent cx="2566035" cy="1593850"/>
                        <wp:effectExtent l="0" t="0" r="1270" b="7620"/>
                        <wp:docPr id="3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7"/>
                                <pic:cNvPicPr>
                                  <a:picLocks noChangeAspect="1"/>
                                </pic:cNvPicPr>
                              </pic:nvPicPr>
                              <pic:blipFill>
                                <a:blip r:embed="rId21"/>
                                <a:stretch>
                                  <a:fillRect/>
                                </a:stretch>
                              </pic:blipFill>
                              <pic:spPr>
                                <a:xfrm>
                                  <a:off x="0" y="0"/>
                                  <a:ext cx="2566035" cy="1593850"/>
                                </a:xfrm>
                                <a:prstGeom prst="rect">
                                  <a:avLst/>
                                </a:prstGeom>
                                <a:noFill/>
                                <a:ln>
                                  <a:noFill/>
                                </a:ln>
                              </pic:spPr>
                            </pic:pic>
                          </a:graphicData>
                        </a:graphic>
                      </wp:inline>
                    </w:drawing>
                  </w:r>
                </w:p>
              </w:tc>
            </w:tr>
            <w:tr w14:paraId="048F0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noWrap w:val="0"/>
                  <w:vAlign w:val="center"/>
                </w:tcPr>
                <w:p w14:paraId="5162D21C">
                  <w:pPr>
                    <w:pStyle w:val="119"/>
                  </w:pPr>
                  <w:r>
                    <w:drawing>
                      <wp:inline distT="0" distB="0" distL="114300" distR="114300">
                        <wp:extent cx="2564765" cy="1870710"/>
                        <wp:effectExtent l="0" t="0" r="2540" b="3175"/>
                        <wp:docPr id="3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8"/>
                                <pic:cNvPicPr>
                                  <a:picLocks noChangeAspect="1"/>
                                </pic:cNvPicPr>
                              </pic:nvPicPr>
                              <pic:blipFill>
                                <a:blip r:embed="rId22"/>
                                <a:stretch>
                                  <a:fillRect/>
                                </a:stretch>
                              </pic:blipFill>
                              <pic:spPr>
                                <a:xfrm>
                                  <a:off x="0" y="0"/>
                                  <a:ext cx="2564765" cy="1870710"/>
                                </a:xfrm>
                                <a:prstGeom prst="rect">
                                  <a:avLst/>
                                </a:prstGeom>
                                <a:noFill/>
                                <a:ln>
                                  <a:noFill/>
                                </a:ln>
                              </pic:spPr>
                            </pic:pic>
                          </a:graphicData>
                        </a:graphic>
                      </wp:inline>
                    </w:drawing>
                  </w:r>
                </w:p>
              </w:tc>
              <w:tc>
                <w:tcPr>
                  <w:tcW w:w="4261" w:type="dxa"/>
                  <w:noWrap w:val="0"/>
                  <w:vAlign w:val="center"/>
                </w:tcPr>
                <w:p w14:paraId="31B25B22">
                  <w:pPr>
                    <w:pStyle w:val="119"/>
                  </w:pPr>
                  <w:r>
                    <w:drawing>
                      <wp:inline distT="0" distB="0" distL="114300" distR="114300">
                        <wp:extent cx="2566035" cy="1795145"/>
                        <wp:effectExtent l="0" t="0" r="1270" b="4445"/>
                        <wp:docPr id="37"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9"/>
                                <pic:cNvPicPr>
                                  <a:picLocks noChangeAspect="1"/>
                                </pic:cNvPicPr>
                              </pic:nvPicPr>
                              <pic:blipFill>
                                <a:blip r:embed="rId23"/>
                                <a:stretch>
                                  <a:fillRect/>
                                </a:stretch>
                              </pic:blipFill>
                              <pic:spPr>
                                <a:xfrm>
                                  <a:off x="0" y="0"/>
                                  <a:ext cx="2566035" cy="1795145"/>
                                </a:xfrm>
                                <a:prstGeom prst="rect">
                                  <a:avLst/>
                                </a:prstGeom>
                                <a:noFill/>
                                <a:ln>
                                  <a:noFill/>
                                </a:ln>
                              </pic:spPr>
                            </pic:pic>
                          </a:graphicData>
                        </a:graphic>
                      </wp:inline>
                    </w:drawing>
                  </w:r>
                </w:p>
              </w:tc>
            </w:tr>
            <w:tr w14:paraId="143D1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noWrap w:val="0"/>
                  <w:vAlign w:val="center"/>
                </w:tcPr>
                <w:p w14:paraId="670259D9">
                  <w:pPr>
                    <w:pStyle w:val="119"/>
                  </w:pPr>
                  <w:r>
                    <w:drawing>
                      <wp:inline distT="0" distB="0" distL="114300" distR="114300">
                        <wp:extent cx="2570480" cy="1613535"/>
                        <wp:effectExtent l="0" t="0" r="5080" b="4445"/>
                        <wp:docPr id="3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0"/>
                                <pic:cNvPicPr>
                                  <a:picLocks noChangeAspect="1"/>
                                </pic:cNvPicPr>
                              </pic:nvPicPr>
                              <pic:blipFill>
                                <a:blip r:embed="rId24"/>
                                <a:stretch>
                                  <a:fillRect/>
                                </a:stretch>
                              </pic:blipFill>
                              <pic:spPr>
                                <a:xfrm>
                                  <a:off x="0" y="0"/>
                                  <a:ext cx="2570480" cy="1613535"/>
                                </a:xfrm>
                                <a:prstGeom prst="rect">
                                  <a:avLst/>
                                </a:prstGeom>
                                <a:noFill/>
                                <a:ln>
                                  <a:noFill/>
                                </a:ln>
                              </pic:spPr>
                            </pic:pic>
                          </a:graphicData>
                        </a:graphic>
                      </wp:inline>
                    </w:drawing>
                  </w:r>
                </w:p>
              </w:tc>
              <w:tc>
                <w:tcPr>
                  <w:tcW w:w="4261" w:type="dxa"/>
                  <w:noWrap w:val="0"/>
                  <w:vAlign w:val="center"/>
                </w:tcPr>
                <w:p w14:paraId="0ED26695">
                  <w:pPr>
                    <w:pStyle w:val="119"/>
                  </w:pPr>
                  <w:r>
                    <w:drawing>
                      <wp:inline distT="0" distB="0" distL="114300" distR="114300">
                        <wp:extent cx="2568575" cy="1666875"/>
                        <wp:effectExtent l="0" t="0" r="6985" b="635"/>
                        <wp:docPr id="3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1"/>
                                <pic:cNvPicPr>
                                  <a:picLocks noChangeAspect="1"/>
                                </pic:cNvPicPr>
                              </pic:nvPicPr>
                              <pic:blipFill>
                                <a:blip r:embed="rId25"/>
                                <a:stretch>
                                  <a:fillRect/>
                                </a:stretch>
                              </pic:blipFill>
                              <pic:spPr>
                                <a:xfrm>
                                  <a:off x="0" y="0"/>
                                  <a:ext cx="2568575" cy="1666875"/>
                                </a:xfrm>
                                <a:prstGeom prst="rect">
                                  <a:avLst/>
                                </a:prstGeom>
                                <a:noFill/>
                                <a:ln>
                                  <a:noFill/>
                                </a:ln>
                              </pic:spPr>
                            </pic:pic>
                          </a:graphicData>
                        </a:graphic>
                      </wp:inline>
                    </w:drawing>
                  </w:r>
                </w:p>
              </w:tc>
            </w:tr>
            <w:tr w14:paraId="12304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noWrap w:val="0"/>
                  <w:vAlign w:val="center"/>
                </w:tcPr>
                <w:p w14:paraId="49E6C511">
                  <w:pPr>
                    <w:pStyle w:val="119"/>
                  </w:pPr>
                  <w:r>
                    <w:drawing>
                      <wp:inline distT="0" distB="0" distL="114300" distR="114300">
                        <wp:extent cx="2567940" cy="1795780"/>
                        <wp:effectExtent l="0" t="0" r="7620" b="3810"/>
                        <wp:docPr id="2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2"/>
                                <pic:cNvPicPr>
                                  <a:picLocks noChangeAspect="1"/>
                                </pic:cNvPicPr>
                              </pic:nvPicPr>
                              <pic:blipFill>
                                <a:blip r:embed="rId26"/>
                                <a:stretch>
                                  <a:fillRect/>
                                </a:stretch>
                              </pic:blipFill>
                              <pic:spPr>
                                <a:xfrm>
                                  <a:off x="0" y="0"/>
                                  <a:ext cx="2567940" cy="1795780"/>
                                </a:xfrm>
                                <a:prstGeom prst="rect">
                                  <a:avLst/>
                                </a:prstGeom>
                                <a:noFill/>
                                <a:ln>
                                  <a:noFill/>
                                </a:ln>
                              </pic:spPr>
                            </pic:pic>
                          </a:graphicData>
                        </a:graphic>
                      </wp:inline>
                    </w:drawing>
                  </w:r>
                </w:p>
              </w:tc>
              <w:tc>
                <w:tcPr>
                  <w:tcW w:w="4261" w:type="dxa"/>
                  <w:noWrap w:val="0"/>
                  <w:vAlign w:val="center"/>
                </w:tcPr>
                <w:p w14:paraId="64EC4EFB">
                  <w:pPr>
                    <w:pStyle w:val="119"/>
                  </w:pPr>
                  <w:r>
                    <w:drawing>
                      <wp:inline distT="0" distB="0" distL="114300" distR="114300">
                        <wp:extent cx="2558415" cy="1743075"/>
                        <wp:effectExtent l="0" t="0" r="635" b="6985"/>
                        <wp:docPr id="27"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3"/>
                                <pic:cNvPicPr>
                                  <a:picLocks noChangeAspect="1"/>
                                </pic:cNvPicPr>
                              </pic:nvPicPr>
                              <pic:blipFill>
                                <a:blip r:embed="rId27"/>
                                <a:stretch>
                                  <a:fillRect/>
                                </a:stretch>
                              </pic:blipFill>
                              <pic:spPr>
                                <a:xfrm>
                                  <a:off x="0" y="0"/>
                                  <a:ext cx="2558415" cy="1743075"/>
                                </a:xfrm>
                                <a:prstGeom prst="rect">
                                  <a:avLst/>
                                </a:prstGeom>
                                <a:noFill/>
                                <a:ln>
                                  <a:noFill/>
                                </a:ln>
                              </pic:spPr>
                            </pic:pic>
                          </a:graphicData>
                        </a:graphic>
                      </wp:inline>
                    </w:drawing>
                  </w:r>
                </w:p>
              </w:tc>
            </w:tr>
            <w:tr w14:paraId="56546B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noWrap w:val="0"/>
                  <w:vAlign w:val="center"/>
                </w:tcPr>
                <w:p w14:paraId="0DA7C148">
                  <w:pPr>
                    <w:pStyle w:val="117"/>
                    <w:rPr>
                      <w:rFonts w:cs="Times New Roman"/>
                    </w:rPr>
                  </w:pPr>
                  <w:r>
                    <w:rPr>
                      <w:rFonts w:cs="Times New Roman"/>
                    </w:rPr>
                    <w:t>项目区现状照片</w:t>
                  </w:r>
                </w:p>
              </w:tc>
            </w:tr>
            <w:tr w14:paraId="6B718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30" w:hRule="atLeast"/>
              </w:trPr>
              <w:tc>
                <w:tcPr>
                  <w:tcW w:w="4261" w:type="dxa"/>
                  <w:noWrap w:val="0"/>
                  <w:vAlign w:val="center"/>
                </w:tcPr>
                <w:p w14:paraId="03AD3DDA">
                  <w:pPr>
                    <w:pStyle w:val="119"/>
                  </w:pPr>
                  <w:r>
                    <w:drawing>
                      <wp:inline distT="0" distB="0" distL="114300" distR="114300">
                        <wp:extent cx="2569210" cy="1682115"/>
                        <wp:effectExtent l="0" t="0" r="6350" b="1905"/>
                        <wp:docPr id="3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4"/>
                                <pic:cNvPicPr>
                                  <a:picLocks noChangeAspect="1"/>
                                </pic:cNvPicPr>
                              </pic:nvPicPr>
                              <pic:blipFill>
                                <a:blip r:embed="rId28"/>
                                <a:stretch>
                                  <a:fillRect/>
                                </a:stretch>
                              </pic:blipFill>
                              <pic:spPr>
                                <a:xfrm>
                                  <a:off x="0" y="0"/>
                                  <a:ext cx="2569210" cy="1682115"/>
                                </a:xfrm>
                                <a:prstGeom prst="rect">
                                  <a:avLst/>
                                </a:prstGeom>
                                <a:noFill/>
                                <a:ln>
                                  <a:noFill/>
                                </a:ln>
                              </pic:spPr>
                            </pic:pic>
                          </a:graphicData>
                        </a:graphic>
                      </wp:inline>
                    </w:drawing>
                  </w:r>
                </w:p>
              </w:tc>
              <w:tc>
                <w:tcPr>
                  <w:tcW w:w="4261" w:type="dxa"/>
                  <w:noWrap w:val="0"/>
                  <w:vAlign w:val="center"/>
                </w:tcPr>
                <w:p w14:paraId="0357225C">
                  <w:pPr>
                    <w:pStyle w:val="119"/>
                  </w:pPr>
                  <w:r>
                    <w:pict>
                      <v:shape id="自选图形 162" o:spid="_x0000_s1026" o:spt="61" type="#_x0000_t61" style="position:absolute;left:0pt;margin-left:89.55pt;margin-top:60.05pt;height:27.6pt;width:76.2pt;z-index:251659264;mso-width-relative:page;mso-height-relative:page;" filled="f" stroked="t" coordsize="21600,21600" adj="28488,28526">
                        <v:path/>
                        <v:fill on="f" focussize="0,0"/>
                        <v:stroke color="#FF0000"/>
                        <v:imagedata o:title=""/>
                        <o:lock v:ext="edit"/>
                        <v:textbox>
                          <w:txbxContent>
                            <w:p w14:paraId="32DCEBFF">
                              <w:pPr>
                                <w:ind w:firstLine="0" w:firstLineChars="0"/>
                                <w:rPr>
                                  <w:rFonts w:hint="eastAsia"/>
                                  <w:b/>
                                  <w:bCs/>
                                  <w:color w:val="EE0000"/>
                                </w:rPr>
                              </w:pPr>
                              <w:r>
                                <w:rPr>
                                  <w:rFonts w:hint="eastAsia"/>
                                  <w:b/>
                                  <w:bCs/>
                                  <w:color w:val="EE0000"/>
                                </w:rPr>
                                <w:t>临时排水沟</w:t>
                              </w:r>
                            </w:p>
                          </w:txbxContent>
                        </v:textbox>
                      </v:shape>
                    </w:pict>
                  </w:r>
                  <w:r>
                    <w:drawing>
                      <wp:inline distT="0" distB="0" distL="114300" distR="114300">
                        <wp:extent cx="2570480" cy="1734185"/>
                        <wp:effectExtent l="0" t="0" r="5080" b="762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29"/>
                                <a:stretch>
                                  <a:fillRect/>
                                </a:stretch>
                              </pic:blipFill>
                              <pic:spPr>
                                <a:xfrm>
                                  <a:off x="0" y="0"/>
                                  <a:ext cx="2570480" cy="1734185"/>
                                </a:xfrm>
                                <a:prstGeom prst="rect">
                                  <a:avLst/>
                                </a:prstGeom>
                                <a:noFill/>
                                <a:ln>
                                  <a:noFill/>
                                </a:ln>
                              </pic:spPr>
                            </pic:pic>
                          </a:graphicData>
                        </a:graphic>
                      </wp:inline>
                    </w:drawing>
                  </w:r>
                </w:p>
              </w:tc>
            </w:tr>
            <w:tr w14:paraId="40591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noWrap w:val="0"/>
                  <w:vAlign w:val="center"/>
                </w:tcPr>
                <w:p w14:paraId="3BB5D17F">
                  <w:pPr>
                    <w:pStyle w:val="119"/>
                  </w:pPr>
                  <w:r>
                    <w:t>临时遮盖</w:t>
                  </w:r>
                </w:p>
              </w:tc>
              <w:tc>
                <w:tcPr>
                  <w:tcW w:w="4261" w:type="dxa"/>
                  <w:noWrap w:val="0"/>
                  <w:vAlign w:val="center"/>
                </w:tcPr>
                <w:p w14:paraId="3CF84561">
                  <w:pPr>
                    <w:pStyle w:val="119"/>
                  </w:pPr>
                  <w:r>
                    <w:rPr>
                      <w:rFonts w:hint="eastAsia"/>
                    </w:rPr>
                    <w:t>临时排水</w:t>
                  </w:r>
                </w:p>
              </w:tc>
            </w:tr>
            <w:tr w14:paraId="294F3C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noWrap w:val="0"/>
                  <w:vAlign w:val="center"/>
                </w:tcPr>
                <w:p w14:paraId="2B7B99B0">
                  <w:pPr>
                    <w:pStyle w:val="119"/>
                  </w:pPr>
                  <w:r>
                    <w:rPr>
                      <w:rFonts w:hint="eastAsia"/>
                    </w:rPr>
                    <w:pict>
                      <v:shape id="自选图形 843" o:spid="_x0000_s1027" o:spt="61" type="#_x0000_t61" style="position:absolute;left:0pt;margin-left:80.7pt;margin-top:32.7pt;height:27.6pt;width:76.2pt;z-index:251660288;mso-width-relative:page;mso-height-relative:page;" filled="f" stroked="t" coordsize="21600,21600" adj="-8291,35570">
                        <v:path/>
                        <v:fill on="f" focussize="0,0"/>
                        <v:stroke color="#FF0000"/>
                        <v:imagedata o:title=""/>
                        <o:lock v:ext="edit"/>
                        <v:textbox>
                          <w:txbxContent>
                            <w:p w14:paraId="3C09E70E">
                              <w:pPr>
                                <w:ind w:firstLine="0" w:firstLineChars="0"/>
                                <w:rPr>
                                  <w:rFonts w:hint="eastAsia"/>
                                  <w:b/>
                                  <w:bCs/>
                                  <w:color w:val="EE0000"/>
                                </w:rPr>
                              </w:pPr>
                              <w:r>
                                <w:rPr>
                                  <w:rFonts w:hint="eastAsia"/>
                                  <w:b/>
                                  <w:bCs/>
                                  <w:color w:val="EE0000"/>
                                </w:rPr>
                                <w:t>临时排水沟</w:t>
                              </w:r>
                            </w:p>
                          </w:txbxContent>
                        </v:textbox>
                      </v:shape>
                    </w:pict>
                  </w:r>
                  <w:r>
                    <w:drawing>
                      <wp:inline distT="0" distB="0" distL="114300" distR="114300">
                        <wp:extent cx="2568575" cy="1811020"/>
                        <wp:effectExtent l="0" t="0" r="6985" b="5080"/>
                        <wp:docPr id="2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6"/>
                                <pic:cNvPicPr>
                                  <a:picLocks noChangeAspect="1"/>
                                </pic:cNvPicPr>
                              </pic:nvPicPr>
                              <pic:blipFill>
                                <a:blip r:embed="rId30"/>
                                <a:stretch>
                                  <a:fillRect/>
                                </a:stretch>
                              </pic:blipFill>
                              <pic:spPr>
                                <a:xfrm>
                                  <a:off x="0" y="0"/>
                                  <a:ext cx="2568575" cy="1811020"/>
                                </a:xfrm>
                                <a:prstGeom prst="rect">
                                  <a:avLst/>
                                </a:prstGeom>
                                <a:noFill/>
                                <a:ln>
                                  <a:noFill/>
                                </a:ln>
                              </pic:spPr>
                            </pic:pic>
                          </a:graphicData>
                        </a:graphic>
                      </wp:inline>
                    </w:drawing>
                  </w:r>
                </w:p>
              </w:tc>
              <w:tc>
                <w:tcPr>
                  <w:tcW w:w="4261" w:type="dxa"/>
                  <w:noWrap w:val="0"/>
                  <w:vAlign w:val="center"/>
                </w:tcPr>
                <w:p w14:paraId="5E0BE696">
                  <w:pPr>
                    <w:pStyle w:val="119"/>
                    <w:rPr>
                      <w:rFonts w:hint="eastAsia"/>
                    </w:rPr>
                  </w:pPr>
                  <w:r>
                    <w:drawing>
                      <wp:inline distT="0" distB="0" distL="114300" distR="114300">
                        <wp:extent cx="2559050" cy="1800860"/>
                        <wp:effectExtent l="0" t="0" r="0" b="6985"/>
                        <wp:docPr id="1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7"/>
                                <pic:cNvPicPr>
                                  <a:picLocks noChangeAspect="1"/>
                                </pic:cNvPicPr>
                              </pic:nvPicPr>
                              <pic:blipFill>
                                <a:blip r:embed="rId31"/>
                                <a:stretch>
                                  <a:fillRect/>
                                </a:stretch>
                              </pic:blipFill>
                              <pic:spPr>
                                <a:xfrm>
                                  <a:off x="0" y="0"/>
                                  <a:ext cx="2559050" cy="1800860"/>
                                </a:xfrm>
                                <a:prstGeom prst="rect">
                                  <a:avLst/>
                                </a:prstGeom>
                                <a:noFill/>
                                <a:ln>
                                  <a:noFill/>
                                </a:ln>
                              </pic:spPr>
                            </pic:pic>
                          </a:graphicData>
                        </a:graphic>
                      </wp:inline>
                    </w:drawing>
                  </w:r>
                </w:p>
              </w:tc>
            </w:tr>
            <w:tr w14:paraId="1D414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noWrap w:val="0"/>
                  <w:vAlign w:val="center"/>
                </w:tcPr>
                <w:p w14:paraId="4F32D3C8">
                  <w:pPr>
                    <w:pStyle w:val="119"/>
                  </w:pPr>
                  <w:r>
                    <w:rPr>
                      <w:rFonts w:hint="eastAsia"/>
                    </w:rPr>
                    <w:t>临时排水</w:t>
                  </w:r>
                </w:p>
              </w:tc>
              <w:tc>
                <w:tcPr>
                  <w:tcW w:w="4261" w:type="dxa"/>
                  <w:noWrap w:val="0"/>
                  <w:vAlign w:val="center"/>
                </w:tcPr>
                <w:p w14:paraId="21AC94BC">
                  <w:pPr>
                    <w:pStyle w:val="119"/>
                    <w:rPr>
                      <w:rFonts w:hint="eastAsia"/>
                    </w:rPr>
                  </w:pPr>
                  <w:r>
                    <w:rPr>
                      <w:rFonts w:hint="eastAsia"/>
                    </w:rPr>
                    <w:t>土地整治</w:t>
                  </w:r>
                </w:p>
              </w:tc>
            </w:tr>
            <w:tr w14:paraId="599E6E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5" w:hRule="atLeast"/>
              </w:trPr>
              <w:tc>
                <w:tcPr>
                  <w:tcW w:w="4261" w:type="dxa"/>
                  <w:noWrap w:val="0"/>
                  <w:vAlign w:val="center"/>
                </w:tcPr>
                <w:p w14:paraId="0EA88217">
                  <w:pPr>
                    <w:pStyle w:val="114"/>
                    <w:rPr>
                      <w:rFonts w:hint="eastAsia"/>
                    </w:rPr>
                  </w:pPr>
                  <w:r>
                    <w:drawing>
                      <wp:inline distT="0" distB="0" distL="114300" distR="114300">
                        <wp:extent cx="2571750" cy="1725930"/>
                        <wp:effectExtent l="0" t="0" r="3810" b="7620"/>
                        <wp:docPr id="2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8"/>
                                <pic:cNvPicPr>
                                  <a:picLocks noChangeAspect="1"/>
                                </pic:cNvPicPr>
                              </pic:nvPicPr>
                              <pic:blipFill>
                                <a:blip r:embed="rId32"/>
                                <a:stretch>
                                  <a:fillRect/>
                                </a:stretch>
                              </pic:blipFill>
                              <pic:spPr>
                                <a:xfrm>
                                  <a:off x="0" y="0"/>
                                  <a:ext cx="2571750" cy="1725930"/>
                                </a:xfrm>
                                <a:prstGeom prst="rect">
                                  <a:avLst/>
                                </a:prstGeom>
                                <a:noFill/>
                                <a:ln>
                                  <a:noFill/>
                                </a:ln>
                              </pic:spPr>
                            </pic:pic>
                          </a:graphicData>
                        </a:graphic>
                      </wp:inline>
                    </w:drawing>
                  </w:r>
                </w:p>
              </w:tc>
              <w:tc>
                <w:tcPr>
                  <w:tcW w:w="4261" w:type="dxa"/>
                  <w:noWrap w:val="0"/>
                  <w:vAlign w:val="center"/>
                </w:tcPr>
                <w:p w14:paraId="71FE2EFC">
                  <w:pPr>
                    <w:pStyle w:val="114"/>
                    <w:rPr>
                      <w:rFonts w:hint="eastAsia"/>
                    </w:rPr>
                  </w:pPr>
                  <w:r>
                    <w:drawing>
                      <wp:inline distT="0" distB="0" distL="114300" distR="114300">
                        <wp:extent cx="2465070" cy="1717040"/>
                        <wp:effectExtent l="0" t="0" r="3175" b="0"/>
                        <wp:docPr id="2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9"/>
                                <pic:cNvPicPr>
                                  <a:picLocks noChangeAspect="1"/>
                                </pic:cNvPicPr>
                              </pic:nvPicPr>
                              <pic:blipFill>
                                <a:blip r:embed="rId33"/>
                                <a:stretch>
                                  <a:fillRect/>
                                </a:stretch>
                              </pic:blipFill>
                              <pic:spPr>
                                <a:xfrm>
                                  <a:off x="0" y="0"/>
                                  <a:ext cx="2465070" cy="1717040"/>
                                </a:xfrm>
                                <a:prstGeom prst="rect">
                                  <a:avLst/>
                                </a:prstGeom>
                                <a:noFill/>
                                <a:ln>
                                  <a:noFill/>
                                </a:ln>
                              </pic:spPr>
                            </pic:pic>
                          </a:graphicData>
                        </a:graphic>
                      </wp:inline>
                    </w:drawing>
                  </w:r>
                </w:p>
              </w:tc>
            </w:tr>
            <w:tr w14:paraId="6F631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noWrap w:val="0"/>
                  <w:vAlign w:val="center"/>
                </w:tcPr>
                <w:p w14:paraId="5A0D42DF">
                  <w:pPr>
                    <w:pStyle w:val="114"/>
                    <w:rPr>
                      <w:rFonts w:hint="eastAsia"/>
                    </w:rPr>
                  </w:pPr>
                  <w:r>
                    <w:rPr>
                      <w:rFonts w:hint="eastAsia"/>
                    </w:rPr>
                    <w:t>表土剥离</w:t>
                  </w:r>
                </w:p>
              </w:tc>
              <w:tc>
                <w:tcPr>
                  <w:tcW w:w="4261" w:type="dxa"/>
                  <w:noWrap w:val="0"/>
                  <w:vAlign w:val="center"/>
                </w:tcPr>
                <w:p w14:paraId="2D08B0AE">
                  <w:pPr>
                    <w:pStyle w:val="114"/>
                    <w:rPr>
                      <w:rFonts w:hint="eastAsia"/>
                    </w:rPr>
                  </w:pPr>
                  <w:r>
                    <w:rPr>
                      <w:rFonts w:hint="eastAsia"/>
                    </w:rPr>
                    <w:t>表土剥离</w:t>
                  </w:r>
                </w:p>
              </w:tc>
            </w:tr>
            <w:tr w14:paraId="76DF54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noWrap w:val="0"/>
                  <w:vAlign w:val="center"/>
                </w:tcPr>
                <w:p w14:paraId="116D5093">
                  <w:pPr>
                    <w:pStyle w:val="114"/>
                    <w:rPr>
                      <w:rFonts w:hint="eastAsia"/>
                    </w:rPr>
                  </w:pPr>
                  <w:r>
                    <w:drawing>
                      <wp:inline distT="0" distB="0" distL="114300" distR="114300">
                        <wp:extent cx="2567940" cy="1813560"/>
                        <wp:effectExtent l="0" t="0" r="7620" b="2540"/>
                        <wp:docPr id="2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0"/>
                                <pic:cNvPicPr>
                                  <a:picLocks noChangeAspect="1"/>
                                </pic:cNvPicPr>
                              </pic:nvPicPr>
                              <pic:blipFill>
                                <a:blip r:embed="rId34"/>
                                <a:stretch>
                                  <a:fillRect/>
                                </a:stretch>
                              </pic:blipFill>
                              <pic:spPr>
                                <a:xfrm>
                                  <a:off x="0" y="0"/>
                                  <a:ext cx="2567940" cy="1813560"/>
                                </a:xfrm>
                                <a:prstGeom prst="rect">
                                  <a:avLst/>
                                </a:prstGeom>
                                <a:noFill/>
                                <a:ln>
                                  <a:noFill/>
                                </a:ln>
                              </pic:spPr>
                            </pic:pic>
                          </a:graphicData>
                        </a:graphic>
                      </wp:inline>
                    </w:drawing>
                  </w:r>
                </w:p>
              </w:tc>
              <w:tc>
                <w:tcPr>
                  <w:tcW w:w="4261" w:type="dxa"/>
                  <w:noWrap w:val="0"/>
                  <w:vAlign w:val="center"/>
                </w:tcPr>
                <w:p w14:paraId="308E0A51">
                  <w:pPr>
                    <w:pStyle w:val="114"/>
                    <w:rPr>
                      <w:rFonts w:hint="eastAsia"/>
                    </w:rPr>
                  </w:pPr>
                  <w:r>
                    <w:drawing>
                      <wp:inline distT="0" distB="0" distL="114300" distR="114300">
                        <wp:extent cx="2467610" cy="1844040"/>
                        <wp:effectExtent l="0" t="0" r="635" b="5080"/>
                        <wp:docPr id="2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1"/>
                                <pic:cNvPicPr>
                                  <a:picLocks noChangeAspect="1"/>
                                </pic:cNvPicPr>
                              </pic:nvPicPr>
                              <pic:blipFill>
                                <a:blip r:embed="rId35"/>
                                <a:stretch>
                                  <a:fillRect/>
                                </a:stretch>
                              </pic:blipFill>
                              <pic:spPr>
                                <a:xfrm>
                                  <a:off x="0" y="0"/>
                                  <a:ext cx="2467610" cy="1844040"/>
                                </a:xfrm>
                                <a:prstGeom prst="rect">
                                  <a:avLst/>
                                </a:prstGeom>
                                <a:noFill/>
                                <a:ln>
                                  <a:noFill/>
                                </a:ln>
                              </pic:spPr>
                            </pic:pic>
                          </a:graphicData>
                        </a:graphic>
                      </wp:inline>
                    </w:drawing>
                  </w:r>
                </w:p>
              </w:tc>
            </w:tr>
            <w:tr w14:paraId="09A00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1" w:type="dxa"/>
                  <w:noWrap w:val="0"/>
                  <w:vAlign w:val="center"/>
                </w:tcPr>
                <w:p w14:paraId="61796F7C">
                  <w:pPr>
                    <w:pStyle w:val="114"/>
                    <w:rPr>
                      <w:rFonts w:hint="eastAsia"/>
                    </w:rPr>
                  </w:pPr>
                  <w:r>
                    <w:rPr>
                      <w:rFonts w:hint="eastAsia"/>
                    </w:rPr>
                    <w:t>临时排水沟</w:t>
                  </w:r>
                </w:p>
              </w:tc>
              <w:tc>
                <w:tcPr>
                  <w:tcW w:w="4261" w:type="dxa"/>
                  <w:noWrap w:val="0"/>
                  <w:vAlign w:val="center"/>
                </w:tcPr>
                <w:p w14:paraId="55A4E939">
                  <w:pPr>
                    <w:pStyle w:val="114"/>
                    <w:rPr>
                      <w:rFonts w:hint="eastAsia"/>
                    </w:rPr>
                  </w:pPr>
                  <w:r>
                    <w:rPr>
                      <w:rFonts w:hint="eastAsia"/>
                    </w:rPr>
                    <w:t>临时遮盖</w:t>
                  </w:r>
                </w:p>
              </w:tc>
            </w:tr>
            <w:tr w14:paraId="25DAB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2"/>
                  <w:noWrap w:val="0"/>
                  <w:vAlign w:val="center"/>
                </w:tcPr>
                <w:p w14:paraId="4A8037EC">
                  <w:pPr>
                    <w:pStyle w:val="117"/>
                    <w:rPr>
                      <w:rFonts w:cs="Times New Roman"/>
                    </w:rPr>
                  </w:pPr>
                  <w:r>
                    <w:rPr>
                      <w:rFonts w:cs="Times New Roman"/>
                    </w:rPr>
                    <w:t>施工过程照片</w:t>
                  </w:r>
                </w:p>
              </w:tc>
            </w:tr>
            <w:bookmarkEnd w:id="162"/>
          </w:tbl>
          <w:p w14:paraId="6A42A284"/>
        </w:tc>
      </w:tr>
      <w:tr w14:paraId="2B441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4" w:type="dxa"/>
          </w:tcPr>
          <w:p w14:paraId="3C49A359">
            <w:pPr>
              <w:pStyle w:val="19"/>
              <w:spacing w:after="0" w:line="360" w:lineRule="auto"/>
              <w:ind w:left="0" w:leftChars="0"/>
              <w:contextualSpacing/>
              <w:rPr>
                <w:b/>
                <w:bCs/>
              </w:rPr>
            </w:pPr>
            <w:r>
              <w:rPr>
                <w:rFonts w:hint="eastAsia"/>
                <w:b/>
                <w:bCs/>
              </w:rPr>
              <w:t>污染影响：</w:t>
            </w:r>
          </w:p>
          <w:p w14:paraId="630CC9DA">
            <w:pPr>
              <w:spacing w:line="360" w:lineRule="auto"/>
              <w:ind w:firstLine="482" w:firstLineChars="200"/>
              <w:rPr>
                <w:sz w:val="24"/>
              </w:rPr>
            </w:pPr>
            <w:r>
              <w:rPr>
                <w:rFonts w:hint="eastAsia"/>
                <w:b/>
                <w:bCs/>
                <w:sz w:val="24"/>
              </w:rPr>
              <w:t>1、声环境影响</w:t>
            </w:r>
          </w:p>
          <w:p w14:paraId="7CA88A55">
            <w:pPr>
              <w:spacing w:line="360" w:lineRule="auto"/>
              <w:ind w:firstLine="480" w:firstLineChars="200"/>
              <w:rPr>
                <w:sz w:val="24"/>
              </w:rPr>
            </w:pPr>
            <w:r>
              <w:rPr>
                <w:rFonts w:hint="eastAsia"/>
                <w:sz w:val="24"/>
              </w:rPr>
              <w:t>根据现场走访调查，施工过程中选用了低噪声施工机具，并定期进行了设备维护保养，未出现夜间施工情况，未发生施工扰民投诉。</w:t>
            </w:r>
          </w:p>
          <w:p w14:paraId="68CFCC6C">
            <w:pPr>
              <w:spacing w:line="360" w:lineRule="auto"/>
              <w:ind w:firstLine="482" w:firstLineChars="200"/>
              <w:rPr>
                <w:sz w:val="24"/>
              </w:rPr>
            </w:pPr>
            <w:r>
              <w:rPr>
                <w:rFonts w:hint="eastAsia"/>
                <w:b/>
                <w:bCs/>
                <w:sz w:val="24"/>
              </w:rPr>
              <w:t>2、大气环境影响</w:t>
            </w:r>
          </w:p>
          <w:p w14:paraId="06E23AA8">
            <w:pPr>
              <w:spacing w:line="360" w:lineRule="auto"/>
              <w:ind w:firstLine="480" w:firstLineChars="200"/>
              <w:rPr>
                <w:sz w:val="24"/>
              </w:rPr>
            </w:pPr>
            <w:r>
              <w:rPr>
                <w:rFonts w:hint="eastAsia"/>
                <w:sz w:val="24"/>
              </w:rPr>
              <w:t>施工完毕后开挖出的土石方及时回填，并在大风、干燥天气条件下适当增加了洒水次数，对易产生扬尘的物料采取遮盖、封闭等措施来降低扬尘对周边的环境影响，产生的扬尘较少。</w:t>
            </w:r>
          </w:p>
          <w:p w14:paraId="2FF0F654">
            <w:pPr>
              <w:spacing w:line="360" w:lineRule="auto"/>
              <w:ind w:firstLine="482" w:firstLineChars="200"/>
              <w:rPr>
                <w:sz w:val="24"/>
              </w:rPr>
            </w:pPr>
            <w:r>
              <w:rPr>
                <w:rFonts w:hint="eastAsia"/>
                <w:b/>
                <w:bCs/>
                <w:sz w:val="24"/>
              </w:rPr>
              <w:t>3、水环境影响</w:t>
            </w:r>
          </w:p>
          <w:p w14:paraId="4E12075E">
            <w:pPr>
              <w:adjustRightInd w:val="0"/>
              <w:spacing w:line="360" w:lineRule="auto"/>
              <w:ind w:firstLine="480" w:firstLineChars="200"/>
              <w:rPr>
                <w:rFonts w:hint="eastAsia" w:eastAsia="宋体"/>
                <w:sz w:val="24"/>
                <w:szCs w:val="24"/>
                <w:lang w:eastAsia="zh-CN"/>
              </w:rPr>
            </w:pPr>
            <w:r>
              <w:rPr>
                <w:rFonts w:hint="eastAsia"/>
                <w:sz w:val="24"/>
                <w:szCs w:val="24"/>
              </w:rPr>
              <w:t>根据现场走访调查，本项目施工过程中严格执行了各项环境保护措施，现场调查未发现有生活污水及施工废水随意乱排乱倒的痕迹。施工期施工人员产生的生活污水</w:t>
            </w:r>
            <w:r>
              <w:rPr>
                <w:rFonts w:hint="eastAsia"/>
                <w:sz w:val="24"/>
                <w:szCs w:val="24"/>
                <w:lang w:val="en-US" w:eastAsia="zh-CN"/>
              </w:rPr>
              <w:t>依托租赁民房设施处理，</w:t>
            </w:r>
            <w:r>
              <w:rPr>
                <w:rFonts w:hint="eastAsia"/>
                <w:sz w:val="24"/>
                <w:szCs w:val="24"/>
              </w:rPr>
              <w:t>项目施工区域内未发现有生活污水排放痕迹</w:t>
            </w:r>
            <w:r>
              <w:rPr>
                <w:rFonts w:hint="eastAsia"/>
                <w:sz w:val="24"/>
                <w:szCs w:val="24"/>
                <w:lang w:eastAsia="zh-CN"/>
              </w:rPr>
              <w:t>。</w:t>
            </w:r>
          </w:p>
          <w:p w14:paraId="3A53BE74">
            <w:pPr>
              <w:spacing w:line="360" w:lineRule="auto"/>
              <w:ind w:firstLine="480" w:firstLineChars="200"/>
              <w:rPr>
                <w:b/>
                <w:bCs/>
                <w:sz w:val="24"/>
              </w:rPr>
            </w:pPr>
            <w:r>
              <w:rPr>
                <w:rFonts w:hint="eastAsia"/>
                <w:sz w:val="24"/>
              </w:rPr>
              <w:t>施工期未在饮用水源保护区范围内设置施工营地、弃渣场；未发生生活污水、生活垃圾排入饮用水源保护区的事件。</w:t>
            </w:r>
          </w:p>
          <w:p w14:paraId="71B5070A">
            <w:pPr>
              <w:spacing w:line="360" w:lineRule="auto"/>
              <w:ind w:firstLine="482" w:firstLineChars="200"/>
              <w:rPr>
                <w:sz w:val="24"/>
              </w:rPr>
            </w:pPr>
            <w:r>
              <w:rPr>
                <w:rFonts w:hint="eastAsia"/>
                <w:b/>
                <w:bCs/>
                <w:sz w:val="24"/>
              </w:rPr>
              <w:t>4、固体废弃物环境影响</w:t>
            </w:r>
          </w:p>
          <w:p w14:paraId="39193D36">
            <w:pPr>
              <w:spacing w:line="360" w:lineRule="auto"/>
              <w:ind w:firstLine="480" w:firstLineChars="200"/>
              <w:rPr>
                <w:rFonts w:hint="eastAsia"/>
                <w:sz w:val="24"/>
                <w:szCs w:val="24"/>
                <w:lang w:val="en-US" w:eastAsia="zh-CN"/>
              </w:rPr>
            </w:pPr>
            <w:r>
              <w:rPr>
                <w:rFonts w:hint="eastAsia"/>
                <w:sz w:val="24"/>
                <w:szCs w:val="24"/>
              </w:rPr>
              <w:t>根据现场调查及走访施工单位，，工期施工人员产生的生活垃圾利用站内既有垃圾桶收集后清运至附近垃圾收集站集中处置</w:t>
            </w:r>
            <w:r>
              <w:rPr>
                <w:rFonts w:hint="eastAsia"/>
                <w:sz w:val="24"/>
                <w:szCs w:val="24"/>
                <w:lang w:eastAsia="zh-CN"/>
              </w:rPr>
              <w:t>。</w:t>
            </w:r>
            <w:r>
              <w:rPr>
                <w:rFonts w:hint="eastAsia"/>
                <w:sz w:val="24"/>
                <w:szCs w:val="24"/>
                <w:lang w:val="en-US" w:eastAsia="zh-CN"/>
              </w:rPr>
              <w:t>工程无外借土石方，无多余土石方产生，最终本项目实现土石方综合利用</w:t>
            </w:r>
            <w:r>
              <w:rPr>
                <w:rFonts w:hint="eastAsia"/>
                <w:sz w:val="24"/>
                <w:szCs w:val="24"/>
                <w:lang w:eastAsia="zh-CN"/>
              </w:rPr>
              <w:t>。</w:t>
            </w:r>
            <w:r>
              <w:rPr>
                <w:rFonts w:hint="eastAsia"/>
                <w:sz w:val="24"/>
                <w:szCs w:val="24"/>
                <w:lang w:val="en-US" w:eastAsia="zh-CN"/>
              </w:rPr>
              <w:t>建筑垃圾及时清运到指定的倾倒地点处理。</w:t>
            </w:r>
          </w:p>
          <w:p w14:paraId="1E9DEAC4">
            <w:pPr>
              <w:spacing w:line="360" w:lineRule="auto"/>
              <w:ind w:firstLine="480" w:firstLineChars="200"/>
              <w:rPr>
                <w:b/>
                <w:bCs/>
              </w:rPr>
            </w:pPr>
            <w:r>
              <w:rPr>
                <w:rFonts w:hint="eastAsia"/>
                <w:sz w:val="24"/>
                <w:szCs w:val="24"/>
              </w:rPr>
              <w:t>现场调查未发生施工人员将生活垃圾随意丢弃的现象，同时项目施工所在区域内未发现有未清理的其他固体废弃物。</w:t>
            </w:r>
          </w:p>
        </w:tc>
      </w:tr>
      <w:tr w14:paraId="0AD86C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4" w:type="dxa"/>
          </w:tcPr>
          <w:p w14:paraId="6D810CE4">
            <w:pPr>
              <w:pStyle w:val="19"/>
              <w:spacing w:after="0" w:line="360" w:lineRule="auto"/>
              <w:ind w:left="0" w:leftChars="0"/>
              <w:contextualSpacing/>
              <w:rPr>
                <w:rFonts w:hint="eastAsia" w:eastAsia="宋体"/>
                <w:b/>
                <w:bCs/>
                <w:lang w:eastAsia="zh-CN"/>
              </w:rPr>
            </w:pPr>
            <w:r>
              <w:rPr>
                <w:rFonts w:hint="eastAsia"/>
                <w:b/>
                <w:bCs/>
                <w:lang w:val="en-US" w:eastAsia="zh-CN"/>
              </w:rPr>
              <w:t>营运期</w:t>
            </w:r>
          </w:p>
        </w:tc>
      </w:tr>
      <w:tr w14:paraId="3BC1C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54" w:type="dxa"/>
          </w:tcPr>
          <w:p w14:paraId="3F019BC6">
            <w:pPr>
              <w:pStyle w:val="19"/>
              <w:spacing w:after="0" w:line="360" w:lineRule="auto"/>
              <w:ind w:left="0" w:leftChars="0" w:firstLine="480" w:firstLineChars="200"/>
              <w:contextualSpacing/>
              <w:rPr>
                <w:rFonts w:hint="eastAsia"/>
              </w:rPr>
            </w:pPr>
            <w:r>
              <w:rPr>
                <w:rFonts w:hint="eastAsia"/>
              </w:rPr>
              <w:t>本项目为生态影响类建设项目，运营期项目本身不产生废水、废气、噪声、固废等污染物，对环境无不利影响。</w:t>
            </w:r>
          </w:p>
          <w:p w14:paraId="182E43E5">
            <w:pPr>
              <w:rPr>
                <w:rFonts w:hint="eastAsia"/>
              </w:rPr>
            </w:pPr>
          </w:p>
          <w:p w14:paraId="44BDB3B7">
            <w:pPr>
              <w:rPr>
                <w:rFonts w:hint="eastAsia"/>
              </w:rPr>
            </w:pPr>
          </w:p>
          <w:p w14:paraId="52CC01F6">
            <w:pPr>
              <w:rPr>
                <w:rFonts w:hint="eastAsia"/>
              </w:rPr>
            </w:pPr>
          </w:p>
          <w:p w14:paraId="469FEA9C">
            <w:pPr>
              <w:rPr>
                <w:rFonts w:hint="eastAsia"/>
              </w:rPr>
            </w:pPr>
          </w:p>
          <w:p w14:paraId="3498B1D4">
            <w:pPr>
              <w:rPr>
                <w:rFonts w:hint="eastAsia"/>
              </w:rPr>
            </w:pPr>
          </w:p>
          <w:p w14:paraId="51FAA0E2">
            <w:pPr>
              <w:rPr>
                <w:rFonts w:hint="eastAsia"/>
              </w:rPr>
            </w:pPr>
          </w:p>
          <w:p w14:paraId="15AC09FE">
            <w:pPr>
              <w:rPr>
                <w:rFonts w:hint="eastAsia"/>
              </w:rPr>
            </w:pPr>
          </w:p>
          <w:p w14:paraId="011C9F3E">
            <w:pPr>
              <w:rPr>
                <w:rFonts w:hint="eastAsia"/>
              </w:rPr>
            </w:pPr>
          </w:p>
          <w:p w14:paraId="6B548297">
            <w:pPr>
              <w:rPr>
                <w:rFonts w:hint="eastAsia"/>
              </w:rPr>
            </w:pPr>
          </w:p>
          <w:p w14:paraId="47D980D1">
            <w:pPr>
              <w:rPr>
                <w:rFonts w:hint="eastAsia"/>
              </w:rPr>
            </w:pPr>
          </w:p>
          <w:p w14:paraId="7115471C">
            <w:pPr>
              <w:rPr>
                <w:rFonts w:hint="eastAsia"/>
              </w:rPr>
            </w:pPr>
          </w:p>
          <w:p w14:paraId="523344E2">
            <w:pPr>
              <w:rPr>
                <w:rFonts w:hint="eastAsia"/>
              </w:rPr>
            </w:pPr>
          </w:p>
          <w:p w14:paraId="52C6C012">
            <w:pPr>
              <w:rPr>
                <w:rFonts w:hint="eastAsia"/>
              </w:rPr>
            </w:pPr>
          </w:p>
          <w:p w14:paraId="7F72F99B">
            <w:pPr>
              <w:rPr>
                <w:rFonts w:hint="eastAsia"/>
              </w:rPr>
            </w:pPr>
          </w:p>
          <w:p w14:paraId="3794C6C1">
            <w:pPr>
              <w:rPr>
                <w:rFonts w:hint="eastAsia"/>
              </w:rPr>
            </w:pPr>
          </w:p>
          <w:p w14:paraId="28EC1B82">
            <w:pPr>
              <w:rPr>
                <w:rFonts w:hint="eastAsia"/>
              </w:rPr>
            </w:pPr>
          </w:p>
          <w:p w14:paraId="3699DC90">
            <w:pPr>
              <w:rPr>
                <w:rFonts w:hint="eastAsia"/>
              </w:rPr>
            </w:pPr>
          </w:p>
          <w:p w14:paraId="662E16F8">
            <w:pPr>
              <w:rPr>
                <w:rFonts w:hint="eastAsia"/>
              </w:rPr>
            </w:pPr>
          </w:p>
          <w:p w14:paraId="1593BA47">
            <w:pPr>
              <w:rPr>
                <w:rFonts w:hint="eastAsia"/>
              </w:rPr>
            </w:pPr>
          </w:p>
          <w:p w14:paraId="10230900">
            <w:pPr>
              <w:rPr>
                <w:rFonts w:hint="eastAsia"/>
              </w:rPr>
            </w:pPr>
          </w:p>
          <w:p w14:paraId="4F79DFC2">
            <w:pPr>
              <w:rPr>
                <w:rFonts w:hint="eastAsia"/>
              </w:rPr>
            </w:pPr>
          </w:p>
          <w:p w14:paraId="73375A8E">
            <w:pPr>
              <w:rPr>
                <w:rFonts w:hint="eastAsia"/>
              </w:rPr>
            </w:pPr>
          </w:p>
          <w:p w14:paraId="100480CA">
            <w:pPr>
              <w:rPr>
                <w:rFonts w:hint="eastAsia"/>
              </w:rPr>
            </w:pPr>
          </w:p>
          <w:p w14:paraId="42D82F18">
            <w:pPr>
              <w:rPr>
                <w:rFonts w:hint="eastAsia"/>
              </w:rPr>
            </w:pPr>
          </w:p>
          <w:p w14:paraId="16F9E82E">
            <w:pPr>
              <w:rPr>
                <w:rFonts w:hint="eastAsia"/>
              </w:rPr>
            </w:pPr>
          </w:p>
          <w:p w14:paraId="5B939033">
            <w:pPr>
              <w:rPr>
                <w:rFonts w:hint="eastAsia"/>
              </w:rPr>
            </w:pPr>
          </w:p>
          <w:p w14:paraId="6E79B5AC">
            <w:pPr>
              <w:rPr>
                <w:rFonts w:hint="eastAsia"/>
              </w:rPr>
            </w:pPr>
          </w:p>
          <w:p w14:paraId="2AD942CE">
            <w:pPr>
              <w:rPr>
                <w:rFonts w:hint="eastAsia"/>
              </w:rPr>
            </w:pPr>
          </w:p>
        </w:tc>
      </w:tr>
    </w:tbl>
    <w:p w14:paraId="2CC5814E">
      <w:pPr>
        <w:spacing w:line="360" w:lineRule="auto"/>
        <w:ind w:firstLine="281"/>
        <w:outlineLvl w:val="0"/>
        <w:rPr>
          <w:b/>
          <w:sz w:val="28"/>
        </w:rPr>
      </w:pPr>
      <w:bookmarkStart w:id="163" w:name="_Toc30906"/>
      <w:r>
        <w:rPr>
          <w:b/>
          <w:sz w:val="28"/>
        </w:rPr>
        <w:t>表</w:t>
      </w:r>
      <w:r>
        <w:rPr>
          <w:rFonts w:hint="eastAsia"/>
          <w:b/>
          <w:sz w:val="28"/>
          <w:lang w:val="en-US" w:eastAsia="zh-CN"/>
        </w:rPr>
        <w:t>八</w:t>
      </w:r>
      <w:r>
        <w:rPr>
          <w:b/>
          <w:sz w:val="28"/>
        </w:rPr>
        <w:t>、</w:t>
      </w:r>
      <w:r>
        <w:rPr>
          <w:rFonts w:hint="eastAsia"/>
          <w:b/>
          <w:sz w:val="28"/>
        </w:rPr>
        <w:t>环境质量及污染源监测</w:t>
      </w:r>
      <w:bookmarkEnd w:id="163"/>
    </w:p>
    <w:tbl>
      <w:tblPr>
        <w:tblStyle w:val="33"/>
        <w:tblW w:w="87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0"/>
      </w:tblGrid>
      <w:tr w14:paraId="1F34D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tcPr>
          <w:p w14:paraId="261F297F">
            <w:pPr>
              <w:spacing w:line="360" w:lineRule="auto"/>
              <w:ind w:firstLine="480" w:firstLineChars="200"/>
              <w:outlineLvl w:val="0"/>
              <w:rPr>
                <w:rFonts w:hint="eastAsia"/>
                <w:sz w:val="24"/>
                <w:lang w:val="en-US" w:eastAsia="zh-CN"/>
              </w:rPr>
            </w:pPr>
            <w:r>
              <w:rPr>
                <w:rFonts w:hint="eastAsia"/>
                <w:sz w:val="24"/>
                <w:lang w:val="en-US" w:eastAsia="zh-CN"/>
              </w:rPr>
              <w:t>本项目为生态影响类建设项目，运营期项目本身不产生废水、废气、噪声、固废等污染物。</w:t>
            </w:r>
          </w:p>
          <w:p w14:paraId="73D01BDB">
            <w:pPr>
              <w:numPr>
                <w:ilvl w:val="0"/>
                <w:numId w:val="11"/>
              </w:numPr>
              <w:spacing w:line="360" w:lineRule="auto"/>
              <w:ind w:firstLine="482" w:firstLineChars="200"/>
              <w:contextualSpacing/>
              <w:jc w:val="left"/>
              <w:rPr>
                <w:rFonts w:hint="default" w:ascii="Times New Roman" w:hAnsi="Times New Roman" w:cs="Times New Roman"/>
                <w:b/>
                <w:bCs/>
                <w:color w:val="auto"/>
                <w:sz w:val="24"/>
              </w:rPr>
            </w:pPr>
            <w:r>
              <w:rPr>
                <w:rFonts w:hint="eastAsia"/>
                <w:b/>
                <w:bCs/>
                <w:color w:val="auto"/>
                <w:kern w:val="0"/>
                <w:sz w:val="24"/>
                <w:lang w:val="en-US" w:eastAsia="zh-CN"/>
              </w:rPr>
              <w:t>大气环境</w:t>
            </w:r>
          </w:p>
          <w:p w14:paraId="493F26BB">
            <w:pPr>
              <w:numPr>
                <w:ilvl w:val="0"/>
                <w:numId w:val="0"/>
              </w:numPr>
              <w:spacing w:line="360" w:lineRule="auto"/>
              <w:ind w:firstLine="480" w:firstLineChars="200"/>
              <w:contextualSpacing/>
              <w:jc w:val="left"/>
              <w:rPr>
                <w:rFonts w:hint="default" w:ascii="Times New Roman" w:hAnsi="Times New Roman" w:cs="Times New Roman"/>
                <w:color w:val="auto"/>
                <w:sz w:val="24"/>
              </w:rPr>
            </w:pPr>
            <w:r>
              <w:rPr>
                <w:rFonts w:hint="eastAsia"/>
                <w:color w:val="auto"/>
                <w:kern w:val="0"/>
                <w:sz w:val="24"/>
              </w:rPr>
              <w:t>SO</w:t>
            </w:r>
            <w:r>
              <w:rPr>
                <w:rFonts w:hint="eastAsia"/>
                <w:color w:val="auto"/>
                <w:kern w:val="0"/>
                <w:sz w:val="24"/>
                <w:vertAlign w:val="subscript"/>
              </w:rPr>
              <w:t>2</w:t>
            </w:r>
            <w:r>
              <w:rPr>
                <w:rFonts w:hint="eastAsia"/>
                <w:color w:val="auto"/>
                <w:kern w:val="0"/>
                <w:sz w:val="24"/>
              </w:rPr>
              <w:t>、NO</w:t>
            </w:r>
            <w:r>
              <w:rPr>
                <w:rFonts w:hint="eastAsia"/>
                <w:color w:val="auto"/>
                <w:kern w:val="0"/>
                <w:sz w:val="24"/>
                <w:vertAlign w:val="subscript"/>
              </w:rPr>
              <w:t>2</w:t>
            </w:r>
            <w:r>
              <w:rPr>
                <w:rFonts w:hint="eastAsia"/>
                <w:color w:val="auto"/>
                <w:kern w:val="0"/>
                <w:sz w:val="24"/>
              </w:rPr>
              <w:t>、PM</w:t>
            </w:r>
            <w:r>
              <w:rPr>
                <w:rFonts w:hint="eastAsia"/>
                <w:color w:val="auto"/>
                <w:kern w:val="0"/>
                <w:sz w:val="24"/>
                <w:vertAlign w:val="subscript"/>
              </w:rPr>
              <w:t>10</w:t>
            </w:r>
            <w:r>
              <w:rPr>
                <w:rFonts w:hint="eastAsia"/>
                <w:color w:val="auto"/>
                <w:kern w:val="0"/>
                <w:sz w:val="24"/>
              </w:rPr>
              <w:t>、PM</w:t>
            </w:r>
            <w:r>
              <w:rPr>
                <w:rFonts w:hint="eastAsia"/>
                <w:color w:val="auto"/>
                <w:kern w:val="0"/>
                <w:sz w:val="24"/>
                <w:vertAlign w:val="subscript"/>
              </w:rPr>
              <w:t>2.5</w:t>
            </w:r>
            <w:r>
              <w:rPr>
                <w:rFonts w:hint="eastAsia"/>
                <w:color w:val="auto"/>
                <w:kern w:val="0"/>
                <w:sz w:val="24"/>
              </w:rPr>
              <w:t>、CO、O</w:t>
            </w:r>
            <w:r>
              <w:rPr>
                <w:rFonts w:hint="eastAsia"/>
                <w:color w:val="auto"/>
                <w:kern w:val="0"/>
                <w:sz w:val="24"/>
                <w:vertAlign w:val="subscript"/>
              </w:rPr>
              <w:t>3</w:t>
            </w:r>
            <w:r>
              <w:rPr>
                <w:rFonts w:hint="eastAsia"/>
                <w:color w:val="auto"/>
                <w:kern w:val="0"/>
                <w:sz w:val="24"/>
              </w:rPr>
              <w:t>引用《202</w:t>
            </w:r>
            <w:r>
              <w:rPr>
                <w:rFonts w:hint="eastAsia"/>
                <w:color w:val="auto"/>
                <w:kern w:val="0"/>
                <w:sz w:val="24"/>
                <w:lang w:val="en-US" w:eastAsia="zh-CN"/>
              </w:rPr>
              <w:t>4</w:t>
            </w:r>
            <w:r>
              <w:rPr>
                <w:rFonts w:hint="eastAsia"/>
                <w:color w:val="auto"/>
                <w:kern w:val="0"/>
                <w:sz w:val="24"/>
              </w:rPr>
              <w:t>年金堂县环境空气质量状况》（https://www.jintang.gov.c</w:t>
            </w:r>
            <w:r>
              <w:rPr>
                <w:rFonts w:hint="default" w:ascii="Times New Roman" w:hAnsi="Times New Roman" w:cs="Times New Roman"/>
                <w:color w:val="auto"/>
                <w:kern w:val="0"/>
                <w:sz w:val="24"/>
              </w:rPr>
              <w:t>n/jtxrmzf/c170994/2025-04/11/content_eab323565aeb49a98c4ab132f8aa3618.shtml）中的数据对项目所在地的环境质量现状进行调查</w:t>
            </w:r>
            <w:r>
              <w:rPr>
                <w:rFonts w:hint="default" w:ascii="Times New Roman" w:hAnsi="Times New Roman" w:cs="Times New Roman"/>
                <w:color w:val="auto"/>
                <w:sz w:val="24"/>
              </w:rPr>
              <w:t>：</w:t>
            </w:r>
          </w:p>
          <w:p w14:paraId="67734CCF">
            <w:pPr>
              <w:ind w:firstLine="422" w:firstLineChars="200"/>
              <w:jc w:val="center"/>
              <w:rPr>
                <w:rFonts w:hint="default" w:ascii="Times New Roman" w:hAnsi="Times New Roman" w:cs="Times New Roman"/>
                <w:b/>
                <w:color w:val="auto"/>
                <w:szCs w:val="21"/>
              </w:rPr>
            </w:pPr>
            <w:r>
              <w:rPr>
                <w:rFonts w:hint="default" w:ascii="Times New Roman" w:hAnsi="Times New Roman" w:cs="Times New Roman"/>
                <w:b/>
                <w:color w:val="auto"/>
                <w:szCs w:val="21"/>
              </w:rPr>
              <w:t>表</w:t>
            </w:r>
            <w:r>
              <w:rPr>
                <w:rFonts w:hint="eastAsia" w:cs="Times New Roman"/>
                <w:b/>
                <w:color w:val="auto"/>
                <w:szCs w:val="21"/>
                <w:lang w:val="en-US" w:eastAsia="zh-CN"/>
              </w:rPr>
              <w:t>8</w:t>
            </w:r>
            <w:r>
              <w:rPr>
                <w:rFonts w:hint="default" w:ascii="Times New Roman" w:hAnsi="Times New Roman" w:cs="Times New Roman"/>
                <w:b/>
                <w:color w:val="auto"/>
                <w:szCs w:val="21"/>
              </w:rPr>
              <w:t>-1  202</w:t>
            </w:r>
            <w:r>
              <w:rPr>
                <w:rFonts w:hint="default" w:ascii="Times New Roman" w:hAnsi="Times New Roman" w:cs="Times New Roman"/>
                <w:b/>
                <w:color w:val="auto"/>
                <w:szCs w:val="21"/>
                <w:lang w:val="en-US" w:eastAsia="zh-CN"/>
              </w:rPr>
              <w:t>4</w:t>
            </w:r>
            <w:r>
              <w:rPr>
                <w:rFonts w:hint="default" w:ascii="Times New Roman" w:hAnsi="Times New Roman" w:cs="Times New Roman"/>
                <w:b/>
                <w:color w:val="auto"/>
                <w:szCs w:val="21"/>
              </w:rPr>
              <w:t>年金堂县环境空气质量主要污染物浓度表</w:t>
            </w:r>
          </w:p>
          <w:tbl>
            <w:tblPr>
              <w:tblStyle w:val="33"/>
              <w:tblW w:w="0" w:type="auto"/>
              <w:tblInd w:w="0"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779"/>
              <w:gridCol w:w="3072"/>
              <w:gridCol w:w="1197"/>
              <w:gridCol w:w="1129"/>
              <w:gridCol w:w="1165"/>
              <w:gridCol w:w="968"/>
            </w:tblGrid>
            <w:tr w14:paraId="0E1B3254">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779" w:type="dxa"/>
                  <w:noWrap w:val="0"/>
                  <w:vAlign w:val="center"/>
                </w:tcPr>
                <w:p w14:paraId="664E83B0">
                  <w:pPr>
                    <w:contextualSpacing/>
                    <w:jc w:val="center"/>
                    <w:rPr>
                      <w:rFonts w:hint="default" w:ascii="Times New Roman" w:hAnsi="Times New Roman" w:cs="Times New Roman"/>
                      <w:b/>
                      <w:color w:val="auto"/>
                      <w:szCs w:val="21"/>
                    </w:rPr>
                  </w:pPr>
                  <w:r>
                    <w:rPr>
                      <w:rFonts w:hint="default" w:ascii="Times New Roman" w:hAnsi="Times New Roman" w:cs="Times New Roman"/>
                      <w:b/>
                      <w:color w:val="auto"/>
                      <w:szCs w:val="21"/>
                    </w:rPr>
                    <w:t>污染物</w:t>
                  </w:r>
                </w:p>
              </w:tc>
              <w:tc>
                <w:tcPr>
                  <w:tcW w:w="3072" w:type="dxa"/>
                  <w:noWrap w:val="0"/>
                  <w:vAlign w:val="center"/>
                </w:tcPr>
                <w:p w14:paraId="520844BF">
                  <w:pPr>
                    <w:contextualSpacing/>
                    <w:jc w:val="center"/>
                    <w:rPr>
                      <w:rFonts w:hint="default" w:ascii="Times New Roman" w:hAnsi="Times New Roman" w:cs="Times New Roman"/>
                      <w:b/>
                      <w:color w:val="auto"/>
                      <w:szCs w:val="21"/>
                    </w:rPr>
                  </w:pPr>
                  <w:r>
                    <w:rPr>
                      <w:rFonts w:hint="default" w:ascii="Times New Roman" w:hAnsi="Times New Roman" w:cs="Times New Roman"/>
                      <w:b/>
                      <w:color w:val="auto"/>
                      <w:szCs w:val="21"/>
                      <w:lang w:eastAsia="zh-CN"/>
                    </w:rPr>
                    <w:t>年度</w:t>
                  </w:r>
                  <w:r>
                    <w:rPr>
                      <w:rFonts w:hint="default" w:ascii="Times New Roman" w:hAnsi="Times New Roman" w:cs="Times New Roman"/>
                      <w:b/>
                      <w:color w:val="auto"/>
                      <w:szCs w:val="21"/>
                    </w:rPr>
                    <w:t>评价指标</w:t>
                  </w:r>
                </w:p>
              </w:tc>
              <w:tc>
                <w:tcPr>
                  <w:tcW w:w="1197" w:type="dxa"/>
                  <w:noWrap w:val="0"/>
                  <w:vAlign w:val="center"/>
                </w:tcPr>
                <w:p w14:paraId="2F5A0DCC">
                  <w:pPr>
                    <w:contextualSpacing/>
                    <w:jc w:val="center"/>
                    <w:rPr>
                      <w:rFonts w:hint="default" w:ascii="Times New Roman" w:hAnsi="Times New Roman" w:cs="Times New Roman"/>
                      <w:b/>
                      <w:color w:val="auto"/>
                      <w:szCs w:val="21"/>
                    </w:rPr>
                  </w:pPr>
                  <w:r>
                    <w:rPr>
                      <w:rFonts w:hint="default" w:ascii="Times New Roman" w:hAnsi="Times New Roman" w:cs="Times New Roman"/>
                      <w:b/>
                      <w:color w:val="auto"/>
                      <w:szCs w:val="21"/>
                    </w:rPr>
                    <w:t>现状浓度</w:t>
                  </w:r>
                </w:p>
              </w:tc>
              <w:tc>
                <w:tcPr>
                  <w:tcW w:w="1129" w:type="dxa"/>
                  <w:noWrap w:val="0"/>
                  <w:vAlign w:val="center"/>
                </w:tcPr>
                <w:p w14:paraId="30400EAC">
                  <w:pPr>
                    <w:contextualSpacing/>
                    <w:jc w:val="center"/>
                    <w:rPr>
                      <w:rFonts w:hint="default" w:ascii="Times New Roman" w:hAnsi="Times New Roman" w:cs="Times New Roman"/>
                      <w:b/>
                      <w:color w:val="auto"/>
                      <w:szCs w:val="21"/>
                    </w:rPr>
                  </w:pPr>
                  <w:r>
                    <w:rPr>
                      <w:rFonts w:hint="default" w:ascii="Times New Roman" w:hAnsi="Times New Roman" w:cs="Times New Roman"/>
                      <w:b/>
                      <w:color w:val="auto"/>
                      <w:szCs w:val="21"/>
                    </w:rPr>
                    <w:t>标准值</w:t>
                  </w:r>
                </w:p>
              </w:tc>
              <w:tc>
                <w:tcPr>
                  <w:tcW w:w="1165" w:type="dxa"/>
                  <w:noWrap w:val="0"/>
                  <w:vAlign w:val="center"/>
                </w:tcPr>
                <w:p w14:paraId="08C5D6E8">
                  <w:pPr>
                    <w:contextualSpacing/>
                    <w:jc w:val="center"/>
                    <w:rPr>
                      <w:rFonts w:hint="default" w:ascii="Times New Roman" w:hAnsi="Times New Roman" w:cs="Times New Roman"/>
                      <w:b/>
                      <w:color w:val="auto"/>
                      <w:szCs w:val="21"/>
                    </w:rPr>
                  </w:pPr>
                  <w:r>
                    <w:rPr>
                      <w:rFonts w:hint="default" w:ascii="Times New Roman" w:hAnsi="Times New Roman" w:cs="Times New Roman"/>
                      <w:b/>
                      <w:color w:val="auto"/>
                      <w:szCs w:val="21"/>
                    </w:rPr>
                    <w:t>占标率（%）</w:t>
                  </w:r>
                </w:p>
              </w:tc>
              <w:tc>
                <w:tcPr>
                  <w:tcW w:w="968" w:type="dxa"/>
                  <w:noWrap w:val="0"/>
                  <w:vAlign w:val="center"/>
                </w:tcPr>
                <w:p w14:paraId="36134CFD">
                  <w:pPr>
                    <w:contextualSpacing/>
                    <w:jc w:val="center"/>
                    <w:rPr>
                      <w:rFonts w:hint="default" w:ascii="Times New Roman" w:hAnsi="Times New Roman" w:cs="Times New Roman"/>
                      <w:b/>
                      <w:color w:val="auto"/>
                      <w:szCs w:val="21"/>
                    </w:rPr>
                  </w:pPr>
                  <w:r>
                    <w:rPr>
                      <w:rFonts w:hint="default" w:ascii="Times New Roman" w:hAnsi="Times New Roman" w:cs="Times New Roman"/>
                      <w:b/>
                      <w:color w:val="auto"/>
                      <w:szCs w:val="21"/>
                    </w:rPr>
                    <w:t>达标情况</w:t>
                  </w:r>
                </w:p>
              </w:tc>
            </w:tr>
            <w:tr w14:paraId="51B798C9">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779" w:type="dxa"/>
                  <w:noWrap w:val="0"/>
                  <w:vAlign w:val="center"/>
                </w:tcPr>
                <w:p w14:paraId="3CD9F51E">
                  <w:pPr>
                    <w:jc w:val="center"/>
                    <w:rPr>
                      <w:rFonts w:hint="default" w:ascii="Times New Roman" w:hAnsi="Times New Roman" w:cs="Times New Roman"/>
                      <w:color w:val="auto"/>
                      <w:szCs w:val="21"/>
                    </w:rPr>
                  </w:pPr>
                  <w:r>
                    <w:rPr>
                      <w:rFonts w:hint="default" w:ascii="Times New Roman" w:hAnsi="Times New Roman" w:cs="Times New Roman"/>
                      <w:color w:val="auto"/>
                      <w:szCs w:val="21"/>
                    </w:rPr>
                    <w:t>SO</w:t>
                  </w:r>
                  <w:r>
                    <w:rPr>
                      <w:rFonts w:hint="default" w:ascii="Times New Roman" w:hAnsi="Times New Roman" w:cs="Times New Roman"/>
                      <w:color w:val="auto"/>
                      <w:szCs w:val="21"/>
                      <w:vertAlign w:val="subscript"/>
                    </w:rPr>
                    <w:t>2</w:t>
                  </w:r>
                </w:p>
              </w:tc>
              <w:tc>
                <w:tcPr>
                  <w:tcW w:w="3072" w:type="dxa"/>
                  <w:noWrap w:val="0"/>
                  <w:vAlign w:val="center"/>
                </w:tcPr>
                <w:p w14:paraId="2BCD81C4">
                  <w:pPr>
                    <w:jc w:val="center"/>
                    <w:rPr>
                      <w:rFonts w:hint="default" w:ascii="Times New Roman" w:hAnsi="Times New Roman" w:cs="Times New Roman"/>
                      <w:color w:val="auto"/>
                      <w:szCs w:val="21"/>
                    </w:rPr>
                  </w:pPr>
                  <w:r>
                    <w:rPr>
                      <w:rFonts w:hint="default" w:ascii="Times New Roman" w:hAnsi="Times New Roman" w:cs="Times New Roman"/>
                      <w:color w:val="auto"/>
                      <w:szCs w:val="21"/>
                    </w:rPr>
                    <w:t>年平均浓度</w:t>
                  </w:r>
                </w:p>
              </w:tc>
              <w:tc>
                <w:tcPr>
                  <w:tcW w:w="1197" w:type="dxa"/>
                  <w:noWrap w:val="0"/>
                  <w:vAlign w:val="center"/>
                </w:tcPr>
                <w:p w14:paraId="2405265D">
                  <w:pPr>
                    <w:jc w:val="center"/>
                    <w:rPr>
                      <w:rFonts w:hint="default" w:ascii="Times New Roman" w:hAnsi="Times New Roman" w:cs="Times New Roman"/>
                      <w:color w:val="auto"/>
                      <w:szCs w:val="21"/>
                    </w:rPr>
                  </w:pPr>
                  <w:r>
                    <w:rPr>
                      <w:rFonts w:hint="default" w:ascii="Times New Roman" w:hAnsi="Times New Roman" w:cs="Times New Roman"/>
                      <w:color w:val="auto"/>
                      <w:szCs w:val="21"/>
                    </w:rPr>
                    <w:t>6μg/m</w:t>
                  </w:r>
                  <w:r>
                    <w:rPr>
                      <w:rFonts w:hint="default" w:ascii="Times New Roman" w:hAnsi="Times New Roman" w:cs="Times New Roman"/>
                      <w:color w:val="auto"/>
                      <w:szCs w:val="21"/>
                      <w:vertAlign w:val="superscript"/>
                    </w:rPr>
                    <w:t>3</w:t>
                  </w:r>
                </w:p>
              </w:tc>
              <w:tc>
                <w:tcPr>
                  <w:tcW w:w="1129" w:type="dxa"/>
                  <w:noWrap w:val="0"/>
                  <w:vAlign w:val="center"/>
                </w:tcPr>
                <w:p w14:paraId="3140841E">
                  <w:pPr>
                    <w:jc w:val="center"/>
                    <w:rPr>
                      <w:rFonts w:hint="default" w:ascii="Times New Roman" w:hAnsi="Times New Roman" w:cs="Times New Roman"/>
                      <w:color w:val="auto"/>
                      <w:szCs w:val="21"/>
                    </w:rPr>
                  </w:pPr>
                  <w:r>
                    <w:rPr>
                      <w:rFonts w:hint="default" w:ascii="Times New Roman" w:hAnsi="Times New Roman" w:cs="Times New Roman"/>
                      <w:color w:val="auto"/>
                      <w:szCs w:val="21"/>
                    </w:rPr>
                    <w:t>60</w:t>
                  </w:r>
                  <w:r>
                    <w:rPr>
                      <w:rFonts w:hint="default" w:ascii="Times New Roman" w:hAnsi="Times New Roman" w:cs="Times New Roman"/>
                      <w:bCs/>
                      <w:color w:val="auto"/>
                      <w:szCs w:val="21"/>
                    </w:rPr>
                    <w:t>μg/m</w:t>
                  </w:r>
                  <w:r>
                    <w:rPr>
                      <w:rFonts w:hint="default" w:ascii="Times New Roman" w:hAnsi="Times New Roman" w:cs="Times New Roman"/>
                      <w:bCs/>
                      <w:color w:val="auto"/>
                      <w:szCs w:val="21"/>
                      <w:vertAlign w:val="superscript"/>
                    </w:rPr>
                    <w:t>3</w:t>
                  </w:r>
                </w:p>
              </w:tc>
              <w:tc>
                <w:tcPr>
                  <w:tcW w:w="1165" w:type="dxa"/>
                  <w:noWrap w:val="0"/>
                  <w:vAlign w:val="center"/>
                </w:tcPr>
                <w:p w14:paraId="2A55F378">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1</w:t>
                  </w:r>
                  <w:r>
                    <w:rPr>
                      <w:rFonts w:hint="default" w:ascii="Times New Roman" w:hAnsi="Times New Roman" w:cs="Times New Roman"/>
                      <w:color w:val="auto"/>
                      <w:szCs w:val="21"/>
                      <w:lang w:val="en-US" w:eastAsia="zh-CN"/>
                    </w:rPr>
                    <w:t>0.0</w:t>
                  </w:r>
                </w:p>
              </w:tc>
              <w:tc>
                <w:tcPr>
                  <w:tcW w:w="968" w:type="dxa"/>
                  <w:noWrap w:val="0"/>
                  <w:vAlign w:val="center"/>
                </w:tcPr>
                <w:p w14:paraId="2FA9C70B">
                  <w:pPr>
                    <w:jc w:val="center"/>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14:paraId="7EFC1CC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779" w:type="dxa"/>
                  <w:noWrap w:val="0"/>
                  <w:vAlign w:val="center"/>
                </w:tcPr>
                <w:p w14:paraId="5D474B88">
                  <w:pPr>
                    <w:jc w:val="center"/>
                    <w:rPr>
                      <w:rFonts w:hint="default" w:ascii="Times New Roman" w:hAnsi="Times New Roman" w:cs="Times New Roman"/>
                      <w:color w:val="auto"/>
                      <w:szCs w:val="21"/>
                    </w:rPr>
                  </w:pPr>
                  <w:r>
                    <w:rPr>
                      <w:rFonts w:hint="default" w:ascii="Times New Roman" w:hAnsi="Times New Roman" w:cs="Times New Roman"/>
                      <w:color w:val="auto"/>
                      <w:szCs w:val="21"/>
                    </w:rPr>
                    <w:t>NO</w:t>
                  </w:r>
                  <w:r>
                    <w:rPr>
                      <w:rFonts w:hint="default" w:ascii="Times New Roman" w:hAnsi="Times New Roman" w:cs="Times New Roman"/>
                      <w:color w:val="auto"/>
                      <w:szCs w:val="21"/>
                      <w:vertAlign w:val="subscript"/>
                    </w:rPr>
                    <w:t>2</w:t>
                  </w:r>
                </w:p>
              </w:tc>
              <w:tc>
                <w:tcPr>
                  <w:tcW w:w="3072" w:type="dxa"/>
                  <w:noWrap w:val="0"/>
                  <w:vAlign w:val="center"/>
                </w:tcPr>
                <w:p w14:paraId="43B07BA6">
                  <w:pPr>
                    <w:jc w:val="center"/>
                    <w:rPr>
                      <w:rFonts w:hint="default" w:ascii="Times New Roman" w:hAnsi="Times New Roman" w:cs="Times New Roman"/>
                      <w:color w:val="auto"/>
                      <w:szCs w:val="21"/>
                    </w:rPr>
                  </w:pPr>
                  <w:r>
                    <w:rPr>
                      <w:rFonts w:hint="default" w:ascii="Times New Roman" w:hAnsi="Times New Roman" w:cs="Times New Roman"/>
                      <w:color w:val="auto"/>
                      <w:szCs w:val="21"/>
                    </w:rPr>
                    <w:t>年平均浓度</w:t>
                  </w:r>
                </w:p>
              </w:tc>
              <w:tc>
                <w:tcPr>
                  <w:tcW w:w="1197" w:type="dxa"/>
                  <w:noWrap w:val="0"/>
                  <w:vAlign w:val="center"/>
                </w:tcPr>
                <w:p w14:paraId="11048639">
                  <w:pPr>
                    <w:jc w:val="center"/>
                    <w:rPr>
                      <w:rFonts w:hint="default" w:ascii="Times New Roman" w:hAnsi="Times New Roman" w:cs="Times New Roman"/>
                      <w:color w:val="auto"/>
                      <w:szCs w:val="21"/>
                    </w:rPr>
                  </w:pPr>
                  <w:r>
                    <w:rPr>
                      <w:rFonts w:hint="default" w:ascii="Times New Roman" w:hAnsi="Times New Roman" w:cs="Times New Roman"/>
                      <w:color w:val="auto"/>
                      <w:szCs w:val="21"/>
                    </w:rPr>
                    <w:t>19μg/m</w:t>
                  </w:r>
                  <w:r>
                    <w:rPr>
                      <w:rFonts w:hint="default" w:ascii="Times New Roman" w:hAnsi="Times New Roman" w:cs="Times New Roman"/>
                      <w:color w:val="auto"/>
                      <w:szCs w:val="21"/>
                      <w:vertAlign w:val="superscript"/>
                    </w:rPr>
                    <w:t>3</w:t>
                  </w:r>
                </w:p>
              </w:tc>
              <w:tc>
                <w:tcPr>
                  <w:tcW w:w="1129" w:type="dxa"/>
                  <w:noWrap w:val="0"/>
                  <w:vAlign w:val="center"/>
                </w:tcPr>
                <w:p w14:paraId="02C99CC2">
                  <w:pPr>
                    <w:jc w:val="center"/>
                    <w:rPr>
                      <w:rFonts w:hint="default" w:ascii="Times New Roman" w:hAnsi="Times New Roman" w:cs="Times New Roman"/>
                      <w:color w:val="auto"/>
                      <w:szCs w:val="21"/>
                    </w:rPr>
                  </w:pPr>
                  <w:r>
                    <w:rPr>
                      <w:rFonts w:hint="default" w:ascii="Times New Roman" w:hAnsi="Times New Roman" w:cs="Times New Roman"/>
                      <w:color w:val="auto"/>
                      <w:szCs w:val="21"/>
                    </w:rPr>
                    <w:t>40</w:t>
                  </w:r>
                  <w:r>
                    <w:rPr>
                      <w:rFonts w:hint="default" w:ascii="Times New Roman" w:hAnsi="Times New Roman" w:cs="Times New Roman"/>
                      <w:bCs/>
                      <w:color w:val="auto"/>
                      <w:szCs w:val="21"/>
                    </w:rPr>
                    <w:t>μg/m</w:t>
                  </w:r>
                  <w:r>
                    <w:rPr>
                      <w:rFonts w:hint="default" w:ascii="Times New Roman" w:hAnsi="Times New Roman" w:cs="Times New Roman"/>
                      <w:bCs/>
                      <w:color w:val="auto"/>
                      <w:szCs w:val="21"/>
                      <w:vertAlign w:val="superscript"/>
                    </w:rPr>
                    <w:t>3</w:t>
                  </w:r>
                </w:p>
              </w:tc>
              <w:tc>
                <w:tcPr>
                  <w:tcW w:w="1165" w:type="dxa"/>
                  <w:noWrap w:val="0"/>
                  <w:vAlign w:val="center"/>
                </w:tcPr>
                <w:p w14:paraId="7FD9752A">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4</w:t>
                  </w:r>
                  <w:r>
                    <w:rPr>
                      <w:rFonts w:hint="default" w:ascii="Times New Roman" w:hAnsi="Times New Roman" w:cs="Times New Roman"/>
                      <w:color w:val="auto"/>
                      <w:szCs w:val="21"/>
                      <w:lang w:val="en-US" w:eastAsia="zh-CN"/>
                    </w:rPr>
                    <w:t>7.5</w:t>
                  </w:r>
                </w:p>
              </w:tc>
              <w:tc>
                <w:tcPr>
                  <w:tcW w:w="968" w:type="dxa"/>
                  <w:noWrap w:val="0"/>
                  <w:vAlign w:val="center"/>
                </w:tcPr>
                <w:p w14:paraId="4E8A7E8A">
                  <w:pPr>
                    <w:jc w:val="center"/>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14:paraId="4FEBEC88">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779" w:type="dxa"/>
                  <w:noWrap w:val="0"/>
                  <w:vAlign w:val="center"/>
                </w:tcPr>
                <w:p w14:paraId="14764713">
                  <w:pPr>
                    <w:jc w:val="center"/>
                    <w:rPr>
                      <w:rFonts w:hint="default" w:ascii="Times New Roman" w:hAnsi="Times New Roman" w:cs="Times New Roman"/>
                      <w:color w:val="auto"/>
                      <w:szCs w:val="21"/>
                    </w:rPr>
                  </w:pPr>
                  <w:r>
                    <w:rPr>
                      <w:rFonts w:hint="default" w:ascii="Times New Roman" w:hAnsi="Times New Roman" w:cs="Times New Roman"/>
                      <w:color w:val="auto"/>
                      <w:szCs w:val="21"/>
                    </w:rPr>
                    <w:t>PM</w:t>
                  </w:r>
                  <w:r>
                    <w:rPr>
                      <w:rFonts w:hint="default" w:ascii="Times New Roman" w:hAnsi="Times New Roman" w:cs="Times New Roman"/>
                      <w:color w:val="auto"/>
                      <w:szCs w:val="21"/>
                      <w:vertAlign w:val="subscript"/>
                    </w:rPr>
                    <w:t>2.5</w:t>
                  </w:r>
                </w:p>
              </w:tc>
              <w:tc>
                <w:tcPr>
                  <w:tcW w:w="3072" w:type="dxa"/>
                  <w:noWrap w:val="0"/>
                  <w:vAlign w:val="center"/>
                </w:tcPr>
                <w:p w14:paraId="7AA0B12D">
                  <w:pPr>
                    <w:jc w:val="center"/>
                    <w:rPr>
                      <w:rFonts w:hint="default" w:ascii="Times New Roman" w:hAnsi="Times New Roman" w:cs="Times New Roman"/>
                      <w:color w:val="auto"/>
                      <w:szCs w:val="21"/>
                    </w:rPr>
                  </w:pPr>
                  <w:r>
                    <w:rPr>
                      <w:rFonts w:hint="default" w:ascii="Times New Roman" w:hAnsi="Times New Roman" w:cs="Times New Roman"/>
                      <w:color w:val="auto"/>
                      <w:szCs w:val="21"/>
                    </w:rPr>
                    <w:t>年平均浓度</w:t>
                  </w:r>
                </w:p>
              </w:tc>
              <w:tc>
                <w:tcPr>
                  <w:tcW w:w="1197" w:type="dxa"/>
                  <w:noWrap w:val="0"/>
                  <w:vAlign w:val="center"/>
                </w:tcPr>
                <w:p w14:paraId="74AA5E7F">
                  <w:pPr>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29</w:t>
                  </w:r>
                  <w:r>
                    <w:rPr>
                      <w:rFonts w:hint="default" w:ascii="Times New Roman" w:hAnsi="Times New Roman" w:cs="Times New Roman"/>
                      <w:color w:val="auto"/>
                      <w:szCs w:val="21"/>
                    </w:rPr>
                    <w:t>μg/m</w:t>
                  </w:r>
                  <w:r>
                    <w:rPr>
                      <w:rFonts w:hint="default" w:ascii="Times New Roman" w:hAnsi="Times New Roman" w:cs="Times New Roman"/>
                      <w:color w:val="auto"/>
                      <w:szCs w:val="21"/>
                      <w:vertAlign w:val="superscript"/>
                    </w:rPr>
                    <w:t>3</w:t>
                  </w:r>
                </w:p>
              </w:tc>
              <w:tc>
                <w:tcPr>
                  <w:tcW w:w="1129" w:type="dxa"/>
                  <w:noWrap w:val="0"/>
                  <w:vAlign w:val="center"/>
                </w:tcPr>
                <w:p w14:paraId="2D651261">
                  <w:pPr>
                    <w:jc w:val="center"/>
                    <w:rPr>
                      <w:rFonts w:hint="default" w:ascii="Times New Roman" w:hAnsi="Times New Roman" w:cs="Times New Roman"/>
                      <w:color w:val="auto"/>
                      <w:szCs w:val="21"/>
                    </w:rPr>
                  </w:pPr>
                  <w:r>
                    <w:rPr>
                      <w:rFonts w:hint="default" w:ascii="Times New Roman" w:hAnsi="Times New Roman" w:cs="Times New Roman"/>
                      <w:color w:val="auto"/>
                      <w:szCs w:val="21"/>
                    </w:rPr>
                    <w:t>35</w:t>
                  </w:r>
                  <w:r>
                    <w:rPr>
                      <w:rFonts w:hint="default" w:ascii="Times New Roman" w:hAnsi="Times New Roman" w:cs="Times New Roman"/>
                      <w:bCs/>
                      <w:color w:val="auto"/>
                      <w:szCs w:val="21"/>
                    </w:rPr>
                    <w:t>μg/m</w:t>
                  </w:r>
                  <w:r>
                    <w:rPr>
                      <w:rFonts w:hint="default" w:ascii="Times New Roman" w:hAnsi="Times New Roman" w:cs="Times New Roman"/>
                      <w:bCs/>
                      <w:color w:val="auto"/>
                      <w:szCs w:val="21"/>
                      <w:vertAlign w:val="superscript"/>
                    </w:rPr>
                    <w:t>3</w:t>
                  </w:r>
                </w:p>
              </w:tc>
              <w:tc>
                <w:tcPr>
                  <w:tcW w:w="1165" w:type="dxa"/>
                  <w:noWrap w:val="0"/>
                  <w:vAlign w:val="center"/>
                </w:tcPr>
                <w:p w14:paraId="55CBB17D">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82.9</w:t>
                  </w:r>
                </w:p>
              </w:tc>
              <w:tc>
                <w:tcPr>
                  <w:tcW w:w="968" w:type="dxa"/>
                  <w:noWrap w:val="0"/>
                  <w:vAlign w:val="center"/>
                </w:tcPr>
                <w:p w14:paraId="26F8A878">
                  <w:pPr>
                    <w:jc w:val="center"/>
                    <w:rPr>
                      <w:rFonts w:hint="default" w:ascii="Times New Roman" w:hAnsi="Times New Roman" w:cs="Times New Roman"/>
                      <w:color w:val="auto"/>
                      <w:szCs w:val="21"/>
                    </w:rPr>
                  </w:pPr>
                  <w:r>
                    <w:rPr>
                      <w:rFonts w:hint="default" w:ascii="Times New Roman" w:hAnsi="Times New Roman" w:cs="Times New Roman"/>
                      <w:bCs/>
                      <w:color w:val="auto"/>
                      <w:szCs w:val="21"/>
                    </w:rPr>
                    <w:t>达标</w:t>
                  </w:r>
                </w:p>
              </w:tc>
            </w:tr>
            <w:tr w14:paraId="30936946">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779" w:type="dxa"/>
                  <w:noWrap w:val="0"/>
                  <w:vAlign w:val="center"/>
                </w:tcPr>
                <w:p w14:paraId="3803A79F">
                  <w:pPr>
                    <w:jc w:val="center"/>
                    <w:rPr>
                      <w:rFonts w:hint="default" w:ascii="Times New Roman" w:hAnsi="Times New Roman" w:cs="Times New Roman"/>
                      <w:color w:val="auto"/>
                      <w:szCs w:val="21"/>
                    </w:rPr>
                  </w:pPr>
                  <w:r>
                    <w:rPr>
                      <w:rFonts w:hint="default" w:ascii="Times New Roman" w:hAnsi="Times New Roman" w:cs="Times New Roman"/>
                      <w:color w:val="auto"/>
                      <w:szCs w:val="21"/>
                    </w:rPr>
                    <w:t>PM</w:t>
                  </w:r>
                  <w:r>
                    <w:rPr>
                      <w:rFonts w:hint="default" w:ascii="Times New Roman" w:hAnsi="Times New Roman" w:cs="Times New Roman"/>
                      <w:color w:val="auto"/>
                      <w:szCs w:val="21"/>
                      <w:vertAlign w:val="subscript"/>
                    </w:rPr>
                    <w:t>10</w:t>
                  </w:r>
                </w:p>
              </w:tc>
              <w:tc>
                <w:tcPr>
                  <w:tcW w:w="3072" w:type="dxa"/>
                  <w:noWrap w:val="0"/>
                  <w:vAlign w:val="center"/>
                </w:tcPr>
                <w:p w14:paraId="6429A3D2">
                  <w:pPr>
                    <w:jc w:val="center"/>
                    <w:rPr>
                      <w:rFonts w:hint="default" w:ascii="Times New Roman" w:hAnsi="Times New Roman" w:cs="Times New Roman"/>
                      <w:color w:val="auto"/>
                      <w:szCs w:val="21"/>
                    </w:rPr>
                  </w:pPr>
                  <w:r>
                    <w:rPr>
                      <w:rFonts w:hint="default" w:ascii="Times New Roman" w:hAnsi="Times New Roman" w:cs="Times New Roman"/>
                      <w:color w:val="auto"/>
                      <w:szCs w:val="21"/>
                    </w:rPr>
                    <w:t>年平均浓度</w:t>
                  </w:r>
                </w:p>
              </w:tc>
              <w:tc>
                <w:tcPr>
                  <w:tcW w:w="1197" w:type="dxa"/>
                  <w:noWrap w:val="0"/>
                  <w:vAlign w:val="center"/>
                </w:tcPr>
                <w:p w14:paraId="04008FF9">
                  <w:pPr>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43</w:t>
                  </w:r>
                  <w:r>
                    <w:rPr>
                      <w:rFonts w:hint="default" w:ascii="Times New Roman" w:hAnsi="Times New Roman" w:cs="Times New Roman"/>
                      <w:color w:val="auto"/>
                      <w:szCs w:val="21"/>
                    </w:rPr>
                    <w:t>μg/m</w:t>
                  </w:r>
                  <w:r>
                    <w:rPr>
                      <w:rFonts w:hint="default" w:ascii="Times New Roman" w:hAnsi="Times New Roman" w:cs="Times New Roman"/>
                      <w:color w:val="auto"/>
                      <w:szCs w:val="21"/>
                      <w:vertAlign w:val="superscript"/>
                    </w:rPr>
                    <w:t>3</w:t>
                  </w:r>
                </w:p>
              </w:tc>
              <w:tc>
                <w:tcPr>
                  <w:tcW w:w="1129" w:type="dxa"/>
                  <w:noWrap w:val="0"/>
                  <w:vAlign w:val="center"/>
                </w:tcPr>
                <w:p w14:paraId="27280040">
                  <w:pPr>
                    <w:jc w:val="center"/>
                    <w:rPr>
                      <w:rFonts w:hint="default" w:ascii="Times New Roman" w:hAnsi="Times New Roman" w:cs="Times New Roman"/>
                      <w:color w:val="auto"/>
                      <w:szCs w:val="21"/>
                    </w:rPr>
                  </w:pPr>
                  <w:r>
                    <w:rPr>
                      <w:rFonts w:hint="default" w:ascii="Times New Roman" w:hAnsi="Times New Roman" w:cs="Times New Roman"/>
                      <w:color w:val="auto"/>
                      <w:szCs w:val="21"/>
                    </w:rPr>
                    <w:t>70</w:t>
                  </w:r>
                  <w:r>
                    <w:rPr>
                      <w:rFonts w:hint="default" w:ascii="Times New Roman" w:hAnsi="Times New Roman" w:cs="Times New Roman"/>
                      <w:bCs/>
                      <w:color w:val="auto"/>
                      <w:szCs w:val="21"/>
                    </w:rPr>
                    <w:t>μg/m</w:t>
                  </w:r>
                  <w:r>
                    <w:rPr>
                      <w:rFonts w:hint="default" w:ascii="Times New Roman" w:hAnsi="Times New Roman" w:cs="Times New Roman"/>
                      <w:bCs/>
                      <w:color w:val="auto"/>
                      <w:szCs w:val="21"/>
                      <w:vertAlign w:val="superscript"/>
                    </w:rPr>
                    <w:t>3</w:t>
                  </w:r>
                </w:p>
              </w:tc>
              <w:tc>
                <w:tcPr>
                  <w:tcW w:w="1165" w:type="dxa"/>
                  <w:noWrap w:val="0"/>
                  <w:vAlign w:val="center"/>
                </w:tcPr>
                <w:p w14:paraId="0280B280">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61.4</w:t>
                  </w:r>
                </w:p>
              </w:tc>
              <w:tc>
                <w:tcPr>
                  <w:tcW w:w="968" w:type="dxa"/>
                  <w:noWrap w:val="0"/>
                  <w:vAlign w:val="center"/>
                </w:tcPr>
                <w:p w14:paraId="051DEB4C">
                  <w:pPr>
                    <w:jc w:val="center"/>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14:paraId="2918238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779" w:type="dxa"/>
                  <w:noWrap w:val="0"/>
                  <w:vAlign w:val="center"/>
                </w:tcPr>
                <w:p w14:paraId="12211ACE">
                  <w:pPr>
                    <w:jc w:val="center"/>
                    <w:rPr>
                      <w:rFonts w:hint="default" w:ascii="Times New Roman" w:hAnsi="Times New Roman" w:cs="Times New Roman"/>
                      <w:color w:val="auto"/>
                      <w:szCs w:val="21"/>
                    </w:rPr>
                  </w:pPr>
                  <w:r>
                    <w:rPr>
                      <w:rFonts w:hint="default" w:ascii="Times New Roman" w:hAnsi="Times New Roman" w:cs="Times New Roman"/>
                      <w:color w:val="auto"/>
                      <w:szCs w:val="21"/>
                    </w:rPr>
                    <w:t>CO</w:t>
                  </w:r>
                </w:p>
              </w:tc>
              <w:tc>
                <w:tcPr>
                  <w:tcW w:w="3072" w:type="dxa"/>
                  <w:noWrap w:val="0"/>
                  <w:vAlign w:val="center"/>
                </w:tcPr>
                <w:p w14:paraId="22D6B41C">
                  <w:pPr>
                    <w:jc w:val="center"/>
                    <w:rPr>
                      <w:rFonts w:hint="default" w:ascii="Times New Roman" w:hAnsi="Times New Roman" w:cs="Times New Roman"/>
                      <w:color w:val="auto"/>
                      <w:szCs w:val="21"/>
                    </w:rPr>
                  </w:pPr>
                  <w:r>
                    <w:rPr>
                      <w:rFonts w:hint="default" w:ascii="Times New Roman" w:hAnsi="Times New Roman" w:cs="Times New Roman"/>
                      <w:color w:val="auto"/>
                      <w:szCs w:val="21"/>
                    </w:rPr>
                    <w:t>日均值第95百分位浓度值</w:t>
                  </w:r>
                </w:p>
              </w:tc>
              <w:tc>
                <w:tcPr>
                  <w:tcW w:w="1197" w:type="dxa"/>
                  <w:noWrap w:val="0"/>
                  <w:vAlign w:val="center"/>
                </w:tcPr>
                <w:p w14:paraId="7B838543">
                  <w:pPr>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1.0</w:t>
                  </w:r>
                  <w:r>
                    <w:rPr>
                      <w:rFonts w:hint="default" w:ascii="Times New Roman" w:hAnsi="Times New Roman" w:cs="Times New Roman"/>
                      <w:color w:val="auto"/>
                      <w:szCs w:val="21"/>
                    </w:rPr>
                    <w:t>mg/m</w:t>
                  </w:r>
                  <w:r>
                    <w:rPr>
                      <w:rFonts w:hint="default" w:ascii="Times New Roman" w:hAnsi="Times New Roman" w:cs="Times New Roman"/>
                      <w:color w:val="auto"/>
                      <w:szCs w:val="21"/>
                      <w:vertAlign w:val="superscript"/>
                    </w:rPr>
                    <w:t>3</w:t>
                  </w:r>
                </w:p>
              </w:tc>
              <w:tc>
                <w:tcPr>
                  <w:tcW w:w="1129" w:type="dxa"/>
                  <w:noWrap w:val="0"/>
                  <w:vAlign w:val="center"/>
                </w:tcPr>
                <w:p w14:paraId="4063D46B">
                  <w:pPr>
                    <w:jc w:val="center"/>
                    <w:rPr>
                      <w:rFonts w:hint="default" w:ascii="Times New Roman" w:hAnsi="Times New Roman" w:cs="Times New Roman"/>
                      <w:color w:val="auto"/>
                      <w:szCs w:val="21"/>
                    </w:rPr>
                  </w:pPr>
                  <w:r>
                    <w:rPr>
                      <w:rFonts w:hint="default" w:ascii="Times New Roman" w:hAnsi="Times New Roman" w:cs="Times New Roman"/>
                      <w:color w:val="auto"/>
                      <w:szCs w:val="21"/>
                    </w:rPr>
                    <w:t>4m</w:t>
                  </w:r>
                  <w:r>
                    <w:rPr>
                      <w:rFonts w:hint="default" w:ascii="Times New Roman" w:hAnsi="Times New Roman" w:cs="Times New Roman"/>
                      <w:bCs/>
                      <w:color w:val="auto"/>
                      <w:szCs w:val="21"/>
                    </w:rPr>
                    <w:t>g/m</w:t>
                  </w:r>
                  <w:r>
                    <w:rPr>
                      <w:rFonts w:hint="default" w:ascii="Times New Roman" w:hAnsi="Times New Roman" w:cs="Times New Roman"/>
                      <w:bCs/>
                      <w:color w:val="auto"/>
                      <w:szCs w:val="21"/>
                      <w:vertAlign w:val="superscript"/>
                    </w:rPr>
                    <w:t>3</w:t>
                  </w:r>
                </w:p>
              </w:tc>
              <w:tc>
                <w:tcPr>
                  <w:tcW w:w="1165" w:type="dxa"/>
                  <w:noWrap w:val="0"/>
                  <w:vAlign w:val="center"/>
                </w:tcPr>
                <w:p w14:paraId="58BBE4DE">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2</w:t>
                  </w:r>
                  <w:r>
                    <w:rPr>
                      <w:rFonts w:hint="default" w:ascii="Times New Roman" w:hAnsi="Times New Roman" w:cs="Times New Roman"/>
                      <w:color w:val="auto"/>
                      <w:szCs w:val="21"/>
                      <w:lang w:val="en-US" w:eastAsia="zh-CN"/>
                    </w:rPr>
                    <w:t>5.0</w:t>
                  </w:r>
                </w:p>
              </w:tc>
              <w:tc>
                <w:tcPr>
                  <w:tcW w:w="968" w:type="dxa"/>
                  <w:noWrap w:val="0"/>
                  <w:vAlign w:val="center"/>
                </w:tcPr>
                <w:p w14:paraId="2AFD36C3">
                  <w:pPr>
                    <w:jc w:val="center"/>
                    <w:rPr>
                      <w:rFonts w:hint="default" w:ascii="Times New Roman" w:hAnsi="Times New Roman" w:cs="Times New Roman"/>
                      <w:color w:val="auto"/>
                      <w:szCs w:val="21"/>
                    </w:rPr>
                  </w:pPr>
                  <w:r>
                    <w:rPr>
                      <w:rFonts w:hint="default" w:ascii="Times New Roman" w:hAnsi="Times New Roman" w:cs="Times New Roman"/>
                      <w:color w:val="auto"/>
                      <w:szCs w:val="21"/>
                    </w:rPr>
                    <w:t>达标</w:t>
                  </w:r>
                </w:p>
              </w:tc>
            </w:tr>
            <w:tr w14:paraId="0B0F692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9" w:hRule="atLeast"/>
              </w:trPr>
              <w:tc>
                <w:tcPr>
                  <w:tcW w:w="779" w:type="dxa"/>
                  <w:noWrap w:val="0"/>
                  <w:vAlign w:val="center"/>
                </w:tcPr>
                <w:p w14:paraId="25C320A8">
                  <w:pPr>
                    <w:jc w:val="center"/>
                    <w:rPr>
                      <w:rFonts w:hint="default" w:ascii="Times New Roman" w:hAnsi="Times New Roman" w:cs="Times New Roman"/>
                      <w:color w:val="auto"/>
                      <w:szCs w:val="21"/>
                    </w:rPr>
                  </w:pPr>
                  <w:r>
                    <w:rPr>
                      <w:rFonts w:hint="default" w:ascii="Times New Roman" w:hAnsi="Times New Roman" w:cs="Times New Roman"/>
                      <w:color w:val="auto"/>
                      <w:szCs w:val="21"/>
                    </w:rPr>
                    <w:t>O</w:t>
                  </w:r>
                  <w:r>
                    <w:rPr>
                      <w:rFonts w:hint="default" w:ascii="Times New Roman" w:hAnsi="Times New Roman" w:cs="Times New Roman"/>
                      <w:color w:val="auto"/>
                      <w:szCs w:val="21"/>
                      <w:vertAlign w:val="subscript"/>
                    </w:rPr>
                    <w:t>3</w:t>
                  </w:r>
                </w:p>
              </w:tc>
              <w:tc>
                <w:tcPr>
                  <w:tcW w:w="3072" w:type="dxa"/>
                  <w:noWrap w:val="0"/>
                  <w:vAlign w:val="center"/>
                </w:tcPr>
                <w:p w14:paraId="6729D814">
                  <w:pPr>
                    <w:jc w:val="center"/>
                    <w:rPr>
                      <w:rFonts w:hint="default" w:ascii="Times New Roman" w:hAnsi="Times New Roman" w:cs="Times New Roman"/>
                      <w:color w:val="auto"/>
                      <w:szCs w:val="21"/>
                    </w:rPr>
                  </w:pPr>
                  <w:r>
                    <w:rPr>
                      <w:rFonts w:hint="default" w:ascii="Times New Roman" w:hAnsi="Times New Roman" w:cs="Times New Roman"/>
                      <w:color w:val="auto"/>
                      <w:szCs w:val="21"/>
                    </w:rPr>
                    <w:t>最大8小时均值的第90百分位浓度值</w:t>
                  </w:r>
                </w:p>
              </w:tc>
              <w:tc>
                <w:tcPr>
                  <w:tcW w:w="1197" w:type="dxa"/>
                  <w:noWrap w:val="0"/>
                  <w:vAlign w:val="center"/>
                </w:tcPr>
                <w:p w14:paraId="73C43D3D">
                  <w:pPr>
                    <w:jc w:val="center"/>
                    <w:rPr>
                      <w:rFonts w:hint="default" w:ascii="Times New Roman" w:hAnsi="Times New Roman" w:cs="Times New Roman"/>
                      <w:color w:val="auto"/>
                      <w:szCs w:val="21"/>
                    </w:rPr>
                  </w:pPr>
                  <w:r>
                    <w:rPr>
                      <w:rFonts w:hint="default" w:ascii="Times New Roman" w:hAnsi="Times New Roman" w:cs="Times New Roman"/>
                      <w:color w:val="auto"/>
                      <w:szCs w:val="21"/>
                    </w:rPr>
                    <w:t>1</w:t>
                  </w:r>
                  <w:r>
                    <w:rPr>
                      <w:rFonts w:hint="default" w:ascii="Times New Roman" w:hAnsi="Times New Roman" w:cs="Times New Roman"/>
                      <w:color w:val="auto"/>
                      <w:szCs w:val="21"/>
                      <w:lang w:val="en-US" w:eastAsia="zh-CN"/>
                    </w:rPr>
                    <w:t>56</w:t>
                  </w:r>
                  <w:r>
                    <w:rPr>
                      <w:rFonts w:hint="default" w:ascii="Times New Roman" w:hAnsi="Times New Roman" w:cs="Times New Roman"/>
                      <w:color w:val="auto"/>
                      <w:szCs w:val="21"/>
                    </w:rPr>
                    <w:t>μg/m</w:t>
                  </w:r>
                  <w:r>
                    <w:rPr>
                      <w:rFonts w:hint="default" w:ascii="Times New Roman" w:hAnsi="Times New Roman" w:cs="Times New Roman"/>
                      <w:color w:val="auto"/>
                      <w:szCs w:val="21"/>
                      <w:vertAlign w:val="superscript"/>
                    </w:rPr>
                    <w:t>3</w:t>
                  </w:r>
                </w:p>
              </w:tc>
              <w:tc>
                <w:tcPr>
                  <w:tcW w:w="1129" w:type="dxa"/>
                  <w:noWrap w:val="0"/>
                  <w:vAlign w:val="center"/>
                </w:tcPr>
                <w:p w14:paraId="07004780">
                  <w:pPr>
                    <w:jc w:val="center"/>
                    <w:rPr>
                      <w:rFonts w:hint="default" w:ascii="Times New Roman" w:hAnsi="Times New Roman" w:cs="Times New Roman"/>
                      <w:color w:val="auto"/>
                      <w:szCs w:val="21"/>
                    </w:rPr>
                  </w:pPr>
                  <w:r>
                    <w:rPr>
                      <w:rFonts w:hint="default" w:ascii="Times New Roman" w:hAnsi="Times New Roman" w:cs="Times New Roman"/>
                      <w:color w:val="auto"/>
                      <w:szCs w:val="21"/>
                    </w:rPr>
                    <w:t>160</w:t>
                  </w:r>
                  <w:r>
                    <w:rPr>
                      <w:rFonts w:hint="default" w:ascii="Times New Roman" w:hAnsi="Times New Roman" w:cs="Times New Roman"/>
                      <w:bCs/>
                      <w:color w:val="auto"/>
                      <w:szCs w:val="21"/>
                    </w:rPr>
                    <w:t>μg/m</w:t>
                  </w:r>
                  <w:r>
                    <w:rPr>
                      <w:rFonts w:hint="default" w:ascii="Times New Roman" w:hAnsi="Times New Roman" w:cs="Times New Roman"/>
                      <w:bCs/>
                      <w:color w:val="auto"/>
                      <w:szCs w:val="21"/>
                      <w:vertAlign w:val="superscript"/>
                    </w:rPr>
                    <w:t>3</w:t>
                  </w:r>
                </w:p>
              </w:tc>
              <w:tc>
                <w:tcPr>
                  <w:tcW w:w="1165" w:type="dxa"/>
                  <w:noWrap w:val="0"/>
                  <w:vAlign w:val="center"/>
                </w:tcPr>
                <w:p w14:paraId="446A331B">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97.5</w:t>
                  </w:r>
                </w:p>
              </w:tc>
              <w:tc>
                <w:tcPr>
                  <w:tcW w:w="968" w:type="dxa"/>
                  <w:noWrap w:val="0"/>
                  <w:vAlign w:val="center"/>
                </w:tcPr>
                <w:p w14:paraId="19399FBC">
                  <w:pPr>
                    <w:jc w:val="center"/>
                    <w:rPr>
                      <w:rFonts w:hint="default" w:ascii="Times New Roman" w:hAnsi="Times New Roman" w:cs="Times New Roman"/>
                      <w:color w:val="auto"/>
                      <w:szCs w:val="21"/>
                    </w:rPr>
                  </w:pPr>
                  <w:r>
                    <w:rPr>
                      <w:rFonts w:hint="default" w:ascii="Times New Roman" w:hAnsi="Times New Roman" w:cs="Times New Roman"/>
                      <w:bCs/>
                      <w:color w:val="auto"/>
                      <w:szCs w:val="21"/>
                    </w:rPr>
                    <w:t>达标</w:t>
                  </w:r>
                </w:p>
              </w:tc>
            </w:tr>
          </w:tbl>
          <w:p w14:paraId="7029F70E">
            <w:pPr>
              <w:spacing w:line="360" w:lineRule="auto"/>
              <w:ind w:firstLine="480" w:firstLineChars="200"/>
              <w:outlineLvl w:val="0"/>
              <w:rPr>
                <w:rFonts w:hint="eastAsia" w:ascii="Times New Roman" w:hAnsi="Times New Roman" w:cs="Times New Roman"/>
                <w:b/>
                <w:color w:val="auto"/>
                <w:sz w:val="24"/>
                <w:lang w:eastAsia="zh-CN"/>
              </w:rPr>
            </w:pPr>
            <w:r>
              <w:rPr>
                <w:rFonts w:hint="default" w:ascii="Times New Roman" w:hAnsi="Times New Roman" w:cs="Times New Roman"/>
                <w:bCs/>
                <w:color w:val="auto"/>
                <w:sz w:val="24"/>
              </w:rPr>
              <w:t>根据以上表格，金堂县主要污染物</w:t>
            </w:r>
            <w:r>
              <w:rPr>
                <w:rFonts w:hint="default" w:ascii="Times New Roman" w:hAnsi="Times New Roman" w:cs="Times New Roman"/>
                <w:color w:val="auto"/>
                <w:kern w:val="0"/>
                <w:sz w:val="24"/>
              </w:rPr>
              <w:t>SO</w:t>
            </w:r>
            <w:r>
              <w:rPr>
                <w:rFonts w:hint="default" w:ascii="Times New Roman" w:hAnsi="Times New Roman" w:cs="Times New Roman"/>
                <w:color w:val="auto"/>
                <w:kern w:val="0"/>
                <w:sz w:val="24"/>
                <w:vertAlign w:val="subscript"/>
              </w:rPr>
              <w:t>2</w:t>
            </w:r>
            <w:r>
              <w:rPr>
                <w:rFonts w:hint="default" w:ascii="Times New Roman" w:hAnsi="Times New Roman" w:cs="Times New Roman"/>
                <w:color w:val="auto"/>
                <w:kern w:val="0"/>
                <w:sz w:val="24"/>
              </w:rPr>
              <w:t>、NO</w:t>
            </w:r>
            <w:r>
              <w:rPr>
                <w:rFonts w:hint="default" w:ascii="Times New Roman" w:hAnsi="Times New Roman" w:cs="Times New Roman"/>
                <w:color w:val="auto"/>
                <w:kern w:val="0"/>
                <w:sz w:val="24"/>
                <w:vertAlign w:val="subscript"/>
              </w:rPr>
              <w:t>2</w:t>
            </w:r>
            <w:r>
              <w:rPr>
                <w:rFonts w:hint="default" w:ascii="Times New Roman" w:hAnsi="Times New Roman" w:cs="Times New Roman"/>
                <w:color w:val="auto"/>
                <w:kern w:val="0"/>
                <w:sz w:val="24"/>
              </w:rPr>
              <w:t>、PM</w:t>
            </w:r>
            <w:r>
              <w:rPr>
                <w:rFonts w:hint="default" w:ascii="Times New Roman" w:hAnsi="Times New Roman" w:cs="Times New Roman"/>
                <w:color w:val="auto"/>
                <w:kern w:val="0"/>
                <w:sz w:val="24"/>
                <w:vertAlign w:val="subscript"/>
              </w:rPr>
              <w:t>10</w:t>
            </w:r>
            <w:r>
              <w:rPr>
                <w:rFonts w:hint="default" w:ascii="Times New Roman" w:hAnsi="Times New Roman" w:cs="Times New Roman"/>
                <w:color w:val="auto"/>
                <w:kern w:val="0"/>
                <w:sz w:val="24"/>
              </w:rPr>
              <w:t>、PM</w:t>
            </w:r>
            <w:r>
              <w:rPr>
                <w:rFonts w:hint="default" w:ascii="Times New Roman" w:hAnsi="Times New Roman" w:cs="Times New Roman"/>
                <w:color w:val="auto"/>
                <w:kern w:val="0"/>
                <w:sz w:val="24"/>
                <w:vertAlign w:val="subscript"/>
              </w:rPr>
              <w:t>2.5</w:t>
            </w:r>
            <w:r>
              <w:rPr>
                <w:rFonts w:hint="default" w:ascii="Times New Roman" w:hAnsi="Times New Roman" w:cs="Times New Roman"/>
                <w:color w:val="auto"/>
                <w:kern w:val="0"/>
                <w:sz w:val="24"/>
              </w:rPr>
              <w:t>、CO、O</w:t>
            </w:r>
            <w:r>
              <w:rPr>
                <w:rFonts w:hint="default" w:ascii="Times New Roman" w:hAnsi="Times New Roman" w:cs="Times New Roman"/>
                <w:color w:val="auto"/>
                <w:kern w:val="0"/>
                <w:sz w:val="24"/>
                <w:vertAlign w:val="subscript"/>
              </w:rPr>
              <w:t>3</w:t>
            </w:r>
            <w:r>
              <w:rPr>
                <w:rFonts w:hint="default" w:ascii="Times New Roman" w:hAnsi="Times New Roman" w:cs="Times New Roman"/>
                <w:color w:val="auto"/>
                <w:kern w:val="0"/>
                <w:sz w:val="24"/>
                <w:vertAlign w:val="baseline"/>
                <w:lang w:val="en-US" w:eastAsia="zh-CN"/>
              </w:rPr>
              <w:t>均</w:t>
            </w:r>
            <w:r>
              <w:rPr>
                <w:rFonts w:hint="default" w:ascii="Times New Roman" w:hAnsi="Times New Roman" w:cs="Times New Roman"/>
                <w:bCs/>
                <w:color w:val="auto"/>
                <w:sz w:val="24"/>
              </w:rPr>
              <w:t>能满足《环境空气质量标准》（GB3095-2012）中二级标准。因此</w:t>
            </w:r>
            <w:r>
              <w:rPr>
                <w:rFonts w:hint="default" w:ascii="Times New Roman" w:hAnsi="Times New Roman" w:cs="Times New Roman"/>
                <w:b/>
                <w:color w:val="auto"/>
                <w:sz w:val="24"/>
              </w:rPr>
              <w:t>本项目所在区域为达标区</w:t>
            </w:r>
            <w:r>
              <w:rPr>
                <w:rFonts w:hint="eastAsia" w:ascii="Times New Roman" w:hAnsi="Times New Roman" w:cs="Times New Roman"/>
                <w:b/>
                <w:color w:val="auto"/>
                <w:sz w:val="24"/>
                <w:lang w:eastAsia="zh-CN"/>
              </w:rPr>
              <w:t>。</w:t>
            </w:r>
          </w:p>
          <w:p w14:paraId="19728AEC">
            <w:pPr>
              <w:spacing w:line="360" w:lineRule="auto"/>
              <w:ind w:firstLine="482" w:firstLineChars="200"/>
              <w:outlineLvl w:val="0"/>
              <w:rPr>
                <w:rFonts w:hint="default" w:ascii="Times New Roman" w:hAnsi="Times New Roman" w:cs="Times New Roman"/>
                <w:b/>
                <w:color w:val="auto"/>
                <w:sz w:val="24"/>
                <w:lang w:val="en-US" w:eastAsia="zh-CN"/>
              </w:rPr>
            </w:pPr>
            <w:r>
              <w:rPr>
                <w:rFonts w:hint="eastAsia" w:ascii="Times New Roman" w:hAnsi="Times New Roman" w:cs="Times New Roman"/>
                <w:b/>
                <w:color w:val="auto"/>
                <w:sz w:val="24"/>
                <w:lang w:val="en-US" w:eastAsia="zh-CN"/>
              </w:rPr>
              <w:t>2、水环境</w:t>
            </w:r>
          </w:p>
          <w:p w14:paraId="4D064D06">
            <w:pPr>
              <w:spacing w:line="360" w:lineRule="auto"/>
              <w:ind w:firstLine="480" w:firstLineChars="200"/>
              <w:outlineLvl w:val="0"/>
              <w:rPr>
                <w:rFonts w:hint="eastAsia" w:eastAsia="宋体"/>
                <w:sz w:val="24"/>
                <w:lang w:eastAsia="zh-CN"/>
              </w:rPr>
            </w:pPr>
            <w:r>
              <w:rPr>
                <w:bCs/>
                <w:color w:val="auto"/>
                <w:kern w:val="0"/>
                <w:sz w:val="24"/>
              </w:rPr>
              <w:t>根据《</w:t>
            </w:r>
            <w:r>
              <w:rPr>
                <w:rFonts w:hint="eastAsia"/>
                <w:bCs/>
                <w:color w:val="auto"/>
                <w:kern w:val="0"/>
                <w:sz w:val="24"/>
              </w:rPr>
              <w:t>202</w:t>
            </w:r>
            <w:r>
              <w:rPr>
                <w:rFonts w:hint="eastAsia"/>
                <w:bCs/>
                <w:color w:val="auto"/>
                <w:kern w:val="0"/>
                <w:sz w:val="24"/>
                <w:lang w:val="en-US" w:eastAsia="zh-CN"/>
              </w:rPr>
              <w:t>4</w:t>
            </w:r>
            <w:r>
              <w:rPr>
                <w:rFonts w:hint="eastAsia"/>
                <w:bCs/>
                <w:color w:val="auto"/>
                <w:kern w:val="0"/>
                <w:sz w:val="24"/>
              </w:rPr>
              <w:t>年金堂县地表水环境质量状况</w:t>
            </w:r>
            <w:r>
              <w:rPr>
                <w:bCs/>
                <w:color w:val="auto"/>
                <w:kern w:val="0"/>
                <w:sz w:val="24"/>
              </w:rPr>
              <w:t>》</w:t>
            </w:r>
            <w:r>
              <w:rPr>
                <w:rFonts w:hint="eastAsia"/>
                <w:bCs/>
                <w:color w:val="auto"/>
                <w:kern w:val="0"/>
                <w:sz w:val="24"/>
              </w:rPr>
              <w:t>金堂县沱江水系共设置省控及以上地表水监测断面6个，202</w:t>
            </w:r>
            <w:r>
              <w:rPr>
                <w:rFonts w:hint="eastAsia"/>
                <w:bCs/>
                <w:color w:val="auto"/>
                <w:kern w:val="0"/>
                <w:sz w:val="24"/>
                <w:lang w:val="en-US" w:eastAsia="zh-CN"/>
              </w:rPr>
              <w:t>4</w:t>
            </w:r>
            <w:r>
              <w:rPr>
                <w:rFonts w:hint="eastAsia"/>
                <w:bCs/>
                <w:color w:val="auto"/>
                <w:kern w:val="0"/>
                <w:sz w:val="24"/>
              </w:rPr>
              <w:t>实际监测6个，其中省控河流监测断面2个，国控河流监测断面4个。202</w:t>
            </w:r>
            <w:r>
              <w:rPr>
                <w:rFonts w:hint="eastAsia"/>
                <w:bCs/>
                <w:color w:val="auto"/>
                <w:kern w:val="0"/>
                <w:sz w:val="24"/>
                <w:lang w:val="en-US" w:eastAsia="zh-CN"/>
              </w:rPr>
              <w:t>4</w:t>
            </w:r>
            <w:r>
              <w:rPr>
                <w:rFonts w:hint="eastAsia"/>
                <w:bCs/>
                <w:color w:val="auto"/>
                <w:kern w:val="0"/>
                <w:sz w:val="24"/>
              </w:rPr>
              <w:t>年监测结果表明，沱江水系金堂段地表水总体为Ⅲ类水质。其中Ⅱ类水质断面3个，占50.0%；Ⅲ类水质断面3个，占50.0%。无Ⅳ类、Ⅴ类和劣Ⅴ类水质断面</w:t>
            </w:r>
            <w:r>
              <w:rPr>
                <w:rFonts w:hint="eastAsia"/>
                <w:bCs/>
                <w:color w:val="auto"/>
                <w:kern w:val="0"/>
                <w:sz w:val="24"/>
                <w:lang w:eastAsia="zh-CN"/>
              </w:rPr>
              <w:t>。</w:t>
            </w:r>
          </w:p>
          <w:p w14:paraId="3436A542">
            <w:pPr>
              <w:spacing w:line="360" w:lineRule="auto"/>
              <w:ind w:firstLine="480" w:firstLineChars="200"/>
              <w:outlineLvl w:val="0"/>
              <w:rPr>
                <w:rFonts w:hint="eastAsia"/>
                <w:sz w:val="24"/>
                <w:lang w:eastAsia="zh-CN"/>
              </w:rPr>
            </w:pPr>
          </w:p>
          <w:p w14:paraId="4C931FF5">
            <w:pPr>
              <w:spacing w:line="360" w:lineRule="auto"/>
              <w:ind w:firstLine="480" w:firstLineChars="200"/>
              <w:outlineLvl w:val="0"/>
              <w:rPr>
                <w:rFonts w:hint="eastAsia"/>
                <w:sz w:val="24"/>
                <w:lang w:eastAsia="zh-CN"/>
              </w:rPr>
            </w:pPr>
          </w:p>
          <w:p w14:paraId="3C0680A3">
            <w:pPr>
              <w:pStyle w:val="8"/>
              <w:ind w:left="0" w:leftChars="0" w:firstLine="0" w:firstLineChars="0"/>
              <w:rPr>
                <w:rFonts w:hint="eastAsia"/>
                <w:sz w:val="24"/>
                <w:lang w:eastAsia="zh-CN"/>
              </w:rPr>
            </w:pPr>
          </w:p>
          <w:p w14:paraId="4D0579FD">
            <w:pPr>
              <w:pStyle w:val="8"/>
              <w:rPr>
                <w:rFonts w:hint="eastAsia"/>
                <w:sz w:val="24"/>
                <w:lang w:eastAsia="zh-CN"/>
              </w:rPr>
            </w:pPr>
          </w:p>
          <w:p w14:paraId="4C81C7D7">
            <w:pPr>
              <w:pStyle w:val="8"/>
              <w:rPr>
                <w:rFonts w:hint="eastAsia"/>
                <w:sz w:val="24"/>
                <w:lang w:eastAsia="zh-CN"/>
              </w:rPr>
            </w:pPr>
          </w:p>
          <w:p w14:paraId="6467C1B9">
            <w:pPr>
              <w:pStyle w:val="8"/>
              <w:rPr>
                <w:rFonts w:hint="eastAsia"/>
                <w:sz w:val="24"/>
                <w:lang w:eastAsia="zh-CN"/>
              </w:rPr>
            </w:pPr>
          </w:p>
        </w:tc>
      </w:tr>
    </w:tbl>
    <w:p w14:paraId="01D9F0A8">
      <w:pPr>
        <w:rPr>
          <w:b/>
          <w:sz w:val="28"/>
        </w:rPr>
      </w:pPr>
      <w:r>
        <w:rPr>
          <w:b/>
          <w:sz w:val="28"/>
        </w:rPr>
        <w:br w:type="page"/>
      </w:r>
    </w:p>
    <w:p w14:paraId="3A32D609">
      <w:pPr>
        <w:spacing w:line="360" w:lineRule="auto"/>
        <w:ind w:firstLine="281"/>
        <w:outlineLvl w:val="0"/>
        <w:rPr>
          <w:b/>
          <w:sz w:val="28"/>
        </w:rPr>
      </w:pPr>
      <w:bookmarkStart w:id="164" w:name="_Toc31100"/>
      <w:r>
        <w:rPr>
          <w:b/>
          <w:sz w:val="28"/>
        </w:rPr>
        <w:t>表九、环境管理状况及监测计划</w:t>
      </w:r>
      <w:bookmarkEnd w:id="164"/>
    </w:p>
    <w:tbl>
      <w:tblPr>
        <w:tblStyle w:val="33"/>
        <w:tblW w:w="87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20"/>
      </w:tblGrid>
      <w:tr w14:paraId="35B5D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tcPr>
          <w:p w14:paraId="4B49F8D3">
            <w:pPr>
              <w:spacing w:line="360" w:lineRule="auto"/>
              <w:outlineLvl w:val="0"/>
              <w:rPr>
                <w:b/>
                <w:sz w:val="28"/>
              </w:rPr>
            </w:pPr>
            <w:bookmarkStart w:id="165" w:name="_Toc165483489"/>
            <w:bookmarkStart w:id="166" w:name="_Toc7689"/>
            <w:r>
              <w:rPr>
                <w:b/>
                <w:sz w:val="28"/>
              </w:rPr>
              <w:t>环境管理机构设置</w:t>
            </w:r>
            <w:bookmarkEnd w:id="165"/>
            <w:bookmarkEnd w:id="166"/>
          </w:p>
          <w:p w14:paraId="6FDBA385">
            <w:pPr>
              <w:spacing w:line="360" w:lineRule="auto"/>
              <w:ind w:firstLine="482" w:firstLineChars="200"/>
              <w:rPr>
                <w:b/>
                <w:sz w:val="24"/>
              </w:rPr>
            </w:pPr>
            <w:r>
              <w:rPr>
                <w:b/>
                <w:sz w:val="24"/>
              </w:rPr>
              <w:t>1、施工期环境管理</w:t>
            </w:r>
          </w:p>
          <w:p w14:paraId="581D2298">
            <w:pPr>
              <w:spacing w:line="360" w:lineRule="auto"/>
              <w:ind w:firstLine="480" w:firstLineChars="200"/>
              <w:rPr>
                <w:sz w:val="24"/>
              </w:rPr>
            </w:pPr>
            <w:r>
              <w:rPr>
                <w:sz w:val="24"/>
              </w:rPr>
              <w:t>（1）工程的施工承包合同中与施工方签订了环境保护的条款，施工方严格按照设计提出的环保措施进行施工。</w:t>
            </w:r>
          </w:p>
          <w:p w14:paraId="70C51608">
            <w:pPr>
              <w:spacing w:line="360" w:lineRule="auto"/>
              <w:ind w:firstLine="480" w:firstLineChars="200"/>
              <w:rPr>
                <w:sz w:val="24"/>
              </w:rPr>
            </w:pPr>
            <w:r>
              <w:rPr>
                <w:sz w:val="24"/>
              </w:rPr>
              <w:t>（2）施工单位在施工前组织施工人员学习有关环保法规，做到文明施工。</w:t>
            </w:r>
          </w:p>
          <w:p w14:paraId="53EB1190">
            <w:pPr>
              <w:spacing w:line="360" w:lineRule="auto"/>
              <w:ind w:firstLine="480" w:firstLineChars="200"/>
              <w:rPr>
                <w:sz w:val="24"/>
              </w:rPr>
            </w:pPr>
            <w:r>
              <w:rPr>
                <w:sz w:val="24"/>
              </w:rPr>
              <w:t>（3）施工管理机构人员及工程监理人员对施工活动进行全过程环境监督，保证了施工期环境保护措施的全面落实。</w:t>
            </w:r>
          </w:p>
          <w:p w14:paraId="7C0DA770">
            <w:pPr>
              <w:spacing w:line="360" w:lineRule="auto"/>
              <w:ind w:firstLine="482" w:firstLineChars="200"/>
              <w:rPr>
                <w:b/>
                <w:sz w:val="24"/>
              </w:rPr>
            </w:pPr>
            <w:r>
              <w:rPr>
                <w:b/>
                <w:sz w:val="24"/>
              </w:rPr>
              <w:t>2、运营期环境管理</w:t>
            </w:r>
          </w:p>
          <w:p w14:paraId="7243FFB6">
            <w:pPr>
              <w:spacing w:line="360" w:lineRule="auto"/>
              <w:ind w:firstLine="480" w:firstLineChars="200"/>
              <w:outlineLvl w:val="0"/>
              <w:rPr>
                <w:b/>
                <w:sz w:val="28"/>
              </w:rPr>
            </w:pPr>
            <w:bookmarkStart w:id="167" w:name="_Toc4084"/>
            <w:bookmarkStart w:id="168" w:name="_Toc165483490"/>
            <w:r>
              <w:rPr>
                <w:rFonts w:hint="eastAsia"/>
                <w:sz w:val="24"/>
                <w:lang w:val="en-US" w:eastAsia="zh-CN"/>
              </w:rPr>
              <w:t>项目为防洪及河湖整治项目，</w:t>
            </w:r>
            <w:r>
              <w:rPr>
                <w:rFonts w:hint="eastAsia"/>
                <w:sz w:val="24"/>
              </w:rPr>
              <w:t>运营期应制定河道堤防工程管理的有关规章制度；加强河道巡视；组织堤防护岸工程维护岁修，消除隐患，维护工程完好，确保工程安全；汛期应严格按防汛要求进行河堤安全监管；当堤防工程发生重大险情和重大事故时，及时向上级主管部门请示报告和抢险</w:t>
            </w:r>
            <w:r>
              <w:rPr>
                <w:sz w:val="24"/>
              </w:rPr>
              <w:t>。</w:t>
            </w:r>
            <w:bookmarkEnd w:id="167"/>
            <w:bookmarkEnd w:id="168"/>
          </w:p>
        </w:tc>
      </w:tr>
      <w:tr w14:paraId="1A99E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tcPr>
          <w:p w14:paraId="1CD376FD">
            <w:pPr>
              <w:spacing w:line="360" w:lineRule="auto"/>
              <w:outlineLvl w:val="0"/>
              <w:rPr>
                <w:rFonts w:hint="default" w:eastAsia="宋体"/>
                <w:b/>
                <w:sz w:val="28"/>
                <w:lang w:val="en-US" w:eastAsia="zh-CN"/>
              </w:rPr>
            </w:pPr>
            <w:bookmarkStart w:id="169" w:name="_Toc165483492"/>
            <w:bookmarkStart w:id="170" w:name="_Toc23469"/>
            <w:r>
              <w:rPr>
                <w:b/>
                <w:sz w:val="28"/>
              </w:rPr>
              <w:t>环境监测</w:t>
            </w:r>
            <w:bookmarkEnd w:id="169"/>
            <w:r>
              <w:rPr>
                <w:rFonts w:hint="eastAsia"/>
                <w:b/>
                <w:sz w:val="28"/>
                <w:lang w:val="en-US" w:eastAsia="zh-CN"/>
              </w:rPr>
              <w:t>能力建设情况</w:t>
            </w:r>
            <w:bookmarkEnd w:id="170"/>
          </w:p>
          <w:p w14:paraId="3AD864A5">
            <w:pPr>
              <w:spacing w:line="360" w:lineRule="auto"/>
              <w:ind w:firstLine="480" w:firstLineChars="200"/>
              <w:rPr>
                <w:sz w:val="24"/>
              </w:rPr>
            </w:pPr>
            <w:r>
              <w:rPr>
                <w:rFonts w:hint="eastAsia"/>
                <w:sz w:val="24"/>
                <w:szCs w:val="24"/>
              </w:rPr>
              <w:t>本项目为</w:t>
            </w:r>
            <w:r>
              <w:rPr>
                <w:rFonts w:hint="eastAsia"/>
                <w:sz w:val="24"/>
                <w:lang w:val="en-US" w:eastAsia="zh-CN"/>
              </w:rPr>
              <w:t>防洪及河湖整治项目</w:t>
            </w:r>
            <w:r>
              <w:rPr>
                <w:rFonts w:hint="eastAsia"/>
                <w:sz w:val="24"/>
                <w:szCs w:val="24"/>
              </w:rPr>
              <w:t>，运营期项目本身不产生废水、废气、噪声、固废等污染物</w:t>
            </w:r>
            <w:r>
              <w:rPr>
                <w:sz w:val="24"/>
                <w:szCs w:val="24"/>
              </w:rPr>
              <w:t>。</w:t>
            </w:r>
          </w:p>
        </w:tc>
      </w:tr>
      <w:tr w14:paraId="3207D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tcPr>
          <w:p w14:paraId="1CF35A1E">
            <w:pPr>
              <w:spacing w:line="360" w:lineRule="auto"/>
              <w:outlineLvl w:val="0"/>
              <w:rPr>
                <w:b/>
                <w:sz w:val="28"/>
              </w:rPr>
            </w:pPr>
            <w:bookmarkStart w:id="171" w:name="_Toc4997"/>
            <w:r>
              <w:rPr>
                <w:rFonts w:hint="eastAsia"/>
                <w:b/>
                <w:sz w:val="28"/>
              </w:rPr>
              <w:t>环境影响报告表提出的监测计划及其落实情况</w:t>
            </w:r>
            <w:bookmarkEnd w:id="171"/>
          </w:p>
          <w:p w14:paraId="05D773F4">
            <w:pPr>
              <w:spacing w:line="360" w:lineRule="auto"/>
              <w:ind w:firstLine="480" w:firstLineChars="200"/>
              <w:rPr>
                <w:color w:val="auto"/>
              </w:rPr>
            </w:pPr>
            <w:r>
              <w:rPr>
                <w:rFonts w:hint="eastAsia"/>
                <w:color w:val="auto"/>
                <w:kern w:val="0"/>
                <w:sz w:val="24"/>
                <w:szCs w:val="24"/>
              </w:rPr>
              <w:t>建设过程中，建设单位、施工单位依法接受了当地环境保护行政主管部门的监督检查，未发生施工期环境污染事件，未收到环境投诉。</w:t>
            </w:r>
            <w:r>
              <w:rPr>
                <w:color w:val="auto"/>
                <w:kern w:val="0"/>
                <w:sz w:val="24"/>
                <w:szCs w:val="24"/>
              </w:rPr>
              <w:t>建设单位建立了</w:t>
            </w:r>
            <w:r>
              <w:rPr>
                <w:color w:val="auto"/>
                <w:sz w:val="24"/>
                <w:szCs w:val="24"/>
              </w:rPr>
              <w:t>项目</w:t>
            </w:r>
            <w:r>
              <w:rPr>
                <w:color w:val="auto"/>
                <w:kern w:val="0"/>
                <w:sz w:val="24"/>
                <w:szCs w:val="24"/>
              </w:rPr>
              <w:t>环境保护档案，各项环境管理工作和监测计划均符合环境影响报告表及批复文件的要求。建设单位依法执行了建设项目环境保护</w:t>
            </w:r>
            <w:r>
              <w:rPr>
                <w:rFonts w:hint="eastAsia"/>
                <w:color w:val="auto"/>
                <w:kern w:val="0"/>
                <w:sz w:val="24"/>
                <w:szCs w:val="24"/>
              </w:rPr>
              <w:t>“</w:t>
            </w:r>
            <w:r>
              <w:rPr>
                <w:color w:val="auto"/>
                <w:kern w:val="0"/>
                <w:sz w:val="24"/>
                <w:szCs w:val="24"/>
              </w:rPr>
              <w:t>三同时</w:t>
            </w:r>
            <w:r>
              <w:rPr>
                <w:rFonts w:hint="eastAsia"/>
                <w:color w:val="auto"/>
                <w:kern w:val="0"/>
                <w:sz w:val="24"/>
                <w:szCs w:val="24"/>
              </w:rPr>
              <w:t>”</w:t>
            </w:r>
            <w:r>
              <w:rPr>
                <w:color w:val="auto"/>
                <w:kern w:val="0"/>
                <w:sz w:val="24"/>
                <w:szCs w:val="24"/>
              </w:rPr>
              <w:t>制度，环境保护设施调试期未收到环境投诉，也未发生环境污染事件</w:t>
            </w:r>
            <w:r>
              <w:rPr>
                <w:rFonts w:hint="eastAsia"/>
                <w:color w:val="auto"/>
                <w:kern w:val="0"/>
                <w:sz w:val="24"/>
                <w:szCs w:val="24"/>
              </w:rPr>
              <w:t>。</w:t>
            </w:r>
          </w:p>
          <w:p w14:paraId="0E281059">
            <w:pPr>
              <w:pStyle w:val="19"/>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textAlignment w:val="auto"/>
              <w:rPr>
                <w:rFonts w:hint="default" w:eastAsia="宋体"/>
                <w:lang w:val="en-US" w:eastAsia="zh-CN"/>
              </w:rPr>
            </w:pPr>
            <w:r>
              <w:rPr>
                <w:rFonts w:hint="eastAsia"/>
                <w:lang w:val="en-US" w:eastAsia="zh-CN"/>
              </w:rPr>
              <w:t>项目</w:t>
            </w:r>
            <w:r>
              <w:rPr>
                <w:rFonts w:hint="eastAsia"/>
                <w:sz w:val="24"/>
                <w:szCs w:val="24"/>
              </w:rPr>
              <w:t>为</w:t>
            </w:r>
            <w:r>
              <w:rPr>
                <w:rFonts w:hint="eastAsia"/>
                <w:sz w:val="24"/>
                <w:lang w:val="en-US" w:eastAsia="zh-CN"/>
              </w:rPr>
              <w:t>防洪及河湖整治项目</w:t>
            </w:r>
            <w:r>
              <w:rPr>
                <w:rFonts w:hint="eastAsia"/>
                <w:sz w:val="24"/>
                <w:szCs w:val="24"/>
              </w:rPr>
              <w:t>，运营期项目本身不产生废水、废气、噪声、固废等污染物</w:t>
            </w:r>
            <w:r>
              <w:rPr>
                <w:rFonts w:hint="eastAsia"/>
                <w:sz w:val="24"/>
                <w:szCs w:val="24"/>
                <w:lang w:eastAsia="zh-CN"/>
              </w:rPr>
              <w:t>，</w:t>
            </w:r>
            <w:r>
              <w:rPr>
                <w:rFonts w:hint="eastAsia"/>
                <w:sz w:val="24"/>
                <w:szCs w:val="24"/>
                <w:lang w:val="en-US" w:eastAsia="zh-CN"/>
              </w:rPr>
              <w:t>无监测计划。</w:t>
            </w:r>
          </w:p>
        </w:tc>
      </w:tr>
      <w:tr w14:paraId="0D945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720" w:type="dxa"/>
          </w:tcPr>
          <w:p w14:paraId="3DE360B6">
            <w:pPr>
              <w:pStyle w:val="19"/>
              <w:keepNext w:val="0"/>
              <w:keepLines w:val="0"/>
              <w:pageBreakBefore w:val="0"/>
              <w:widowControl w:val="0"/>
              <w:kinsoku/>
              <w:wordWrap/>
              <w:overflowPunct/>
              <w:topLinePunct w:val="0"/>
              <w:autoSpaceDE/>
              <w:autoSpaceDN/>
              <w:bidi w:val="0"/>
              <w:adjustRightInd/>
              <w:snapToGrid/>
              <w:spacing w:after="0" w:line="360" w:lineRule="auto"/>
              <w:ind w:left="0" w:leftChars="0"/>
              <w:textAlignment w:val="auto"/>
              <w:rPr>
                <w:rFonts w:hint="eastAsia" w:ascii="Times New Roman" w:hAnsi="Times New Roman" w:eastAsia="宋体" w:cs="Times New Roman"/>
                <w:b/>
                <w:kern w:val="2"/>
                <w:sz w:val="28"/>
                <w:szCs w:val="20"/>
                <w:lang w:val="en-US" w:eastAsia="zh-CN" w:bidi="ar-SA"/>
              </w:rPr>
            </w:pPr>
            <w:r>
              <w:rPr>
                <w:rFonts w:hint="eastAsia" w:ascii="Times New Roman" w:hAnsi="Times New Roman" w:eastAsia="宋体" w:cs="Times New Roman"/>
                <w:b/>
                <w:kern w:val="2"/>
                <w:sz w:val="28"/>
                <w:szCs w:val="20"/>
                <w:lang w:val="en-US" w:eastAsia="zh-CN" w:bidi="ar-SA"/>
              </w:rPr>
              <w:t>环境管理状况分析及建议</w:t>
            </w:r>
          </w:p>
          <w:p w14:paraId="7141392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瀹嬩綋" w:hAnsi="瀹嬩綋" w:eastAsia="瀹嬩綋"/>
                <w:sz w:val="24"/>
                <w:szCs w:val="24"/>
                <w:lang w:eastAsia="zh-CN"/>
              </w:rPr>
            </w:pPr>
            <w:r>
              <w:rPr>
                <w:rFonts w:hint="eastAsia"/>
                <w:sz w:val="24"/>
                <w:szCs w:val="24"/>
              </w:rPr>
              <w:t>本项目为</w:t>
            </w:r>
            <w:r>
              <w:rPr>
                <w:rFonts w:hint="eastAsia"/>
                <w:sz w:val="24"/>
                <w:lang w:val="en-US" w:eastAsia="zh-CN"/>
              </w:rPr>
              <w:t>防洪及河湖整治项目</w:t>
            </w:r>
            <w:r>
              <w:rPr>
                <w:rFonts w:hint="eastAsia"/>
                <w:sz w:val="24"/>
                <w:szCs w:val="24"/>
              </w:rPr>
              <w:t>，运营期项目本身不产生废水、废气、噪声、固废等污染物</w:t>
            </w:r>
            <w:r>
              <w:rPr>
                <w:rFonts w:hint="eastAsia" w:ascii="瀹嬩綋" w:hAnsi="瀹嬩綋" w:eastAsia="瀹嬩綋"/>
                <w:sz w:val="24"/>
                <w:szCs w:val="24"/>
                <w:lang w:eastAsia="zh-CN"/>
              </w:rPr>
              <w:t>。</w:t>
            </w:r>
          </w:p>
          <w:p w14:paraId="2F412C9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lang w:eastAsia="zh-CN"/>
              </w:rPr>
            </w:pPr>
            <w:r>
              <w:rPr>
                <w:rFonts w:hint="eastAsia"/>
                <w:sz w:val="24"/>
              </w:rPr>
              <w:t>运营期应制定河道堤防工程管理的有关规章制度；加强河道巡视；组织堤防护岸工程维护岁修，消除隐患，维护工程完好，确保工程安全；汛期应严格按防汛要求进行河堤安全监管；当堤防工程发生重大险情和重大事故时，及时向上级主管部门请示报告和抢险</w:t>
            </w:r>
            <w:r>
              <w:rPr>
                <w:rFonts w:hint="eastAsia"/>
                <w:sz w:val="24"/>
                <w:lang w:eastAsia="zh-CN"/>
              </w:rPr>
              <w:t>。</w:t>
            </w:r>
          </w:p>
          <w:p w14:paraId="6ABCDD5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lang w:eastAsia="zh-CN"/>
              </w:rPr>
            </w:pPr>
          </w:p>
          <w:p w14:paraId="2F81F40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lang w:eastAsia="zh-CN"/>
              </w:rPr>
            </w:pPr>
          </w:p>
          <w:p w14:paraId="2B83F3A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lang w:eastAsia="zh-CN"/>
              </w:rPr>
            </w:pPr>
          </w:p>
          <w:p w14:paraId="2622213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lang w:eastAsia="zh-CN"/>
              </w:rPr>
            </w:pPr>
          </w:p>
          <w:p w14:paraId="0E5A84C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lang w:eastAsia="zh-CN"/>
              </w:rPr>
            </w:pPr>
          </w:p>
          <w:p w14:paraId="3FD4F0C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lang w:eastAsia="zh-CN"/>
              </w:rPr>
            </w:pPr>
          </w:p>
          <w:p w14:paraId="48095B6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lang w:eastAsia="zh-CN"/>
              </w:rPr>
            </w:pPr>
          </w:p>
          <w:p w14:paraId="619DC8E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lang w:eastAsia="zh-CN"/>
              </w:rPr>
            </w:pPr>
          </w:p>
          <w:p w14:paraId="046E028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lang w:eastAsia="zh-CN"/>
              </w:rPr>
            </w:pPr>
          </w:p>
          <w:p w14:paraId="393F8AC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lang w:eastAsia="zh-CN"/>
              </w:rPr>
            </w:pPr>
          </w:p>
          <w:p w14:paraId="4A3DFD4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lang w:eastAsia="zh-CN"/>
              </w:rPr>
            </w:pPr>
          </w:p>
          <w:p w14:paraId="4C4C28B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lang w:eastAsia="zh-CN"/>
              </w:rPr>
            </w:pPr>
          </w:p>
          <w:p w14:paraId="243A148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lang w:eastAsia="zh-CN"/>
              </w:rPr>
            </w:pPr>
          </w:p>
          <w:p w14:paraId="6AFBE4F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lang w:eastAsia="zh-CN"/>
              </w:rPr>
            </w:pPr>
          </w:p>
          <w:p w14:paraId="4183D46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lang w:eastAsia="zh-CN"/>
              </w:rPr>
            </w:pPr>
          </w:p>
          <w:p w14:paraId="3E2F554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lang w:eastAsia="zh-CN"/>
              </w:rPr>
            </w:pPr>
          </w:p>
          <w:p w14:paraId="239676C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lang w:eastAsia="zh-CN"/>
              </w:rPr>
            </w:pPr>
          </w:p>
          <w:p w14:paraId="3341A71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lang w:eastAsia="zh-CN"/>
              </w:rPr>
            </w:pPr>
          </w:p>
          <w:p w14:paraId="448EAD3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lang w:eastAsia="zh-CN"/>
              </w:rPr>
            </w:pPr>
          </w:p>
          <w:p w14:paraId="69DB6F3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lang w:eastAsia="zh-CN"/>
              </w:rPr>
            </w:pPr>
          </w:p>
          <w:p w14:paraId="050E310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lang w:eastAsia="zh-CN"/>
              </w:rPr>
            </w:pPr>
          </w:p>
          <w:p w14:paraId="00B9F67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lang w:eastAsia="zh-CN"/>
              </w:rPr>
            </w:pPr>
          </w:p>
          <w:p w14:paraId="40AB4A3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lang w:eastAsia="zh-CN"/>
              </w:rPr>
            </w:pPr>
          </w:p>
          <w:p w14:paraId="49CD97A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lang w:eastAsia="zh-CN"/>
              </w:rPr>
            </w:pPr>
          </w:p>
          <w:p w14:paraId="31FC784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lang w:eastAsia="zh-CN"/>
              </w:rPr>
            </w:pPr>
          </w:p>
          <w:p w14:paraId="04EEB2F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lang w:eastAsia="zh-CN"/>
              </w:rPr>
            </w:pPr>
          </w:p>
          <w:p w14:paraId="68E7A5C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lang w:eastAsia="zh-CN"/>
              </w:rPr>
            </w:pPr>
          </w:p>
          <w:p w14:paraId="4546F54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lang w:eastAsia="zh-CN"/>
              </w:rPr>
            </w:pPr>
          </w:p>
          <w:p w14:paraId="1A1F0B9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sz w:val="24"/>
                <w:lang w:eastAsia="zh-CN"/>
              </w:rPr>
            </w:pPr>
          </w:p>
        </w:tc>
      </w:tr>
    </w:tbl>
    <w:p w14:paraId="68D95FA6">
      <w:pPr>
        <w:rPr>
          <w:b/>
          <w:sz w:val="28"/>
        </w:rPr>
      </w:pPr>
      <w:r>
        <w:rPr>
          <w:b/>
          <w:sz w:val="28"/>
        </w:rPr>
        <w:br w:type="page"/>
      </w:r>
    </w:p>
    <w:p w14:paraId="714FF679">
      <w:pPr>
        <w:spacing w:line="360" w:lineRule="auto"/>
        <w:outlineLvl w:val="0"/>
        <w:rPr>
          <w:b/>
          <w:sz w:val="28"/>
        </w:rPr>
      </w:pPr>
      <w:bookmarkStart w:id="172" w:name="_Toc22089"/>
      <w:r>
        <w:rPr>
          <w:b/>
          <w:sz w:val="28"/>
        </w:rPr>
        <w:t>表十、竣工环保验收调查结论与建议</w:t>
      </w:r>
      <w:bookmarkEnd w:id="172"/>
    </w:p>
    <w:tbl>
      <w:tblPr>
        <w:tblStyle w:val="33"/>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2"/>
      </w:tblGrid>
      <w:tr w14:paraId="6A7917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23AF785E">
            <w:pPr>
              <w:spacing w:line="360" w:lineRule="auto"/>
              <w:outlineLvl w:val="0"/>
              <w:rPr>
                <w:b/>
                <w:sz w:val="28"/>
              </w:rPr>
            </w:pPr>
            <w:bookmarkStart w:id="173" w:name="_Toc24606"/>
            <w:bookmarkStart w:id="174" w:name="_Toc165483497"/>
            <w:r>
              <w:rPr>
                <w:b/>
                <w:sz w:val="28"/>
              </w:rPr>
              <w:t>调查结论</w:t>
            </w:r>
            <w:bookmarkEnd w:id="173"/>
            <w:bookmarkEnd w:id="174"/>
          </w:p>
          <w:p w14:paraId="1DA98418">
            <w:pPr>
              <w:spacing w:line="360" w:lineRule="auto"/>
              <w:ind w:firstLine="480" w:firstLineChars="200"/>
              <w:rPr>
                <w:sz w:val="24"/>
              </w:rPr>
            </w:pPr>
            <w:r>
              <w:rPr>
                <w:sz w:val="24"/>
              </w:rPr>
              <w:t>通过对</w:t>
            </w:r>
            <w:r>
              <w:rPr>
                <w:rFonts w:hint="eastAsia"/>
                <w:sz w:val="24"/>
              </w:rPr>
              <w:t>四川省金堂县资水河防洪治理工程（二期）</w:t>
            </w:r>
            <w:r>
              <w:rPr>
                <w:sz w:val="24"/>
              </w:rPr>
              <w:t>环境状况调查，对有关技术文件、环评报告的分析，对工程环保执行情况、环境保护措施的重点调查，从环境保护角度对工程提出如下调查结论和建议：</w:t>
            </w:r>
          </w:p>
          <w:p w14:paraId="0B3D4D4F">
            <w:pPr>
              <w:spacing w:line="360" w:lineRule="auto"/>
              <w:ind w:firstLine="482" w:firstLineChars="200"/>
              <w:rPr>
                <w:b/>
                <w:sz w:val="24"/>
              </w:rPr>
            </w:pPr>
            <w:r>
              <w:rPr>
                <w:b/>
                <w:sz w:val="24"/>
              </w:rPr>
              <w:t>1、工程基本情况</w:t>
            </w:r>
          </w:p>
          <w:p w14:paraId="495D0F18">
            <w:pPr>
              <w:spacing w:line="360" w:lineRule="auto"/>
              <w:ind w:firstLine="480" w:firstLineChars="200"/>
              <w:rPr>
                <w:sz w:val="24"/>
                <w:szCs w:val="24"/>
              </w:rPr>
            </w:pPr>
            <w:r>
              <w:rPr>
                <w:rFonts w:hint="eastAsia"/>
                <w:bCs/>
                <w:sz w:val="24"/>
                <w:szCs w:val="24"/>
                <w:lang w:val="en-US" w:eastAsia="zh-CN"/>
              </w:rPr>
              <w:t>新建护岸12110m（转龙镇6999m，竹篙镇5111m；共计17段）；水生态修复工程包括：新建浅水区滨河湿地3.16hm²，新建四处生态湿地节点（分为彭家沟生态湿地节点、资水河大桥生态湿地节点、神仙桥生态湿地节点、三绕生态湿地节点，主要内容包括梯田湿地11.17hm²，垛田湿地3.99hm²，生态隔离带1.45hm²，游步道2.3km）</w:t>
            </w:r>
            <w:r>
              <w:rPr>
                <w:rFonts w:hint="eastAsia"/>
                <w:sz w:val="24"/>
              </w:rPr>
              <w:t>。</w:t>
            </w:r>
          </w:p>
          <w:p w14:paraId="1218D813">
            <w:pPr>
              <w:spacing w:line="360" w:lineRule="auto"/>
              <w:ind w:firstLine="480" w:firstLineChars="200"/>
              <w:rPr>
                <w:sz w:val="24"/>
              </w:rPr>
            </w:pPr>
            <w:r>
              <w:rPr>
                <w:bCs/>
                <w:color w:val="auto"/>
                <w:sz w:val="24"/>
                <w:szCs w:val="24"/>
              </w:rPr>
              <w:t>项目</w:t>
            </w:r>
            <w:r>
              <w:rPr>
                <w:rFonts w:hint="eastAsia"/>
                <w:bCs/>
                <w:color w:val="auto"/>
                <w:sz w:val="24"/>
                <w:szCs w:val="24"/>
              </w:rPr>
              <w:t>于202</w:t>
            </w:r>
            <w:r>
              <w:rPr>
                <w:rFonts w:hint="eastAsia"/>
                <w:bCs/>
                <w:color w:val="auto"/>
                <w:sz w:val="24"/>
                <w:szCs w:val="24"/>
                <w:lang w:val="en-US" w:eastAsia="zh-CN"/>
              </w:rPr>
              <w:t>2</w:t>
            </w:r>
            <w:r>
              <w:rPr>
                <w:rFonts w:hint="eastAsia"/>
                <w:bCs/>
                <w:color w:val="auto"/>
                <w:sz w:val="24"/>
                <w:szCs w:val="24"/>
              </w:rPr>
              <w:t>年</w:t>
            </w:r>
            <w:r>
              <w:rPr>
                <w:rFonts w:hint="eastAsia"/>
                <w:bCs/>
                <w:color w:val="auto"/>
                <w:sz w:val="24"/>
                <w:szCs w:val="24"/>
                <w:lang w:val="en-US" w:eastAsia="zh-CN"/>
              </w:rPr>
              <w:t>2</w:t>
            </w:r>
            <w:r>
              <w:rPr>
                <w:rFonts w:hint="eastAsia"/>
                <w:bCs/>
                <w:color w:val="auto"/>
                <w:sz w:val="24"/>
                <w:szCs w:val="24"/>
              </w:rPr>
              <w:t>月</w:t>
            </w:r>
            <w:r>
              <w:rPr>
                <w:bCs/>
                <w:color w:val="auto"/>
                <w:sz w:val="24"/>
                <w:szCs w:val="24"/>
              </w:rPr>
              <w:t>开工，</w:t>
            </w:r>
            <w:r>
              <w:rPr>
                <w:color w:val="auto"/>
                <w:sz w:val="24"/>
                <w:szCs w:val="24"/>
              </w:rPr>
              <w:t>202</w:t>
            </w:r>
            <w:r>
              <w:rPr>
                <w:rFonts w:hint="eastAsia"/>
                <w:color w:val="auto"/>
                <w:sz w:val="24"/>
                <w:szCs w:val="24"/>
                <w:lang w:val="en-US" w:eastAsia="zh-CN"/>
              </w:rPr>
              <w:t>3</w:t>
            </w:r>
            <w:r>
              <w:rPr>
                <w:color w:val="auto"/>
                <w:sz w:val="24"/>
                <w:szCs w:val="24"/>
              </w:rPr>
              <w:t>年</w:t>
            </w:r>
            <w:r>
              <w:rPr>
                <w:rFonts w:hint="eastAsia"/>
                <w:color w:val="auto"/>
                <w:sz w:val="24"/>
                <w:szCs w:val="24"/>
                <w:lang w:val="en-US" w:eastAsia="zh-CN"/>
              </w:rPr>
              <w:t>4</w:t>
            </w:r>
            <w:r>
              <w:rPr>
                <w:color w:val="auto"/>
                <w:sz w:val="24"/>
                <w:szCs w:val="24"/>
              </w:rPr>
              <w:t>月</w:t>
            </w:r>
            <w:r>
              <w:rPr>
                <w:bCs/>
                <w:color w:val="auto"/>
                <w:sz w:val="24"/>
                <w:szCs w:val="24"/>
              </w:rPr>
              <w:t>投入调试日期</w:t>
            </w:r>
            <w:r>
              <w:rPr>
                <w:rFonts w:hint="eastAsia"/>
                <w:bCs/>
                <w:color w:val="auto"/>
                <w:sz w:val="24"/>
                <w:szCs w:val="24"/>
              </w:rPr>
              <w:t>，项目施工过程中四川创江水利工程技术有限公司对工程进行了全程监理</w:t>
            </w:r>
            <w:r>
              <w:rPr>
                <w:sz w:val="24"/>
              </w:rPr>
              <w:t>。工程实际投资</w:t>
            </w:r>
            <w:r>
              <w:rPr>
                <w:rFonts w:hint="eastAsia"/>
                <w:bCs/>
                <w:color w:val="auto"/>
                <w:sz w:val="24"/>
                <w:szCs w:val="24"/>
              </w:rPr>
              <w:t>6131.82万元</w:t>
            </w:r>
            <w:r>
              <w:rPr>
                <w:sz w:val="24"/>
              </w:rPr>
              <w:t>，实际环保投资</w:t>
            </w:r>
            <w:r>
              <w:rPr>
                <w:rFonts w:hint="eastAsia"/>
                <w:sz w:val="24"/>
                <w:szCs w:val="24"/>
                <w:lang w:val="en-US" w:eastAsia="zh-CN"/>
              </w:rPr>
              <w:t>31</w:t>
            </w:r>
            <w:r>
              <w:rPr>
                <w:sz w:val="24"/>
              </w:rPr>
              <w:t>万元，占总投资的</w:t>
            </w:r>
            <w:r>
              <w:rPr>
                <w:rFonts w:hint="eastAsia"/>
                <w:sz w:val="24"/>
                <w:lang w:val="en-US" w:eastAsia="zh-CN"/>
              </w:rPr>
              <w:t>0.5</w:t>
            </w:r>
            <w:r>
              <w:rPr>
                <w:sz w:val="24"/>
              </w:rPr>
              <w:t>%。</w:t>
            </w:r>
          </w:p>
          <w:p w14:paraId="5E2607E6">
            <w:pPr>
              <w:spacing w:line="360" w:lineRule="auto"/>
              <w:ind w:firstLine="482" w:firstLineChars="200"/>
              <w:rPr>
                <w:b/>
                <w:sz w:val="24"/>
              </w:rPr>
            </w:pPr>
            <w:r>
              <w:rPr>
                <w:b/>
                <w:sz w:val="24"/>
              </w:rPr>
              <w:t>2、环境保护措施落实情况调查</w:t>
            </w:r>
          </w:p>
          <w:p w14:paraId="7409E8D4">
            <w:pPr>
              <w:spacing w:line="360" w:lineRule="auto"/>
              <w:ind w:firstLine="480" w:firstLineChars="200"/>
              <w:rPr>
                <w:sz w:val="24"/>
              </w:rPr>
            </w:pPr>
            <w:r>
              <w:rPr>
                <w:sz w:val="24"/>
              </w:rPr>
              <w:t>在环境影响报告表和设计文件中，对本工程提出了比较全面的环境保护措施要求，这些措施和要求均已在工程实际建设和试运营期得到落实。</w:t>
            </w:r>
          </w:p>
          <w:p w14:paraId="3B360AE5">
            <w:pPr>
              <w:spacing w:line="360" w:lineRule="auto"/>
              <w:ind w:firstLine="482" w:firstLineChars="200"/>
              <w:rPr>
                <w:sz w:val="24"/>
              </w:rPr>
            </w:pPr>
            <w:r>
              <w:rPr>
                <w:b/>
                <w:sz w:val="24"/>
              </w:rPr>
              <w:t>3、设计、施工期环境影响调查</w:t>
            </w:r>
          </w:p>
          <w:p w14:paraId="234CD307">
            <w:pPr>
              <w:spacing w:line="360" w:lineRule="auto"/>
              <w:ind w:firstLine="480" w:firstLineChars="200"/>
              <w:rPr>
                <w:sz w:val="24"/>
              </w:rPr>
            </w:pPr>
            <w:r>
              <w:rPr>
                <w:sz w:val="24"/>
              </w:rPr>
              <w:t>工程在选择线路走向和进行设计的过程中，在考虑沿线社会状况和项目可能的环境影响的基础上，对各种环境影响提出了相关对策并落实到了工程设计之中。</w:t>
            </w:r>
          </w:p>
          <w:p w14:paraId="5548733B">
            <w:pPr>
              <w:spacing w:line="360" w:lineRule="auto"/>
              <w:ind w:firstLine="480" w:firstLineChars="200"/>
              <w:rPr>
                <w:sz w:val="24"/>
              </w:rPr>
            </w:pPr>
            <w:r>
              <w:rPr>
                <w:sz w:val="24"/>
              </w:rPr>
              <w:t>建设单位和运营单位针对施工期的环境问题分别采取了防治措施。根据本次的现场调查可知，建设单位和运营单位对工程建设时产生的环境问题处理效果良好，无遗留环境问题。</w:t>
            </w:r>
          </w:p>
          <w:p w14:paraId="57798768">
            <w:pPr>
              <w:spacing w:line="360" w:lineRule="auto"/>
              <w:ind w:firstLine="482" w:firstLineChars="200"/>
              <w:rPr>
                <w:sz w:val="24"/>
              </w:rPr>
            </w:pPr>
            <w:r>
              <w:rPr>
                <w:b/>
                <w:sz w:val="24"/>
              </w:rPr>
              <w:t>4、生态影响调查</w:t>
            </w:r>
          </w:p>
          <w:p w14:paraId="6C4C8CFA">
            <w:pPr>
              <w:spacing w:line="360" w:lineRule="auto"/>
              <w:ind w:firstLine="480" w:firstLineChars="200"/>
              <w:jc w:val="left"/>
              <w:rPr>
                <w:sz w:val="24"/>
              </w:rPr>
            </w:pPr>
            <w:r>
              <w:rPr>
                <w:sz w:val="24"/>
              </w:rPr>
              <w:t>根据现场调查，</w:t>
            </w:r>
            <w:r>
              <w:rPr>
                <w:rFonts w:hint="eastAsia"/>
                <w:sz w:val="24"/>
                <w:lang w:val="en-US" w:eastAsia="zh-CN"/>
              </w:rPr>
              <w:t>项目</w:t>
            </w:r>
            <w:r>
              <w:rPr>
                <w:sz w:val="24"/>
              </w:rPr>
              <w:t>周围植被恢复较好，全线生态已经基本恢复到原有状况，未发现因</w:t>
            </w:r>
            <w:r>
              <w:rPr>
                <w:rFonts w:hint="eastAsia"/>
                <w:sz w:val="24"/>
                <w:lang w:val="en-US" w:eastAsia="zh-CN"/>
              </w:rPr>
              <w:t>项目</w:t>
            </w:r>
            <w:r>
              <w:rPr>
                <w:sz w:val="24"/>
              </w:rPr>
              <w:t>运行对植物生长及自然生态环境产生明显影响。本工程的建设对沿线自然生态系统影响较小。</w:t>
            </w:r>
          </w:p>
          <w:p w14:paraId="4FC937C0">
            <w:pPr>
              <w:spacing w:line="360" w:lineRule="auto"/>
              <w:ind w:firstLine="482" w:firstLineChars="200"/>
              <w:rPr>
                <w:sz w:val="24"/>
              </w:rPr>
            </w:pPr>
            <w:r>
              <w:rPr>
                <w:b/>
                <w:sz w:val="24"/>
              </w:rPr>
              <w:t>5、</w:t>
            </w:r>
            <w:r>
              <w:rPr>
                <w:rFonts w:hint="eastAsia"/>
                <w:b/>
                <w:sz w:val="24"/>
                <w:lang w:val="en-US" w:eastAsia="zh-CN"/>
              </w:rPr>
              <w:t>声</w:t>
            </w:r>
            <w:r>
              <w:rPr>
                <w:b/>
                <w:sz w:val="24"/>
              </w:rPr>
              <w:t>环境影响调查</w:t>
            </w:r>
          </w:p>
          <w:p w14:paraId="756C8E00">
            <w:pPr>
              <w:spacing w:line="360" w:lineRule="auto"/>
              <w:ind w:firstLine="480" w:firstLineChars="200"/>
              <w:rPr>
                <w:sz w:val="24"/>
                <w:szCs w:val="24"/>
              </w:rPr>
            </w:pPr>
            <w:r>
              <w:rPr>
                <w:rFonts w:hint="eastAsia"/>
                <w:sz w:val="24"/>
                <w:lang w:val="en-US" w:eastAsia="zh-CN"/>
              </w:rPr>
              <w:t>区域环境</w:t>
            </w:r>
            <w:r>
              <w:rPr>
                <w:rFonts w:hint="eastAsia"/>
                <w:sz w:val="24"/>
              </w:rPr>
              <w:t>满足《声环境质量标准》（GB3096-2008）表1 中2 类标准限值要求</w:t>
            </w:r>
            <w:r>
              <w:rPr>
                <w:sz w:val="24"/>
                <w:szCs w:val="24"/>
              </w:rPr>
              <w:t>。</w:t>
            </w:r>
          </w:p>
          <w:p w14:paraId="60907A41">
            <w:pPr>
              <w:spacing w:line="360" w:lineRule="auto"/>
              <w:ind w:firstLine="482" w:firstLineChars="200"/>
              <w:rPr>
                <w:sz w:val="24"/>
              </w:rPr>
            </w:pPr>
            <w:r>
              <w:rPr>
                <w:rFonts w:hint="eastAsia"/>
                <w:b/>
                <w:sz w:val="24"/>
                <w:lang w:val="en-US" w:eastAsia="zh-CN"/>
              </w:rPr>
              <w:t>6</w:t>
            </w:r>
            <w:r>
              <w:rPr>
                <w:b/>
                <w:sz w:val="24"/>
              </w:rPr>
              <w:t>、</w:t>
            </w:r>
            <w:r>
              <w:rPr>
                <w:rFonts w:hint="eastAsia"/>
                <w:b/>
                <w:sz w:val="24"/>
              </w:rPr>
              <w:t>水环境影响调查</w:t>
            </w:r>
          </w:p>
          <w:p w14:paraId="1D71E057">
            <w:pPr>
              <w:spacing w:line="360" w:lineRule="auto"/>
              <w:ind w:firstLine="480" w:firstLineChars="200"/>
              <w:rPr>
                <w:rFonts w:hint="eastAsia"/>
                <w:sz w:val="24"/>
              </w:rPr>
            </w:pPr>
            <w:r>
              <w:rPr>
                <w:rFonts w:hint="eastAsia"/>
                <w:sz w:val="24"/>
              </w:rPr>
              <w:t>施工期间严格检查施工机械，防止油料发生泄漏污染土壤及水体。</w:t>
            </w:r>
            <w:r>
              <w:rPr>
                <w:rFonts w:hint="eastAsia"/>
                <w:sz w:val="24"/>
                <w:szCs w:val="24"/>
              </w:rPr>
              <w:t>施工期施工人员产生的生活污水</w:t>
            </w:r>
            <w:r>
              <w:rPr>
                <w:rFonts w:hint="eastAsia"/>
                <w:sz w:val="24"/>
                <w:szCs w:val="24"/>
                <w:lang w:val="en-US" w:eastAsia="zh-CN"/>
              </w:rPr>
              <w:t>依托租赁民房设施处理</w:t>
            </w:r>
            <w:r>
              <w:rPr>
                <w:rFonts w:hint="eastAsia"/>
                <w:sz w:val="24"/>
              </w:rPr>
              <w:t>。</w:t>
            </w:r>
            <w:r>
              <w:rPr>
                <w:rFonts w:hint="eastAsia"/>
                <w:sz w:val="24"/>
                <w:lang w:val="en-US" w:eastAsia="zh-CN"/>
              </w:rPr>
              <w:t>施工</w:t>
            </w:r>
            <w:r>
              <w:rPr>
                <w:rFonts w:hint="eastAsia"/>
                <w:sz w:val="24"/>
              </w:rPr>
              <w:t>废水经沉淀处理后用于洒水降尘，禁止排放。本项目施工过程中，落实了各项废污水处置措施，工程施工期间未对周边地表水环境造成明显影响。</w:t>
            </w:r>
          </w:p>
          <w:p w14:paraId="21AEEAF4">
            <w:pPr>
              <w:spacing w:line="360" w:lineRule="auto"/>
              <w:ind w:firstLine="480" w:firstLineChars="200"/>
              <w:rPr>
                <w:sz w:val="24"/>
              </w:rPr>
            </w:pPr>
            <w:r>
              <w:rPr>
                <w:rFonts w:hint="eastAsia"/>
                <w:sz w:val="24"/>
              </w:rPr>
              <w:t>营运期</w:t>
            </w:r>
            <w:r>
              <w:rPr>
                <w:rFonts w:hint="eastAsia"/>
                <w:sz w:val="24"/>
                <w:lang w:val="en-US" w:eastAsia="zh-CN"/>
              </w:rPr>
              <w:t>无</w:t>
            </w:r>
            <w:r>
              <w:rPr>
                <w:rFonts w:hint="eastAsia"/>
                <w:sz w:val="24"/>
              </w:rPr>
              <w:t>废水</w:t>
            </w:r>
            <w:r>
              <w:rPr>
                <w:rFonts w:hint="eastAsia"/>
                <w:sz w:val="24"/>
                <w:lang w:val="en-US" w:eastAsia="zh-CN"/>
              </w:rPr>
              <w:t>排放</w:t>
            </w:r>
            <w:r>
              <w:rPr>
                <w:rFonts w:hint="eastAsia"/>
                <w:sz w:val="24"/>
              </w:rPr>
              <w:t>。</w:t>
            </w:r>
          </w:p>
          <w:p w14:paraId="4E78563A">
            <w:pPr>
              <w:spacing w:line="360" w:lineRule="auto"/>
              <w:ind w:firstLine="482" w:firstLineChars="200"/>
              <w:rPr>
                <w:sz w:val="24"/>
              </w:rPr>
            </w:pPr>
            <w:r>
              <w:rPr>
                <w:rFonts w:hint="eastAsia"/>
                <w:b/>
                <w:sz w:val="24"/>
                <w:lang w:val="en-US" w:eastAsia="zh-CN"/>
              </w:rPr>
              <w:t>7</w:t>
            </w:r>
            <w:r>
              <w:rPr>
                <w:b/>
                <w:sz w:val="24"/>
              </w:rPr>
              <w:t>、环境管理调查</w:t>
            </w:r>
          </w:p>
          <w:p w14:paraId="7990C2C3">
            <w:pPr>
              <w:spacing w:line="360" w:lineRule="auto"/>
              <w:ind w:firstLine="480" w:firstLineChars="200"/>
              <w:rPr>
                <w:sz w:val="24"/>
              </w:rPr>
            </w:pPr>
            <w:r>
              <w:rPr>
                <w:sz w:val="24"/>
              </w:rPr>
              <w:t>建设单位在施工期间加强对施工人员的环境保护意识教育，严格按照设计和环保要求进行施工，各项环境管理措施均得到了落实。运行期</w:t>
            </w:r>
            <w:r>
              <w:rPr>
                <w:rFonts w:hint="eastAsia"/>
                <w:sz w:val="24"/>
              </w:rPr>
              <w:t>加强</w:t>
            </w:r>
            <w:r>
              <w:rPr>
                <w:sz w:val="24"/>
              </w:rPr>
              <w:t>境管理，截止报告编写日期，未出现环保问题。</w:t>
            </w:r>
          </w:p>
          <w:p w14:paraId="418CAEEC">
            <w:pPr>
              <w:spacing w:line="360" w:lineRule="auto"/>
              <w:ind w:firstLine="482" w:firstLineChars="200"/>
              <w:rPr>
                <w:sz w:val="24"/>
              </w:rPr>
            </w:pPr>
            <w:r>
              <w:rPr>
                <w:rFonts w:hint="eastAsia"/>
                <w:b/>
                <w:sz w:val="24"/>
                <w:lang w:val="en-US" w:eastAsia="zh-CN"/>
              </w:rPr>
              <w:t>9</w:t>
            </w:r>
            <w:r>
              <w:rPr>
                <w:b/>
                <w:sz w:val="24"/>
              </w:rPr>
              <w:t>、调查结论</w:t>
            </w:r>
          </w:p>
          <w:p w14:paraId="4D1F65C8">
            <w:pPr>
              <w:widowControl/>
              <w:spacing w:line="360" w:lineRule="auto"/>
              <w:ind w:firstLine="482" w:firstLineChars="200"/>
              <w:jc w:val="left"/>
              <w:rPr>
                <w:b/>
                <w:sz w:val="24"/>
              </w:rPr>
            </w:pPr>
            <w:r>
              <w:rPr>
                <w:b/>
                <w:sz w:val="24"/>
              </w:rPr>
              <w:t>根据《建设项目竣工环境保护验收暂行办法》，</w:t>
            </w:r>
            <w:r>
              <w:rPr>
                <w:rFonts w:hint="eastAsia"/>
                <w:b/>
                <w:sz w:val="24"/>
              </w:rPr>
              <w:t>四川省金堂县资水河防洪治理工程（二期）</w:t>
            </w:r>
            <w:r>
              <w:rPr>
                <w:b/>
                <w:sz w:val="24"/>
              </w:rPr>
              <w:t>已按环境影响报告表及审批部门审批决定要求建设环境保护设施，且环境保护设施与主体工程同时投产或者使用；污染物排放符合国家和地方相关标准；工程性质、地点、规模、采用的生产工艺、已采取的环境保护措施等与环评及批复基本一致；未违反国家和地方环境保护法律法规。</w:t>
            </w:r>
          </w:p>
          <w:p w14:paraId="48907F86">
            <w:pPr>
              <w:widowControl/>
              <w:spacing w:line="360" w:lineRule="auto"/>
              <w:ind w:firstLine="482" w:firstLineChars="200"/>
              <w:jc w:val="left"/>
            </w:pPr>
            <w:r>
              <w:rPr>
                <w:b/>
                <w:sz w:val="24"/>
              </w:rPr>
              <w:t>综上所述，本工程在设计、施工和运行初期均采取了有效的污染防治措施、生态保护及恢复措施，落实了“三同时”制度，对环境的影响满足国家相关标准要求，满足建设项目竣工环境保护验收条</w:t>
            </w:r>
            <w:r>
              <w:rPr>
                <w:b/>
                <w:sz w:val="24"/>
                <w:szCs w:val="22"/>
              </w:rPr>
              <w:t>件，建议通过本项目竣工环境保护验收。</w:t>
            </w:r>
          </w:p>
        </w:tc>
      </w:tr>
      <w:tr w14:paraId="4181E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428DA262">
            <w:pPr>
              <w:spacing w:line="360" w:lineRule="auto"/>
              <w:ind w:firstLine="281"/>
              <w:outlineLvl w:val="0"/>
              <w:rPr>
                <w:rFonts w:eastAsia="Times New Roman"/>
                <w:sz w:val="24"/>
                <w:szCs w:val="24"/>
              </w:rPr>
            </w:pPr>
            <w:bookmarkStart w:id="175" w:name="_Toc24360"/>
            <w:bookmarkStart w:id="176" w:name="_Toc165483498"/>
            <w:r>
              <w:rPr>
                <w:b/>
                <w:sz w:val="28"/>
              </w:rPr>
              <w:t>建议</w:t>
            </w:r>
            <w:bookmarkEnd w:id="175"/>
            <w:bookmarkEnd w:id="176"/>
          </w:p>
          <w:p w14:paraId="298D5C1F">
            <w:pPr>
              <w:spacing w:line="360" w:lineRule="auto"/>
              <w:ind w:firstLine="480" w:firstLineChars="200"/>
              <w:rPr>
                <w:rFonts w:hint="eastAsia"/>
                <w:sz w:val="24"/>
                <w:szCs w:val="24"/>
              </w:rPr>
            </w:pPr>
            <w:r>
              <w:rPr>
                <w:rFonts w:hint="eastAsia"/>
                <w:sz w:val="24"/>
                <w:szCs w:val="24"/>
              </w:rPr>
              <w:t>针对本工程目前存在的主要环境问题，建议进一步做好以下环境恢复和管理工作：</w:t>
            </w:r>
          </w:p>
          <w:p w14:paraId="7B1E09CD">
            <w:pPr>
              <w:spacing w:line="360" w:lineRule="auto"/>
              <w:ind w:firstLine="480" w:firstLineChars="200"/>
              <w:rPr>
                <w:rFonts w:hint="eastAsia"/>
                <w:sz w:val="24"/>
                <w:szCs w:val="24"/>
              </w:rPr>
            </w:pPr>
            <w:r>
              <w:rPr>
                <w:rFonts w:hint="eastAsia"/>
                <w:sz w:val="24"/>
                <w:szCs w:val="24"/>
              </w:rPr>
              <w:t>（1）投入营运后，必须接受当地环境保护部门和水利管理部门的监督管理。</w:t>
            </w:r>
          </w:p>
          <w:p w14:paraId="64FA027B">
            <w:pPr>
              <w:spacing w:line="360" w:lineRule="auto"/>
              <w:ind w:firstLine="480" w:firstLineChars="200"/>
              <w:rPr>
                <w:rFonts w:hint="eastAsia"/>
                <w:sz w:val="24"/>
                <w:szCs w:val="24"/>
              </w:rPr>
            </w:pPr>
            <w:r>
              <w:rPr>
                <w:rFonts w:hint="eastAsia"/>
                <w:sz w:val="24"/>
                <w:szCs w:val="24"/>
              </w:rPr>
              <w:t>（2）根据现场植被恢复情况，建议加强堤防两侧植被恢复，使堤防植被情况长势一致，以便稳固堤防，增强堤防景观效应。</w:t>
            </w:r>
          </w:p>
          <w:p w14:paraId="3439EB50">
            <w:pPr>
              <w:spacing w:line="360" w:lineRule="auto"/>
              <w:ind w:firstLine="480" w:firstLineChars="200"/>
              <w:rPr>
                <w:sz w:val="24"/>
                <w:szCs w:val="24"/>
              </w:rPr>
            </w:pPr>
            <w:r>
              <w:rPr>
                <w:rFonts w:hint="eastAsia"/>
                <w:sz w:val="24"/>
                <w:szCs w:val="24"/>
              </w:rPr>
              <w:t>（3）加强运行期环境管理及项目的后续维护。定期组织环境保护方面的宣传教育，不断提高人员的环境保护意识。</w:t>
            </w:r>
          </w:p>
          <w:p w14:paraId="3B4B2BD3">
            <w:pPr>
              <w:spacing w:line="360" w:lineRule="auto"/>
              <w:ind w:firstLine="480" w:firstLineChars="200"/>
              <w:rPr>
                <w:sz w:val="24"/>
              </w:rPr>
            </w:pPr>
          </w:p>
          <w:p w14:paraId="4DDD1B89">
            <w:pPr>
              <w:spacing w:line="360" w:lineRule="auto"/>
              <w:ind w:firstLine="480" w:firstLineChars="200"/>
              <w:rPr>
                <w:sz w:val="24"/>
              </w:rPr>
            </w:pPr>
          </w:p>
          <w:p w14:paraId="0835419D">
            <w:pPr>
              <w:spacing w:line="360" w:lineRule="auto"/>
              <w:ind w:firstLine="480" w:firstLineChars="200"/>
              <w:rPr>
                <w:sz w:val="24"/>
              </w:rPr>
            </w:pPr>
          </w:p>
          <w:p w14:paraId="64268C7E">
            <w:pPr>
              <w:spacing w:line="360" w:lineRule="auto"/>
              <w:ind w:firstLine="480" w:firstLineChars="200"/>
              <w:rPr>
                <w:sz w:val="24"/>
              </w:rPr>
            </w:pPr>
          </w:p>
          <w:p w14:paraId="31D8EBB2">
            <w:pPr>
              <w:spacing w:line="360" w:lineRule="auto"/>
              <w:ind w:firstLine="480" w:firstLineChars="200"/>
              <w:rPr>
                <w:sz w:val="24"/>
              </w:rPr>
            </w:pPr>
          </w:p>
          <w:p w14:paraId="3A1850E5">
            <w:pPr>
              <w:spacing w:line="360" w:lineRule="auto"/>
              <w:ind w:firstLine="480" w:firstLineChars="200"/>
              <w:rPr>
                <w:sz w:val="24"/>
              </w:rPr>
            </w:pPr>
          </w:p>
          <w:p w14:paraId="38D7D49F">
            <w:pPr>
              <w:spacing w:line="360" w:lineRule="auto"/>
              <w:ind w:firstLine="480" w:firstLineChars="200"/>
              <w:rPr>
                <w:sz w:val="24"/>
              </w:rPr>
            </w:pPr>
          </w:p>
          <w:p w14:paraId="6261A396">
            <w:pPr>
              <w:spacing w:line="360" w:lineRule="auto"/>
              <w:ind w:firstLine="480" w:firstLineChars="200"/>
              <w:rPr>
                <w:sz w:val="24"/>
              </w:rPr>
            </w:pPr>
          </w:p>
          <w:p w14:paraId="40906014">
            <w:pPr>
              <w:spacing w:line="360" w:lineRule="auto"/>
              <w:ind w:firstLine="480" w:firstLineChars="200"/>
              <w:rPr>
                <w:sz w:val="24"/>
              </w:rPr>
            </w:pPr>
          </w:p>
          <w:p w14:paraId="79EE643C">
            <w:pPr>
              <w:spacing w:line="360" w:lineRule="auto"/>
              <w:ind w:firstLine="480" w:firstLineChars="200"/>
              <w:rPr>
                <w:sz w:val="24"/>
              </w:rPr>
            </w:pPr>
          </w:p>
          <w:p w14:paraId="745FAD06">
            <w:pPr>
              <w:spacing w:line="360" w:lineRule="auto"/>
              <w:ind w:firstLine="480" w:firstLineChars="200"/>
              <w:rPr>
                <w:sz w:val="24"/>
              </w:rPr>
            </w:pPr>
          </w:p>
          <w:p w14:paraId="1A71C74A">
            <w:pPr>
              <w:spacing w:line="360" w:lineRule="auto"/>
              <w:ind w:firstLine="480" w:firstLineChars="200"/>
              <w:rPr>
                <w:sz w:val="24"/>
              </w:rPr>
            </w:pPr>
          </w:p>
          <w:p w14:paraId="5F573180">
            <w:pPr>
              <w:spacing w:line="360" w:lineRule="auto"/>
              <w:ind w:firstLine="480" w:firstLineChars="200"/>
              <w:rPr>
                <w:sz w:val="24"/>
              </w:rPr>
            </w:pPr>
          </w:p>
          <w:p w14:paraId="4C35AE65">
            <w:pPr>
              <w:spacing w:line="360" w:lineRule="auto"/>
              <w:ind w:firstLine="480" w:firstLineChars="200"/>
              <w:rPr>
                <w:sz w:val="24"/>
              </w:rPr>
            </w:pPr>
          </w:p>
          <w:p w14:paraId="6D676E4D">
            <w:pPr>
              <w:spacing w:line="360" w:lineRule="auto"/>
              <w:ind w:firstLine="480" w:firstLineChars="200"/>
              <w:rPr>
                <w:sz w:val="24"/>
              </w:rPr>
            </w:pPr>
          </w:p>
          <w:p w14:paraId="2F627C1B">
            <w:pPr>
              <w:spacing w:line="360" w:lineRule="auto"/>
              <w:ind w:firstLine="480" w:firstLineChars="200"/>
              <w:rPr>
                <w:sz w:val="24"/>
              </w:rPr>
            </w:pPr>
          </w:p>
          <w:p w14:paraId="2EF5C308">
            <w:pPr>
              <w:spacing w:line="360" w:lineRule="auto"/>
              <w:ind w:firstLine="480" w:firstLineChars="200"/>
              <w:rPr>
                <w:sz w:val="24"/>
              </w:rPr>
            </w:pPr>
          </w:p>
          <w:p w14:paraId="4F0AB5E4">
            <w:pPr>
              <w:spacing w:line="360" w:lineRule="auto"/>
              <w:ind w:firstLine="480" w:firstLineChars="200"/>
              <w:rPr>
                <w:sz w:val="24"/>
              </w:rPr>
            </w:pPr>
          </w:p>
          <w:p w14:paraId="4DB14A94">
            <w:pPr>
              <w:spacing w:line="360" w:lineRule="auto"/>
              <w:ind w:firstLine="480" w:firstLineChars="200"/>
              <w:rPr>
                <w:sz w:val="24"/>
              </w:rPr>
            </w:pPr>
          </w:p>
          <w:p w14:paraId="0EDF99BB">
            <w:pPr>
              <w:spacing w:line="360" w:lineRule="auto"/>
              <w:ind w:firstLine="480" w:firstLineChars="200"/>
              <w:rPr>
                <w:sz w:val="24"/>
              </w:rPr>
            </w:pPr>
          </w:p>
          <w:p w14:paraId="1A1BB139">
            <w:pPr>
              <w:spacing w:line="360" w:lineRule="auto"/>
              <w:ind w:firstLine="480" w:firstLineChars="200"/>
              <w:rPr>
                <w:sz w:val="24"/>
              </w:rPr>
            </w:pPr>
          </w:p>
          <w:p w14:paraId="4D337EC9">
            <w:pPr>
              <w:spacing w:line="360" w:lineRule="auto"/>
              <w:ind w:firstLine="480" w:firstLineChars="200"/>
              <w:rPr>
                <w:sz w:val="24"/>
              </w:rPr>
            </w:pPr>
          </w:p>
          <w:p w14:paraId="2427B357">
            <w:pPr>
              <w:spacing w:line="360" w:lineRule="auto"/>
              <w:ind w:firstLine="480" w:firstLineChars="200"/>
              <w:rPr>
                <w:sz w:val="24"/>
              </w:rPr>
            </w:pPr>
          </w:p>
          <w:p w14:paraId="4AEF8357">
            <w:pPr>
              <w:spacing w:line="360" w:lineRule="auto"/>
              <w:ind w:firstLine="480" w:firstLineChars="200"/>
              <w:rPr>
                <w:sz w:val="24"/>
              </w:rPr>
            </w:pPr>
          </w:p>
          <w:p w14:paraId="6B39C1F0">
            <w:pPr>
              <w:spacing w:line="360" w:lineRule="auto"/>
              <w:ind w:firstLine="480" w:firstLineChars="200"/>
              <w:rPr>
                <w:sz w:val="24"/>
              </w:rPr>
            </w:pPr>
          </w:p>
          <w:p w14:paraId="261AFCDF">
            <w:pPr>
              <w:spacing w:line="360" w:lineRule="auto"/>
              <w:ind w:firstLine="480" w:firstLineChars="200"/>
              <w:rPr>
                <w:sz w:val="24"/>
              </w:rPr>
            </w:pPr>
          </w:p>
          <w:p w14:paraId="66B7CF55">
            <w:pPr>
              <w:spacing w:line="360" w:lineRule="auto"/>
              <w:rPr>
                <w:sz w:val="24"/>
              </w:rPr>
            </w:pPr>
          </w:p>
          <w:p w14:paraId="290CE3DD">
            <w:pPr>
              <w:spacing w:line="360" w:lineRule="auto"/>
              <w:rPr>
                <w:sz w:val="24"/>
              </w:rPr>
            </w:pPr>
          </w:p>
        </w:tc>
      </w:tr>
    </w:tbl>
    <w:p w14:paraId="52B569DC">
      <w:pPr>
        <w:spacing w:line="360" w:lineRule="auto"/>
        <w:ind w:firstLine="281"/>
        <w:outlineLvl w:val="0"/>
        <w:rPr>
          <w:b/>
          <w:sz w:val="28"/>
        </w:rPr>
      </w:pPr>
    </w:p>
    <w:p w14:paraId="61C1F25D">
      <w:pPr>
        <w:spacing w:line="360" w:lineRule="auto"/>
        <w:ind w:firstLine="281"/>
        <w:outlineLvl w:val="0"/>
        <w:rPr>
          <w:b/>
          <w:sz w:val="28"/>
        </w:rPr>
      </w:pPr>
    </w:p>
    <w:sectPr>
      <w:pgSz w:w="11906" w:h="16838"/>
      <w:pgMar w:top="1440" w:right="1701" w:bottom="1440" w:left="1701" w:header="851" w:footer="992" w:gutter="0"/>
      <w:pgBorders>
        <w:top w:val="none" w:sz="0" w:space="0"/>
        <w:left w:val="none" w:sz="0" w:space="0"/>
        <w:bottom w:val="none" w:sz="0" w:space="0"/>
        <w:right w:val="none" w:sz="0" w:space="0"/>
      </w:pgBorders>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CG Times (WN)">
    <w:altName w:val="Times New Roman"/>
    <w:panose1 w:val="00000000000000000000"/>
    <w:charset w:val="00"/>
    <w:family w:val="roman"/>
    <w:pitch w:val="default"/>
    <w:sig w:usb0="00000000" w:usb1="00000000" w:usb2="00000000" w:usb3="00000000" w:csb0="00000001" w:csb1="00000000"/>
  </w:font>
  <w:font w:name="TimesNewRoman">
    <w:altName w:val="Times New Roman"/>
    <w:panose1 w:val="00000000000000000000"/>
    <w:charset w:val="00"/>
    <w:family w:val="roman"/>
    <w:pitch w:val="default"/>
    <w:sig w:usb0="00000000" w:usb1="00000000" w:usb2="00000010" w:usb3="00000000" w:csb0="00060001" w:csb1="00000000"/>
  </w:font>
  <w:font w:name="PMingLiU">
    <w:altName w:val="Microsoft JhengHei UI"/>
    <w:panose1 w:val="02010601000101010101"/>
    <w:charset w:val="88"/>
    <w:family w:val="roman"/>
    <w:pitch w:val="default"/>
    <w:sig w:usb0="00000000" w:usb1="00000000" w:usb2="00000016" w:usb3="00000000" w:csb0="00100001" w:csb1="00000000"/>
  </w:font>
  <w:font w:name="Microsoft JhengHei UI">
    <w:panose1 w:val="020B0604030504040204"/>
    <w:charset w:val="88"/>
    <w:family w:val="auto"/>
    <w:pitch w:val="default"/>
    <w:sig w:usb0="000002A7" w:usb1="28CF4400" w:usb2="00000016" w:usb3="00000000" w:csb0="00100009" w:csb1="00000000"/>
  </w:font>
  <w:font w:name="方正藏文新白体_Unicode">
    <w:altName w:val="宋体"/>
    <w:panose1 w:val="00000000000000000000"/>
    <w:charset w:val="86"/>
    <w:family w:val="script"/>
    <w:pitch w:val="default"/>
    <w:sig w:usb0="00000000" w:usb1="00000000" w:usb2="00000010" w:usb3="00000000" w:csb0="003C0041" w:csb1="00000000"/>
  </w:font>
  <w:font w:name="方正小标宋简体">
    <w:altName w:val="微软雅黑"/>
    <w:panose1 w:val="00000000000000000000"/>
    <w:charset w:val="86"/>
    <w:family w:val="script"/>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瀹嬩綋">
    <w:altName w:val="宋体"/>
    <w:panose1 w:val="00000000000000000000"/>
    <w:charset w:val="86"/>
    <w:family w:val="auto"/>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5B6796">
    <w:pPr>
      <w:pStyle w:val="21"/>
      <w:jc w:val="center"/>
    </w:pPr>
    <w:r>
      <w:fldChar w:fldCharType="begin"/>
    </w:r>
    <w:r>
      <w:instrText xml:space="preserve"> PAGE   \* MERGEFORMAT </w:instrText>
    </w:r>
    <w:r>
      <w:fldChar w:fldCharType="separate"/>
    </w:r>
    <w:r>
      <w:rPr>
        <w:lang w:val="zh-CN"/>
      </w:rPr>
      <w:t>2</w:t>
    </w:r>
    <w:r>
      <w:rPr>
        <w:lang w:val="zh-CN"/>
      </w:rPr>
      <w:fldChar w:fldCharType="end"/>
    </w:r>
  </w:p>
  <w:p w14:paraId="19A1BD3C">
    <w:pPr>
      <w:pStyle w:val="2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445B56">
    <w:pPr>
      <w:pStyle w:val="21"/>
      <w:jc w:val="center"/>
    </w:pPr>
    <w:r>
      <w:fldChar w:fldCharType="begin"/>
    </w:r>
    <w:r>
      <w:instrText xml:space="preserve"> PAGE   \* MERGEFORMAT </w:instrText>
    </w:r>
    <w:r>
      <w:fldChar w:fldCharType="separate"/>
    </w:r>
    <w:r>
      <w:rPr>
        <w:lang w:val="zh-CN"/>
      </w:rPr>
      <w:t>7</w:t>
    </w:r>
    <w:r>
      <w:rPr>
        <w:lang w:val="zh-CN"/>
      </w:rPr>
      <w:fldChar w:fldCharType="end"/>
    </w:r>
  </w:p>
  <w:p w14:paraId="7370EC4C">
    <w:pPr>
      <w:pStyle w:val="21"/>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F37F0D"/>
    <w:multiLevelType w:val="singleLevel"/>
    <w:tmpl w:val="83F37F0D"/>
    <w:lvl w:ilvl="0" w:tentative="0">
      <w:start w:val="1"/>
      <w:numFmt w:val="decimal"/>
      <w:suff w:val="nothing"/>
      <w:lvlText w:val="（%1）"/>
      <w:lvlJc w:val="left"/>
    </w:lvl>
  </w:abstractNum>
  <w:abstractNum w:abstractNumId="1">
    <w:nsid w:val="920C1B2F"/>
    <w:multiLevelType w:val="singleLevel"/>
    <w:tmpl w:val="920C1B2F"/>
    <w:lvl w:ilvl="0" w:tentative="0">
      <w:start w:val="1"/>
      <w:numFmt w:val="chineseCounting"/>
      <w:suff w:val="nothing"/>
      <w:lvlText w:val="%1、"/>
      <w:lvlJc w:val="left"/>
      <w:rPr>
        <w:rFonts w:hint="eastAsia"/>
      </w:rPr>
    </w:lvl>
  </w:abstractNum>
  <w:abstractNum w:abstractNumId="2">
    <w:nsid w:val="FCC52872"/>
    <w:multiLevelType w:val="singleLevel"/>
    <w:tmpl w:val="FCC52872"/>
    <w:lvl w:ilvl="0" w:tentative="0">
      <w:start w:val="1"/>
      <w:numFmt w:val="decimal"/>
      <w:suff w:val="nothing"/>
      <w:lvlText w:val="%1、"/>
      <w:lvlJc w:val="left"/>
    </w:lvl>
  </w:abstractNum>
  <w:abstractNum w:abstractNumId="3">
    <w:nsid w:val="026018B9"/>
    <w:multiLevelType w:val="singleLevel"/>
    <w:tmpl w:val="026018B9"/>
    <w:lvl w:ilvl="0" w:tentative="0">
      <w:start w:val="1"/>
      <w:numFmt w:val="decimal"/>
      <w:suff w:val="nothing"/>
      <w:lvlText w:val="（%1）"/>
      <w:lvlJc w:val="left"/>
    </w:lvl>
  </w:abstractNum>
  <w:abstractNum w:abstractNumId="4">
    <w:nsid w:val="16C73CDB"/>
    <w:multiLevelType w:val="singleLevel"/>
    <w:tmpl w:val="16C73CDB"/>
    <w:lvl w:ilvl="0" w:tentative="0">
      <w:start w:val="1"/>
      <w:numFmt w:val="decimal"/>
      <w:suff w:val="nothing"/>
      <w:lvlText w:val="（%1）"/>
      <w:lvlJc w:val="left"/>
    </w:lvl>
  </w:abstractNum>
  <w:abstractNum w:abstractNumId="5">
    <w:nsid w:val="20D16E56"/>
    <w:multiLevelType w:val="singleLevel"/>
    <w:tmpl w:val="20D16E56"/>
    <w:lvl w:ilvl="0" w:tentative="0">
      <w:start w:val="1"/>
      <w:numFmt w:val="decimal"/>
      <w:suff w:val="nothing"/>
      <w:lvlText w:val="%1、"/>
      <w:lvlJc w:val="left"/>
    </w:lvl>
  </w:abstractNum>
  <w:abstractNum w:abstractNumId="6">
    <w:nsid w:val="286DB882"/>
    <w:multiLevelType w:val="singleLevel"/>
    <w:tmpl w:val="286DB882"/>
    <w:lvl w:ilvl="0" w:tentative="0">
      <w:start w:val="1"/>
      <w:numFmt w:val="decimal"/>
      <w:suff w:val="nothing"/>
      <w:lvlText w:val="%1、"/>
      <w:lvlJc w:val="left"/>
    </w:lvl>
  </w:abstractNum>
  <w:abstractNum w:abstractNumId="7">
    <w:nsid w:val="394A10D5"/>
    <w:multiLevelType w:val="singleLevel"/>
    <w:tmpl w:val="394A10D5"/>
    <w:lvl w:ilvl="0" w:tentative="0">
      <w:start w:val="1"/>
      <w:numFmt w:val="decimal"/>
      <w:suff w:val="nothing"/>
      <w:lvlText w:val="（%1）"/>
      <w:lvlJc w:val="left"/>
    </w:lvl>
  </w:abstractNum>
  <w:abstractNum w:abstractNumId="8">
    <w:nsid w:val="50D8F40B"/>
    <w:multiLevelType w:val="singleLevel"/>
    <w:tmpl w:val="50D8F40B"/>
    <w:lvl w:ilvl="0" w:tentative="0">
      <w:start w:val="1"/>
      <w:numFmt w:val="decimal"/>
      <w:suff w:val="nothing"/>
      <w:lvlText w:val="（%1）"/>
      <w:lvlJc w:val="left"/>
    </w:lvl>
  </w:abstractNum>
  <w:abstractNum w:abstractNumId="9">
    <w:nsid w:val="60E84EFB"/>
    <w:multiLevelType w:val="singleLevel"/>
    <w:tmpl w:val="60E84EFB"/>
    <w:lvl w:ilvl="0" w:tentative="0">
      <w:start w:val="1"/>
      <w:numFmt w:val="chineseCounting"/>
      <w:suff w:val="nothing"/>
      <w:lvlText w:val="（%1）"/>
      <w:lvlJc w:val="left"/>
      <w:rPr>
        <w:rFonts w:hint="eastAsia"/>
      </w:rPr>
    </w:lvl>
  </w:abstractNum>
  <w:abstractNum w:abstractNumId="10">
    <w:nsid w:val="778065AA"/>
    <w:multiLevelType w:val="singleLevel"/>
    <w:tmpl w:val="778065AA"/>
    <w:lvl w:ilvl="0" w:tentative="0">
      <w:start w:val="5"/>
      <w:numFmt w:val="decimal"/>
      <w:suff w:val="nothing"/>
      <w:lvlText w:val="%1、"/>
      <w:lvlJc w:val="left"/>
    </w:lvl>
  </w:abstractNum>
  <w:num w:numId="1">
    <w:abstractNumId w:val="6"/>
  </w:num>
  <w:num w:numId="2">
    <w:abstractNumId w:val="5"/>
  </w:num>
  <w:num w:numId="3">
    <w:abstractNumId w:val="0"/>
  </w:num>
  <w:num w:numId="4">
    <w:abstractNumId w:val="7"/>
  </w:num>
  <w:num w:numId="5">
    <w:abstractNumId w:val="4"/>
  </w:num>
  <w:num w:numId="6">
    <w:abstractNumId w:val="8"/>
  </w:num>
  <w:num w:numId="7">
    <w:abstractNumId w:val="10"/>
  </w:num>
  <w:num w:numId="8">
    <w:abstractNumId w:val="3"/>
  </w:num>
  <w:num w:numId="9">
    <w:abstractNumId w:val="1"/>
  </w:num>
  <w:num w:numId="10">
    <w:abstractNumId w:val="9"/>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documentProtection w:enforcement="0"/>
  <w:defaultTabStop w:val="4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compatSetting w:name="compatibilityMode" w:uri="http://schemas.microsoft.com/office/word" w:val="12"/>
  </w:compat>
  <w:docVars>
    <w:docVar w:name="commondata" w:val="eyJoZGlkIjoiZjgzZTAwODdlZDc4MzIxNGY0NzZhNTQ2MDIyOGQ0YjkifQ=="/>
  </w:docVars>
  <w:rsids>
    <w:rsidRoot w:val="00172A27"/>
    <w:rsid w:val="00000AB1"/>
    <w:rsid w:val="000019F8"/>
    <w:rsid w:val="00002476"/>
    <w:rsid w:val="00002FDA"/>
    <w:rsid w:val="000031C8"/>
    <w:rsid w:val="000036AC"/>
    <w:rsid w:val="000039EA"/>
    <w:rsid w:val="00003AFF"/>
    <w:rsid w:val="00003BD3"/>
    <w:rsid w:val="00004B82"/>
    <w:rsid w:val="000053EA"/>
    <w:rsid w:val="00006368"/>
    <w:rsid w:val="00006E8A"/>
    <w:rsid w:val="00007A5D"/>
    <w:rsid w:val="000102FA"/>
    <w:rsid w:val="00010A7D"/>
    <w:rsid w:val="000115DD"/>
    <w:rsid w:val="000118C8"/>
    <w:rsid w:val="00012A2A"/>
    <w:rsid w:val="00012E41"/>
    <w:rsid w:val="000132F1"/>
    <w:rsid w:val="0001368E"/>
    <w:rsid w:val="000152FC"/>
    <w:rsid w:val="00015BA3"/>
    <w:rsid w:val="0001764E"/>
    <w:rsid w:val="000178EB"/>
    <w:rsid w:val="000205D3"/>
    <w:rsid w:val="000215DB"/>
    <w:rsid w:val="00022483"/>
    <w:rsid w:val="000259AE"/>
    <w:rsid w:val="00025BE1"/>
    <w:rsid w:val="0002609C"/>
    <w:rsid w:val="00026FD8"/>
    <w:rsid w:val="0002755A"/>
    <w:rsid w:val="00027B1E"/>
    <w:rsid w:val="000307DE"/>
    <w:rsid w:val="000309A5"/>
    <w:rsid w:val="00030AA3"/>
    <w:rsid w:val="00031264"/>
    <w:rsid w:val="000316F8"/>
    <w:rsid w:val="0003171A"/>
    <w:rsid w:val="000325D1"/>
    <w:rsid w:val="00032EE3"/>
    <w:rsid w:val="000336B7"/>
    <w:rsid w:val="0003390D"/>
    <w:rsid w:val="00033EFE"/>
    <w:rsid w:val="00034078"/>
    <w:rsid w:val="00034B94"/>
    <w:rsid w:val="00034E83"/>
    <w:rsid w:val="000353F8"/>
    <w:rsid w:val="00035FCB"/>
    <w:rsid w:val="0003636B"/>
    <w:rsid w:val="00036AC3"/>
    <w:rsid w:val="00036D03"/>
    <w:rsid w:val="0003775F"/>
    <w:rsid w:val="00037BDF"/>
    <w:rsid w:val="00037DB2"/>
    <w:rsid w:val="00040061"/>
    <w:rsid w:val="000406C8"/>
    <w:rsid w:val="00040F1E"/>
    <w:rsid w:val="00042D13"/>
    <w:rsid w:val="00042F47"/>
    <w:rsid w:val="00043602"/>
    <w:rsid w:val="00043F17"/>
    <w:rsid w:val="0004465A"/>
    <w:rsid w:val="00045384"/>
    <w:rsid w:val="00045A61"/>
    <w:rsid w:val="00046516"/>
    <w:rsid w:val="00046DAF"/>
    <w:rsid w:val="00046F6D"/>
    <w:rsid w:val="000472A5"/>
    <w:rsid w:val="00047DB9"/>
    <w:rsid w:val="0005075C"/>
    <w:rsid w:val="0005156B"/>
    <w:rsid w:val="00051838"/>
    <w:rsid w:val="00051AD7"/>
    <w:rsid w:val="00051EC7"/>
    <w:rsid w:val="00052C2A"/>
    <w:rsid w:val="00052EF8"/>
    <w:rsid w:val="000531AA"/>
    <w:rsid w:val="00053509"/>
    <w:rsid w:val="00054393"/>
    <w:rsid w:val="00054DCA"/>
    <w:rsid w:val="00056189"/>
    <w:rsid w:val="0005632E"/>
    <w:rsid w:val="0005644B"/>
    <w:rsid w:val="00057945"/>
    <w:rsid w:val="0006005E"/>
    <w:rsid w:val="000604C8"/>
    <w:rsid w:val="00060A38"/>
    <w:rsid w:val="00060ADC"/>
    <w:rsid w:val="0006160D"/>
    <w:rsid w:val="00061776"/>
    <w:rsid w:val="00062B97"/>
    <w:rsid w:val="0006426C"/>
    <w:rsid w:val="00065667"/>
    <w:rsid w:val="00066079"/>
    <w:rsid w:val="000712D3"/>
    <w:rsid w:val="000722EA"/>
    <w:rsid w:val="00072A68"/>
    <w:rsid w:val="00072C97"/>
    <w:rsid w:val="000732C6"/>
    <w:rsid w:val="00074014"/>
    <w:rsid w:val="00074C6A"/>
    <w:rsid w:val="00075181"/>
    <w:rsid w:val="00075C20"/>
    <w:rsid w:val="00076170"/>
    <w:rsid w:val="0007618E"/>
    <w:rsid w:val="000764B3"/>
    <w:rsid w:val="00076596"/>
    <w:rsid w:val="00076D1C"/>
    <w:rsid w:val="00077334"/>
    <w:rsid w:val="00077B01"/>
    <w:rsid w:val="00080002"/>
    <w:rsid w:val="0008021D"/>
    <w:rsid w:val="000805FF"/>
    <w:rsid w:val="00081A97"/>
    <w:rsid w:val="00081D22"/>
    <w:rsid w:val="00081D64"/>
    <w:rsid w:val="00082781"/>
    <w:rsid w:val="00082DA5"/>
    <w:rsid w:val="000839BD"/>
    <w:rsid w:val="00084AFB"/>
    <w:rsid w:val="00084B4D"/>
    <w:rsid w:val="00084B85"/>
    <w:rsid w:val="00085640"/>
    <w:rsid w:val="00085B9F"/>
    <w:rsid w:val="00085F55"/>
    <w:rsid w:val="00086363"/>
    <w:rsid w:val="000863F8"/>
    <w:rsid w:val="000867D9"/>
    <w:rsid w:val="000868C3"/>
    <w:rsid w:val="00086924"/>
    <w:rsid w:val="000869B2"/>
    <w:rsid w:val="00086C20"/>
    <w:rsid w:val="00086D61"/>
    <w:rsid w:val="00087634"/>
    <w:rsid w:val="00087DFA"/>
    <w:rsid w:val="00087F64"/>
    <w:rsid w:val="00090CD7"/>
    <w:rsid w:val="00091474"/>
    <w:rsid w:val="0009286E"/>
    <w:rsid w:val="00092CC5"/>
    <w:rsid w:val="000944B9"/>
    <w:rsid w:val="000953B0"/>
    <w:rsid w:val="00095691"/>
    <w:rsid w:val="0009675F"/>
    <w:rsid w:val="00096959"/>
    <w:rsid w:val="00097C0C"/>
    <w:rsid w:val="000A2C5C"/>
    <w:rsid w:val="000A2C91"/>
    <w:rsid w:val="000A2FDC"/>
    <w:rsid w:val="000A3012"/>
    <w:rsid w:val="000A39B4"/>
    <w:rsid w:val="000A3DB6"/>
    <w:rsid w:val="000A475E"/>
    <w:rsid w:val="000A513D"/>
    <w:rsid w:val="000A639E"/>
    <w:rsid w:val="000A672A"/>
    <w:rsid w:val="000A6879"/>
    <w:rsid w:val="000A705F"/>
    <w:rsid w:val="000A7176"/>
    <w:rsid w:val="000A7604"/>
    <w:rsid w:val="000A779F"/>
    <w:rsid w:val="000A7BB1"/>
    <w:rsid w:val="000B0B6C"/>
    <w:rsid w:val="000B11B8"/>
    <w:rsid w:val="000B11E9"/>
    <w:rsid w:val="000B1D14"/>
    <w:rsid w:val="000B30B2"/>
    <w:rsid w:val="000B44DE"/>
    <w:rsid w:val="000B44FE"/>
    <w:rsid w:val="000B4A5A"/>
    <w:rsid w:val="000B4B96"/>
    <w:rsid w:val="000B4D8D"/>
    <w:rsid w:val="000B52FA"/>
    <w:rsid w:val="000B544F"/>
    <w:rsid w:val="000B6266"/>
    <w:rsid w:val="000B6ED1"/>
    <w:rsid w:val="000B7409"/>
    <w:rsid w:val="000B74C0"/>
    <w:rsid w:val="000B7D56"/>
    <w:rsid w:val="000C0CFC"/>
    <w:rsid w:val="000C1442"/>
    <w:rsid w:val="000C2FE1"/>
    <w:rsid w:val="000C3105"/>
    <w:rsid w:val="000C3824"/>
    <w:rsid w:val="000C3A2C"/>
    <w:rsid w:val="000C49B1"/>
    <w:rsid w:val="000C5F38"/>
    <w:rsid w:val="000C689C"/>
    <w:rsid w:val="000C77DE"/>
    <w:rsid w:val="000C7ACA"/>
    <w:rsid w:val="000D0EC3"/>
    <w:rsid w:val="000D13EA"/>
    <w:rsid w:val="000D21C1"/>
    <w:rsid w:val="000D2391"/>
    <w:rsid w:val="000D28C8"/>
    <w:rsid w:val="000D3038"/>
    <w:rsid w:val="000D37E6"/>
    <w:rsid w:val="000D4F67"/>
    <w:rsid w:val="000D5889"/>
    <w:rsid w:val="000D595D"/>
    <w:rsid w:val="000D5A92"/>
    <w:rsid w:val="000D5A9D"/>
    <w:rsid w:val="000D6178"/>
    <w:rsid w:val="000D638B"/>
    <w:rsid w:val="000D7A10"/>
    <w:rsid w:val="000E05BC"/>
    <w:rsid w:val="000E0A94"/>
    <w:rsid w:val="000E0F7D"/>
    <w:rsid w:val="000E185A"/>
    <w:rsid w:val="000E31F6"/>
    <w:rsid w:val="000E467B"/>
    <w:rsid w:val="000E6091"/>
    <w:rsid w:val="000E681C"/>
    <w:rsid w:val="000E69C0"/>
    <w:rsid w:val="000E6BD0"/>
    <w:rsid w:val="000E7287"/>
    <w:rsid w:val="000F0127"/>
    <w:rsid w:val="000F0F00"/>
    <w:rsid w:val="000F14E9"/>
    <w:rsid w:val="000F1CB9"/>
    <w:rsid w:val="000F2112"/>
    <w:rsid w:val="000F2AE6"/>
    <w:rsid w:val="000F3E40"/>
    <w:rsid w:val="000F42AA"/>
    <w:rsid w:val="000F45FA"/>
    <w:rsid w:val="000F470A"/>
    <w:rsid w:val="000F58DA"/>
    <w:rsid w:val="000F5D19"/>
    <w:rsid w:val="000F5FC2"/>
    <w:rsid w:val="000F666E"/>
    <w:rsid w:val="000F68C6"/>
    <w:rsid w:val="000F6A3A"/>
    <w:rsid w:val="000F75C7"/>
    <w:rsid w:val="000F7736"/>
    <w:rsid w:val="000F7782"/>
    <w:rsid w:val="000F7DAD"/>
    <w:rsid w:val="00100DA3"/>
    <w:rsid w:val="0010260F"/>
    <w:rsid w:val="00102682"/>
    <w:rsid w:val="001032B8"/>
    <w:rsid w:val="00103593"/>
    <w:rsid w:val="00103606"/>
    <w:rsid w:val="00103C8A"/>
    <w:rsid w:val="0010403A"/>
    <w:rsid w:val="00104315"/>
    <w:rsid w:val="00104ABD"/>
    <w:rsid w:val="00105424"/>
    <w:rsid w:val="00106604"/>
    <w:rsid w:val="001072A6"/>
    <w:rsid w:val="00107CF5"/>
    <w:rsid w:val="00110740"/>
    <w:rsid w:val="00111368"/>
    <w:rsid w:val="00111740"/>
    <w:rsid w:val="00112151"/>
    <w:rsid w:val="001127D1"/>
    <w:rsid w:val="00112A08"/>
    <w:rsid w:val="00113B4F"/>
    <w:rsid w:val="001141F2"/>
    <w:rsid w:val="0011516A"/>
    <w:rsid w:val="001151EC"/>
    <w:rsid w:val="0011579E"/>
    <w:rsid w:val="00115B77"/>
    <w:rsid w:val="00115CA4"/>
    <w:rsid w:val="00116E26"/>
    <w:rsid w:val="00116F44"/>
    <w:rsid w:val="0011788B"/>
    <w:rsid w:val="00117C94"/>
    <w:rsid w:val="00117FB3"/>
    <w:rsid w:val="00120388"/>
    <w:rsid w:val="00120C24"/>
    <w:rsid w:val="00121028"/>
    <w:rsid w:val="00121698"/>
    <w:rsid w:val="001218BA"/>
    <w:rsid w:val="00121DF8"/>
    <w:rsid w:val="0012271A"/>
    <w:rsid w:val="00123040"/>
    <w:rsid w:val="00123135"/>
    <w:rsid w:val="0012330E"/>
    <w:rsid w:val="00123E5B"/>
    <w:rsid w:val="0012428A"/>
    <w:rsid w:val="00125682"/>
    <w:rsid w:val="00126D4F"/>
    <w:rsid w:val="00126E5B"/>
    <w:rsid w:val="001276C7"/>
    <w:rsid w:val="0013036D"/>
    <w:rsid w:val="00130605"/>
    <w:rsid w:val="00130CAF"/>
    <w:rsid w:val="0013197E"/>
    <w:rsid w:val="00131C7A"/>
    <w:rsid w:val="001324C7"/>
    <w:rsid w:val="00133D8D"/>
    <w:rsid w:val="00133DDC"/>
    <w:rsid w:val="001346F2"/>
    <w:rsid w:val="0013497F"/>
    <w:rsid w:val="00135407"/>
    <w:rsid w:val="00135D46"/>
    <w:rsid w:val="001360C3"/>
    <w:rsid w:val="00136BF1"/>
    <w:rsid w:val="0013718B"/>
    <w:rsid w:val="0013759C"/>
    <w:rsid w:val="0013766D"/>
    <w:rsid w:val="00137827"/>
    <w:rsid w:val="00140921"/>
    <w:rsid w:val="00141512"/>
    <w:rsid w:val="00141B37"/>
    <w:rsid w:val="00141F45"/>
    <w:rsid w:val="0014224B"/>
    <w:rsid w:val="001422DF"/>
    <w:rsid w:val="001426CB"/>
    <w:rsid w:val="00142F85"/>
    <w:rsid w:val="0014380B"/>
    <w:rsid w:val="00143891"/>
    <w:rsid w:val="00144959"/>
    <w:rsid w:val="00144F06"/>
    <w:rsid w:val="001450D8"/>
    <w:rsid w:val="00145150"/>
    <w:rsid w:val="00146E42"/>
    <w:rsid w:val="00147944"/>
    <w:rsid w:val="00150CBE"/>
    <w:rsid w:val="00151565"/>
    <w:rsid w:val="001517AF"/>
    <w:rsid w:val="00151877"/>
    <w:rsid w:val="00151EBD"/>
    <w:rsid w:val="0015245C"/>
    <w:rsid w:val="00152583"/>
    <w:rsid w:val="00152CCD"/>
    <w:rsid w:val="0015318F"/>
    <w:rsid w:val="0015398D"/>
    <w:rsid w:val="00153BCF"/>
    <w:rsid w:val="00153FD3"/>
    <w:rsid w:val="00154069"/>
    <w:rsid w:val="001543A4"/>
    <w:rsid w:val="00154624"/>
    <w:rsid w:val="00154B47"/>
    <w:rsid w:val="001554FE"/>
    <w:rsid w:val="0015554B"/>
    <w:rsid w:val="001555A9"/>
    <w:rsid w:val="001555C0"/>
    <w:rsid w:val="00155657"/>
    <w:rsid w:val="001556EC"/>
    <w:rsid w:val="00155C8D"/>
    <w:rsid w:val="00155E7B"/>
    <w:rsid w:val="00156550"/>
    <w:rsid w:val="001567F5"/>
    <w:rsid w:val="00157224"/>
    <w:rsid w:val="001602F9"/>
    <w:rsid w:val="00160AC6"/>
    <w:rsid w:val="00160BB8"/>
    <w:rsid w:val="00161267"/>
    <w:rsid w:val="00161747"/>
    <w:rsid w:val="00161ADB"/>
    <w:rsid w:val="00163FBB"/>
    <w:rsid w:val="00164500"/>
    <w:rsid w:val="00164BE2"/>
    <w:rsid w:val="00165C08"/>
    <w:rsid w:val="00167968"/>
    <w:rsid w:val="00170515"/>
    <w:rsid w:val="0017141A"/>
    <w:rsid w:val="00171628"/>
    <w:rsid w:val="00172A27"/>
    <w:rsid w:val="00172A4E"/>
    <w:rsid w:val="001730C2"/>
    <w:rsid w:val="0017311B"/>
    <w:rsid w:val="00173436"/>
    <w:rsid w:val="0017383C"/>
    <w:rsid w:val="00173E4D"/>
    <w:rsid w:val="001745F1"/>
    <w:rsid w:val="0017549C"/>
    <w:rsid w:val="00175EAC"/>
    <w:rsid w:val="00175F37"/>
    <w:rsid w:val="00175FBD"/>
    <w:rsid w:val="001778A5"/>
    <w:rsid w:val="00177A22"/>
    <w:rsid w:val="00177D2D"/>
    <w:rsid w:val="00177EFA"/>
    <w:rsid w:val="00180DD1"/>
    <w:rsid w:val="00180E04"/>
    <w:rsid w:val="00181736"/>
    <w:rsid w:val="0018195E"/>
    <w:rsid w:val="00183199"/>
    <w:rsid w:val="0018329A"/>
    <w:rsid w:val="00183AED"/>
    <w:rsid w:val="00184AB9"/>
    <w:rsid w:val="00184DBC"/>
    <w:rsid w:val="0018519B"/>
    <w:rsid w:val="0018559C"/>
    <w:rsid w:val="00186970"/>
    <w:rsid w:val="00186B36"/>
    <w:rsid w:val="00187901"/>
    <w:rsid w:val="001906A4"/>
    <w:rsid w:val="001907B0"/>
    <w:rsid w:val="00191868"/>
    <w:rsid w:val="001919C6"/>
    <w:rsid w:val="00192AE4"/>
    <w:rsid w:val="00193C58"/>
    <w:rsid w:val="00193E00"/>
    <w:rsid w:val="0019430F"/>
    <w:rsid w:val="0019498F"/>
    <w:rsid w:val="00194A18"/>
    <w:rsid w:val="00195BC6"/>
    <w:rsid w:val="001962B5"/>
    <w:rsid w:val="00196D0A"/>
    <w:rsid w:val="00196DA9"/>
    <w:rsid w:val="001A01F0"/>
    <w:rsid w:val="001A0442"/>
    <w:rsid w:val="001A056E"/>
    <w:rsid w:val="001A0CE6"/>
    <w:rsid w:val="001A118C"/>
    <w:rsid w:val="001A177E"/>
    <w:rsid w:val="001A3BEF"/>
    <w:rsid w:val="001A5730"/>
    <w:rsid w:val="001A6019"/>
    <w:rsid w:val="001A62A5"/>
    <w:rsid w:val="001A70A9"/>
    <w:rsid w:val="001A7D3E"/>
    <w:rsid w:val="001B190E"/>
    <w:rsid w:val="001B1E5F"/>
    <w:rsid w:val="001B2DCF"/>
    <w:rsid w:val="001B2E51"/>
    <w:rsid w:val="001B2ED5"/>
    <w:rsid w:val="001B2FE0"/>
    <w:rsid w:val="001B3775"/>
    <w:rsid w:val="001B3882"/>
    <w:rsid w:val="001B4712"/>
    <w:rsid w:val="001B474C"/>
    <w:rsid w:val="001B47FB"/>
    <w:rsid w:val="001B4D42"/>
    <w:rsid w:val="001B4E2E"/>
    <w:rsid w:val="001B5A08"/>
    <w:rsid w:val="001B5F1F"/>
    <w:rsid w:val="001B641F"/>
    <w:rsid w:val="001B681B"/>
    <w:rsid w:val="001B6ECE"/>
    <w:rsid w:val="001B7055"/>
    <w:rsid w:val="001B72F3"/>
    <w:rsid w:val="001B7970"/>
    <w:rsid w:val="001C0595"/>
    <w:rsid w:val="001C09F8"/>
    <w:rsid w:val="001C1167"/>
    <w:rsid w:val="001C1C28"/>
    <w:rsid w:val="001C1FEA"/>
    <w:rsid w:val="001C2A42"/>
    <w:rsid w:val="001C3FD0"/>
    <w:rsid w:val="001C4402"/>
    <w:rsid w:val="001C45EF"/>
    <w:rsid w:val="001C4B0C"/>
    <w:rsid w:val="001C5111"/>
    <w:rsid w:val="001C525A"/>
    <w:rsid w:val="001C5B06"/>
    <w:rsid w:val="001C5F2D"/>
    <w:rsid w:val="001C607B"/>
    <w:rsid w:val="001C62F6"/>
    <w:rsid w:val="001C7E7C"/>
    <w:rsid w:val="001D06B7"/>
    <w:rsid w:val="001D08EB"/>
    <w:rsid w:val="001D142A"/>
    <w:rsid w:val="001D19D2"/>
    <w:rsid w:val="001D2A21"/>
    <w:rsid w:val="001D3695"/>
    <w:rsid w:val="001D3905"/>
    <w:rsid w:val="001D3C99"/>
    <w:rsid w:val="001D4792"/>
    <w:rsid w:val="001D48A1"/>
    <w:rsid w:val="001D499A"/>
    <w:rsid w:val="001D4AE3"/>
    <w:rsid w:val="001D6441"/>
    <w:rsid w:val="001D6C78"/>
    <w:rsid w:val="001D756C"/>
    <w:rsid w:val="001D7951"/>
    <w:rsid w:val="001E1C66"/>
    <w:rsid w:val="001E2503"/>
    <w:rsid w:val="001E285C"/>
    <w:rsid w:val="001E3827"/>
    <w:rsid w:val="001E4660"/>
    <w:rsid w:val="001E47AB"/>
    <w:rsid w:val="001E4AA8"/>
    <w:rsid w:val="001E4E5A"/>
    <w:rsid w:val="001E5553"/>
    <w:rsid w:val="001E5604"/>
    <w:rsid w:val="001E616F"/>
    <w:rsid w:val="001E63E0"/>
    <w:rsid w:val="001E6AB4"/>
    <w:rsid w:val="001E6C28"/>
    <w:rsid w:val="001E7868"/>
    <w:rsid w:val="001E7A63"/>
    <w:rsid w:val="001E7C1D"/>
    <w:rsid w:val="001E7C8F"/>
    <w:rsid w:val="001E7D3B"/>
    <w:rsid w:val="001F08BB"/>
    <w:rsid w:val="001F0B4D"/>
    <w:rsid w:val="001F0B78"/>
    <w:rsid w:val="001F0F6B"/>
    <w:rsid w:val="001F13C8"/>
    <w:rsid w:val="001F19DE"/>
    <w:rsid w:val="001F1EE1"/>
    <w:rsid w:val="001F2CE0"/>
    <w:rsid w:val="001F3C03"/>
    <w:rsid w:val="001F3D0A"/>
    <w:rsid w:val="001F3FC6"/>
    <w:rsid w:val="001F422A"/>
    <w:rsid w:val="001F4661"/>
    <w:rsid w:val="001F46A7"/>
    <w:rsid w:val="001F4E0D"/>
    <w:rsid w:val="001F57A5"/>
    <w:rsid w:val="001F5905"/>
    <w:rsid w:val="001F686E"/>
    <w:rsid w:val="001F7C9B"/>
    <w:rsid w:val="00201BD4"/>
    <w:rsid w:val="002030E7"/>
    <w:rsid w:val="00203333"/>
    <w:rsid w:val="0020338C"/>
    <w:rsid w:val="0020383C"/>
    <w:rsid w:val="00203A08"/>
    <w:rsid w:val="002042E0"/>
    <w:rsid w:val="00204C71"/>
    <w:rsid w:val="00205316"/>
    <w:rsid w:val="00205959"/>
    <w:rsid w:val="00205F00"/>
    <w:rsid w:val="00205F84"/>
    <w:rsid w:val="00206A0D"/>
    <w:rsid w:val="0020700F"/>
    <w:rsid w:val="0020726E"/>
    <w:rsid w:val="00207A50"/>
    <w:rsid w:val="002107F2"/>
    <w:rsid w:val="00210F7F"/>
    <w:rsid w:val="00210F9A"/>
    <w:rsid w:val="00211413"/>
    <w:rsid w:val="00213B72"/>
    <w:rsid w:val="00214D85"/>
    <w:rsid w:val="00214EA6"/>
    <w:rsid w:val="002158E4"/>
    <w:rsid w:val="00217209"/>
    <w:rsid w:val="002175EA"/>
    <w:rsid w:val="00217EE3"/>
    <w:rsid w:val="00217F7E"/>
    <w:rsid w:val="0022032C"/>
    <w:rsid w:val="00220F7C"/>
    <w:rsid w:val="00221604"/>
    <w:rsid w:val="002223F6"/>
    <w:rsid w:val="002231FC"/>
    <w:rsid w:val="0022334F"/>
    <w:rsid w:val="002234BD"/>
    <w:rsid w:val="00223C3F"/>
    <w:rsid w:val="00224341"/>
    <w:rsid w:val="0022498F"/>
    <w:rsid w:val="00225358"/>
    <w:rsid w:val="002265C1"/>
    <w:rsid w:val="002276A9"/>
    <w:rsid w:val="00230CB7"/>
    <w:rsid w:val="00230CBC"/>
    <w:rsid w:val="00230DA3"/>
    <w:rsid w:val="0023121C"/>
    <w:rsid w:val="002333FF"/>
    <w:rsid w:val="002339B6"/>
    <w:rsid w:val="00234050"/>
    <w:rsid w:val="0023422D"/>
    <w:rsid w:val="0023467F"/>
    <w:rsid w:val="002354DD"/>
    <w:rsid w:val="00235A06"/>
    <w:rsid w:val="00236B8C"/>
    <w:rsid w:val="002379A9"/>
    <w:rsid w:val="00237F43"/>
    <w:rsid w:val="00237FA3"/>
    <w:rsid w:val="00240753"/>
    <w:rsid w:val="00240C7C"/>
    <w:rsid w:val="00240CC0"/>
    <w:rsid w:val="00242770"/>
    <w:rsid w:val="00242CE0"/>
    <w:rsid w:val="00242EC2"/>
    <w:rsid w:val="00242EF1"/>
    <w:rsid w:val="00243FF7"/>
    <w:rsid w:val="00245ACD"/>
    <w:rsid w:val="00245CC2"/>
    <w:rsid w:val="00246034"/>
    <w:rsid w:val="00246ED8"/>
    <w:rsid w:val="002471C6"/>
    <w:rsid w:val="00247816"/>
    <w:rsid w:val="0024791C"/>
    <w:rsid w:val="00250141"/>
    <w:rsid w:val="00250555"/>
    <w:rsid w:val="00251651"/>
    <w:rsid w:val="00251873"/>
    <w:rsid w:val="00251A99"/>
    <w:rsid w:val="00251AF4"/>
    <w:rsid w:val="0025200E"/>
    <w:rsid w:val="002521B9"/>
    <w:rsid w:val="00252BC5"/>
    <w:rsid w:val="002533D1"/>
    <w:rsid w:val="00253CE3"/>
    <w:rsid w:val="00255EE2"/>
    <w:rsid w:val="0025627A"/>
    <w:rsid w:val="0025658F"/>
    <w:rsid w:val="002568C0"/>
    <w:rsid w:val="00256A9A"/>
    <w:rsid w:val="00256CCF"/>
    <w:rsid w:val="00256F18"/>
    <w:rsid w:val="002572A0"/>
    <w:rsid w:val="00260C05"/>
    <w:rsid w:val="00262862"/>
    <w:rsid w:val="00262B2E"/>
    <w:rsid w:val="002639C3"/>
    <w:rsid w:val="00263D3B"/>
    <w:rsid w:val="00263E4C"/>
    <w:rsid w:val="00263EC1"/>
    <w:rsid w:val="00264731"/>
    <w:rsid w:val="00264738"/>
    <w:rsid w:val="00264E8C"/>
    <w:rsid w:val="002653DE"/>
    <w:rsid w:val="00265461"/>
    <w:rsid w:val="00265A4B"/>
    <w:rsid w:val="00266BA1"/>
    <w:rsid w:val="00266D1A"/>
    <w:rsid w:val="00270E7E"/>
    <w:rsid w:val="00270F8C"/>
    <w:rsid w:val="0027199D"/>
    <w:rsid w:val="00271AFC"/>
    <w:rsid w:val="00271B49"/>
    <w:rsid w:val="002723B6"/>
    <w:rsid w:val="0027256A"/>
    <w:rsid w:val="00273D07"/>
    <w:rsid w:val="00273E93"/>
    <w:rsid w:val="00274635"/>
    <w:rsid w:val="00274D46"/>
    <w:rsid w:val="00274DF6"/>
    <w:rsid w:val="00275A44"/>
    <w:rsid w:val="00275B33"/>
    <w:rsid w:val="002767F4"/>
    <w:rsid w:val="00276AE6"/>
    <w:rsid w:val="00277290"/>
    <w:rsid w:val="002775BB"/>
    <w:rsid w:val="00277B3B"/>
    <w:rsid w:val="00280A7C"/>
    <w:rsid w:val="00280D58"/>
    <w:rsid w:val="00280EF7"/>
    <w:rsid w:val="00281F59"/>
    <w:rsid w:val="002820B5"/>
    <w:rsid w:val="00283687"/>
    <w:rsid w:val="002838A4"/>
    <w:rsid w:val="002840C5"/>
    <w:rsid w:val="002841D8"/>
    <w:rsid w:val="002843E4"/>
    <w:rsid w:val="00285197"/>
    <w:rsid w:val="0028634B"/>
    <w:rsid w:val="00286976"/>
    <w:rsid w:val="00286C56"/>
    <w:rsid w:val="00287F0B"/>
    <w:rsid w:val="002906C6"/>
    <w:rsid w:val="002906D0"/>
    <w:rsid w:val="00290710"/>
    <w:rsid w:val="00290A05"/>
    <w:rsid w:val="00291D85"/>
    <w:rsid w:val="00292826"/>
    <w:rsid w:val="00292F84"/>
    <w:rsid w:val="0029303E"/>
    <w:rsid w:val="0029344C"/>
    <w:rsid w:val="00293730"/>
    <w:rsid w:val="00293D51"/>
    <w:rsid w:val="0029481B"/>
    <w:rsid w:val="00294D07"/>
    <w:rsid w:val="00294EE5"/>
    <w:rsid w:val="0029518B"/>
    <w:rsid w:val="002959B6"/>
    <w:rsid w:val="00295E03"/>
    <w:rsid w:val="00297102"/>
    <w:rsid w:val="002972B4"/>
    <w:rsid w:val="002A07CE"/>
    <w:rsid w:val="002A1856"/>
    <w:rsid w:val="002A1ECC"/>
    <w:rsid w:val="002A278A"/>
    <w:rsid w:val="002A27A2"/>
    <w:rsid w:val="002A2C24"/>
    <w:rsid w:val="002A30B5"/>
    <w:rsid w:val="002A32B3"/>
    <w:rsid w:val="002A348B"/>
    <w:rsid w:val="002A35B9"/>
    <w:rsid w:val="002A3D8E"/>
    <w:rsid w:val="002A4571"/>
    <w:rsid w:val="002A45C6"/>
    <w:rsid w:val="002A4E20"/>
    <w:rsid w:val="002A6175"/>
    <w:rsid w:val="002A63D7"/>
    <w:rsid w:val="002A6497"/>
    <w:rsid w:val="002A67F3"/>
    <w:rsid w:val="002A71AE"/>
    <w:rsid w:val="002A720E"/>
    <w:rsid w:val="002A76C3"/>
    <w:rsid w:val="002A7D86"/>
    <w:rsid w:val="002B0C98"/>
    <w:rsid w:val="002B12B9"/>
    <w:rsid w:val="002B1728"/>
    <w:rsid w:val="002B172D"/>
    <w:rsid w:val="002B222D"/>
    <w:rsid w:val="002B4212"/>
    <w:rsid w:val="002B4CBA"/>
    <w:rsid w:val="002B4E41"/>
    <w:rsid w:val="002B5321"/>
    <w:rsid w:val="002B62DC"/>
    <w:rsid w:val="002B64BF"/>
    <w:rsid w:val="002B7A10"/>
    <w:rsid w:val="002C050F"/>
    <w:rsid w:val="002C0F9B"/>
    <w:rsid w:val="002C1875"/>
    <w:rsid w:val="002C1AC1"/>
    <w:rsid w:val="002C1D71"/>
    <w:rsid w:val="002C2A91"/>
    <w:rsid w:val="002C2F3C"/>
    <w:rsid w:val="002C3BCE"/>
    <w:rsid w:val="002C4666"/>
    <w:rsid w:val="002C4698"/>
    <w:rsid w:val="002C4DE0"/>
    <w:rsid w:val="002C7018"/>
    <w:rsid w:val="002D0B4F"/>
    <w:rsid w:val="002D0D98"/>
    <w:rsid w:val="002D233A"/>
    <w:rsid w:val="002D2466"/>
    <w:rsid w:val="002D3357"/>
    <w:rsid w:val="002D354D"/>
    <w:rsid w:val="002D37B7"/>
    <w:rsid w:val="002D3A59"/>
    <w:rsid w:val="002D3E87"/>
    <w:rsid w:val="002D3F44"/>
    <w:rsid w:val="002D4316"/>
    <w:rsid w:val="002D438C"/>
    <w:rsid w:val="002D4705"/>
    <w:rsid w:val="002D4D5F"/>
    <w:rsid w:val="002D4D67"/>
    <w:rsid w:val="002D5384"/>
    <w:rsid w:val="002D5D24"/>
    <w:rsid w:val="002D5FD2"/>
    <w:rsid w:val="002D61E1"/>
    <w:rsid w:val="002D6CE1"/>
    <w:rsid w:val="002D7191"/>
    <w:rsid w:val="002D7319"/>
    <w:rsid w:val="002D76B1"/>
    <w:rsid w:val="002D79F1"/>
    <w:rsid w:val="002D7A83"/>
    <w:rsid w:val="002E0027"/>
    <w:rsid w:val="002E0D93"/>
    <w:rsid w:val="002E171D"/>
    <w:rsid w:val="002E2E58"/>
    <w:rsid w:val="002E3923"/>
    <w:rsid w:val="002E3A21"/>
    <w:rsid w:val="002E3CAB"/>
    <w:rsid w:val="002E4584"/>
    <w:rsid w:val="002E4A78"/>
    <w:rsid w:val="002E5516"/>
    <w:rsid w:val="002E59F7"/>
    <w:rsid w:val="002E68C9"/>
    <w:rsid w:val="002E6A3C"/>
    <w:rsid w:val="002E73F9"/>
    <w:rsid w:val="002E7559"/>
    <w:rsid w:val="002E7FEB"/>
    <w:rsid w:val="002F1815"/>
    <w:rsid w:val="002F23AF"/>
    <w:rsid w:val="002F23C1"/>
    <w:rsid w:val="002F2953"/>
    <w:rsid w:val="002F2D14"/>
    <w:rsid w:val="002F3792"/>
    <w:rsid w:val="002F3FCE"/>
    <w:rsid w:val="002F4993"/>
    <w:rsid w:val="002F5716"/>
    <w:rsid w:val="002F5746"/>
    <w:rsid w:val="002F5920"/>
    <w:rsid w:val="002F5B85"/>
    <w:rsid w:val="002F630E"/>
    <w:rsid w:val="002F6E02"/>
    <w:rsid w:val="002F6F5F"/>
    <w:rsid w:val="002F7347"/>
    <w:rsid w:val="002F7DE8"/>
    <w:rsid w:val="00300195"/>
    <w:rsid w:val="003009A9"/>
    <w:rsid w:val="00302315"/>
    <w:rsid w:val="00302D1A"/>
    <w:rsid w:val="003032C6"/>
    <w:rsid w:val="003035DF"/>
    <w:rsid w:val="0030529B"/>
    <w:rsid w:val="00305F94"/>
    <w:rsid w:val="003060A2"/>
    <w:rsid w:val="00306A10"/>
    <w:rsid w:val="00306B78"/>
    <w:rsid w:val="00306BE4"/>
    <w:rsid w:val="003075A3"/>
    <w:rsid w:val="00307A95"/>
    <w:rsid w:val="003102B7"/>
    <w:rsid w:val="00310851"/>
    <w:rsid w:val="00310941"/>
    <w:rsid w:val="00310B9A"/>
    <w:rsid w:val="003136EE"/>
    <w:rsid w:val="00313832"/>
    <w:rsid w:val="00313C52"/>
    <w:rsid w:val="0031424A"/>
    <w:rsid w:val="003144A8"/>
    <w:rsid w:val="003144C3"/>
    <w:rsid w:val="00314819"/>
    <w:rsid w:val="00315184"/>
    <w:rsid w:val="0031534E"/>
    <w:rsid w:val="00316053"/>
    <w:rsid w:val="0031609D"/>
    <w:rsid w:val="00316E76"/>
    <w:rsid w:val="003175D2"/>
    <w:rsid w:val="003213D7"/>
    <w:rsid w:val="0032169D"/>
    <w:rsid w:val="003216CD"/>
    <w:rsid w:val="00321988"/>
    <w:rsid w:val="0032222E"/>
    <w:rsid w:val="0032226C"/>
    <w:rsid w:val="0032327B"/>
    <w:rsid w:val="00323700"/>
    <w:rsid w:val="003257D3"/>
    <w:rsid w:val="003262FB"/>
    <w:rsid w:val="003278F8"/>
    <w:rsid w:val="00327936"/>
    <w:rsid w:val="0033024D"/>
    <w:rsid w:val="0033064F"/>
    <w:rsid w:val="0033073D"/>
    <w:rsid w:val="00330ADA"/>
    <w:rsid w:val="00331274"/>
    <w:rsid w:val="003317B0"/>
    <w:rsid w:val="003318FB"/>
    <w:rsid w:val="003324B9"/>
    <w:rsid w:val="00332D50"/>
    <w:rsid w:val="003338B1"/>
    <w:rsid w:val="00335A0C"/>
    <w:rsid w:val="003361F1"/>
    <w:rsid w:val="0033650A"/>
    <w:rsid w:val="00336901"/>
    <w:rsid w:val="00337A8D"/>
    <w:rsid w:val="00337C7D"/>
    <w:rsid w:val="00337EA5"/>
    <w:rsid w:val="00340725"/>
    <w:rsid w:val="00340A27"/>
    <w:rsid w:val="00340CE7"/>
    <w:rsid w:val="0034182A"/>
    <w:rsid w:val="00341971"/>
    <w:rsid w:val="00342640"/>
    <w:rsid w:val="003429B4"/>
    <w:rsid w:val="00342AD6"/>
    <w:rsid w:val="003431B3"/>
    <w:rsid w:val="0034412B"/>
    <w:rsid w:val="003444B1"/>
    <w:rsid w:val="00344DA2"/>
    <w:rsid w:val="00344E87"/>
    <w:rsid w:val="00345165"/>
    <w:rsid w:val="00346115"/>
    <w:rsid w:val="00346EE8"/>
    <w:rsid w:val="00347567"/>
    <w:rsid w:val="00347FDD"/>
    <w:rsid w:val="003502D2"/>
    <w:rsid w:val="00350D3C"/>
    <w:rsid w:val="0035141F"/>
    <w:rsid w:val="00351913"/>
    <w:rsid w:val="00352A9E"/>
    <w:rsid w:val="00353BB2"/>
    <w:rsid w:val="00353DE6"/>
    <w:rsid w:val="00354E3B"/>
    <w:rsid w:val="003556CF"/>
    <w:rsid w:val="0035575B"/>
    <w:rsid w:val="003565CA"/>
    <w:rsid w:val="00360185"/>
    <w:rsid w:val="00361214"/>
    <w:rsid w:val="00361745"/>
    <w:rsid w:val="00362191"/>
    <w:rsid w:val="003624D2"/>
    <w:rsid w:val="003627D6"/>
    <w:rsid w:val="0036319C"/>
    <w:rsid w:val="00363486"/>
    <w:rsid w:val="00363DB8"/>
    <w:rsid w:val="00365ECB"/>
    <w:rsid w:val="003664AD"/>
    <w:rsid w:val="00366710"/>
    <w:rsid w:val="003667FE"/>
    <w:rsid w:val="0036694B"/>
    <w:rsid w:val="00366F53"/>
    <w:rsid w:val="00370246"/>
    <w:rsid w:val="00370294"/>
    <w:rsid w:val="00370B6A"/>
    <w:rsid w:val="00370DD4"/>
    <w:rsid w:val="0037100B"/>
    <w:rsid w:val="003715EA"/>
    <w:rsid w:val="0037188C"/>
    <w:rsid w:val="00371D9D"/>
    <w:rsid w:val="00371EDE"/>
    <w:rsid w:val="00372109"/>
    <w:rsid w:val="00372569"/>
    <w:rsid w:val="00372E24"/>
    <w:rsid w:val="003739F1"/>
    <w:rsid w:val="00375084"/>
    <w:rsid w:val="003757A2"/>
    <w:rsid w:val="003758BB"/>
    <w:rsid w:val="003776F6"/>
    <w:rsid w:val="003779F0"/>
    <w:rsid w:val="00377EBE"/>
    <w:rsid w:val="003800EF"/>
    <w:rsid w:val="00380A55"/>
    <w:rsid w:val="00382614"/>
    <w:rsid w:val="00382640"/>
    <w:rsid w:val="0038335F"/>
    <w:rsid w:val="00383D8B"/>
    <w:rsid w:val="00384B21"/>
    <w:rsid w:val="00385819"/>
    <w:rsid w:val="00385DD3"/>
    <w:rsid w:val="00386E83"/>
    <w:rsid w:val="00387069"/>
    <w:rsid w:val="003876EB"/>
    <w:rsid w:val="003877AF"/>
    <w:rsid w:val="00387F5A"/>
    <w:rsid w:val="00390998"/>
    <w:rsid w:val="00390C45"/>
    <w:rsid w:val="00390E38"/>
    <w:rsid w:val="0039102F"/>
    <w:rsid w:val="003928D6"/>
    <w:rsid w:val="00393870"/>
    <w:rsid w:val="00394490"/>
    <w:rsid w:val="0039527F"/>
    <w:rsid w:val="00396468"/>
    <w:rsid w:val="003979EB"/>
    <w:rsid w:val="00397CD6"/>
    <w:rsid w:val="00397F5D"/>
    <w:rsid w:val="00397FF5"/>
    <w:rsid w:val="003A064B"/>
    <w:rsid w:val="003A094A"/>
    <w:rsid w:val="003A16D9"/>
    <w:rsid w:val="003A249E"/>
    <w:rsid w:val="003A3162"/>
    <w:rsid w:val="003A4CE4"/>
    <w:rsid w:val="003A4F61"/>
    <w:rsid w:val="003A5D4B"/>
    <w:rsid w:val="003A6608"/>
    <w:rsid w:val="003A6A9C"/>
    <w:rsid w:val="003B07EE"/>
    <w:rsid w:val="003B08AA"/>
    <w:rsid w:val="003B184D"/>
    <w:rsid w:val="003B1E15"/>
    <w:rsid w:val="003B2124"/>
    <w:rsid w:val="003B2414"/>
    <w:rsid w:val="003B290F"/>
    <w:rsid w:val="003B2B05"/>
    <w:rsid w:val="003B2BC9"/>
    <w:rsid w:val="003B373B"/>
    <w:rsid w:val="003B4AAE"/>
    <w:rsid w:val="003B4E39"/>
    <w:rsid w:val="003B5315"/>
    <w:rsid w:val="003B5413"/>
    <w:rsid w:val="003B5D35"/>
    <w:rsid w:val="003B68A1"/>
    <w:rsid w:val="003B68BE"/>
    <w:rsid w:val="003B7C56"/>
    <w:rsid w:val="003C05B5"/>
    <w:rsid w:val="003C13DE"/>
    <w:rsid w:val="003C2820"/>
    <w:rsid w:val="003C2ABF"/>
    <w:rsid w:val="003C3306"/>
    <w:rsid w:val="003C3AF8"/>
    <w:rsid w:val="003C3D36"/>
    <w:rsid w:val="003C4529"/>
    <w:rsid w:val="003C5082"/>
    <w:rsid w:val="003C5423"/>
    <w:rsid w:val="003C5791"/>
    <w:rsid w:val="003C5D36"/>
    <w:rsid w:val="003C5DC7"/>
    <w:rsid w:val="003C6D13"/>
    <w:rsid w:val="003C712E"/>
    <w:rsid w:val="003C743E"/>
    <w:rsid w:val="003C75F9"/>
    <w:rsid w:val="003C781F"/>
    <w:rsid w:val="003C7AEB"/>
    <w:rsid w:val="003C7E96"/>
    <w:rsid w:val="003D04A1"/>
    <w:rsid w:val="003D0767"/>
    <w:rsid w:val="003D1EEC"/>
    <w:rsid w:val="003D22CC"/>
    <w:rsid w:val="003D2913"/>
    <w:rsid w:val="003D3A62"/>
    <w:rsid w:val="003D3D5E"/>
    <w:rsid w:val="003D40F8"/>
    <w:rsid w:val="003D427F"/>
    <w:rsid w:val="003D4593"/>
    <w:rsid w:val="003D603F"/>
    <w:rsid w:val="003D6B27"/>
    <w:rsid w:val="003D71FB"/>
    <w:rsid w:val="003D7475"/>
    <w:rsid w:val="003E027C"/>
    <w:rsid w:val="003E0666"/>
    <w:rsid w:val="003E0FF9"/>
    <w:rsid w:val="003E1159"/>
    <w:rsid w:val="003E2211"/>
    <w:rsid w:val="003E25AB"/>
    <w:rsid w:val="003E26EC"/>
    <w:rsid w:val="003E2AB0"/>
    <w:rsid w:val="003E3803"/>
    <w:rsid w:val="003E4652"/>
    <w:rsid w:val="003E4C17"/>
    <w:rsid w:val="003E4F7F"/>
    <w:rsid w:val="003E5211"/>
    <w:rsid w:val="003E54EA"/>
    <w:rsid w:val="003E56B0"/>
    <w:rsid w:val="003E6E0F"/>
    <w:rsid w:val="003E78B9"/>
    <w:rsid w:val="003F03C5"/>
    <w:rsid w:val="003F2795"/>
    <w:rsid w:val="003F299F"/>
    <w:rsid w:val="003F2B65"/>
    <w:rsid w:val="003F3982"/>
    <w:rsid w:val="003F467E"/>
    <w:rsid w:val="003F46A2"/>
    <w:rsid w:val="003F4725"/>
    <w:rsid w:val="003F54B9"/>
    <w:rsid w:val="003F5E1A"/>
    <w:rsid w:val="003F5E90"/>
    <w:rsid w:val="003F61BB"/>
    <w:rsid w:val="003F62AB"/>
    <w:rsid w:val="003F68C3"/>
    <w:rsid w:val="003F6C6D"/>
    <w:rsid w:val="003F6E1D"/>
    <w:rsid w:val="003F784C"/>
    <w:rsid w:val="003F7EA5"/>
    <w:rsid w:val="00401118"/>
    <w:rsid w:val="0040246A"/>
    <w:rsid w:val="00402C22"/>
    <w:rsid w:val="0040325A"/>
    <w:rsid w:val="004032E0"/>
    <w:rsid w:val="00403319"/>
    <w:rsid w:val="0040427E"/>
    <w:rsid w:val="004054B1"/>
    <w:rsid w:val="00406286"/>
    <w:rsid w:val="004062AB"/>
    <w:rsid w:val="0040656F"/>
    <w:rsid w:val="00407FD4"/>
    <w:rsid w:val="0041156A"/>
    <w:rsid w:val="00411D14"/>
    <w:rsid w:val="00411D20"/>
    <w:rsid w:val="0041297B"/>
    <w:rsid w:val="00413187"/>
    <w:rsid w:val="00414163"/>
    <w:rsid w:val="004144A2"/>
    <w:rsid w:val="004148CB"/>
    <w:rsid w:val="0041544B"/>
    <w:rsid w:val="004164AF"/>
    <w:rsid w:val="004165F2"/>
    <w:rsid w:val="004166BE"/>
    <w:rsid w:val="004170FD"/>
    <w:rsid w:val="00417611"/>
    <w:rsid w:val="00417D05"/>
    <w:rsid w:val="00417DAC"/>
    <w:rsid w:val="00421F71"/>
    <w:rsid w:val="00422B4B"/>
    <w:rsid w:val="00422B72"/>
    <w:rsid w:val="00422C33"/>
    <w:rsid w:val="00422C6C"/>
    <w:rsid w:val="0042328C"/>
    <w:rsid w:val="00423C6F"/>
    <w:rsid w:val="004244D2"/>
    <w:rsid w:val="00424C81"/>
    <w:rsid w:val="00424D9B"/>
    <w:rsid w:val="00425FEA"/>
    <w:rsid w:val="00427E94"/>
    <w:rsid w:val="0043020B"/>
    <w:rsid w:val="00430358"/>
    <w:rsid w:val="00430BDE"/>
    <w:rsid w:val="004311A8"/>
    <w:rsid w:val="0043122E"/>
    <w:rsid w:val="0043270A"/>
    <w:rsid w:val="00432804"/>
    <w:rsid w:val="00432B1D"/>
    <w:rsid w:val="00433242"/>
    <w:rsid w:val="004335EF"/>
    <w:rsid w:val="00433AAC"/>
    <w:rsid w:val="00433E87"/>
    <w:rsid w:val="00434347"/>
    <w:rsid w:val="00436269"/>
    <w:rsid w:val="004407B9"/>
    <w:rsid w:val="00441102"/>
    <w:rsid w:val="004418C8"/>
    <w:rsid w:val="0044209C"/>
    <w:rsid w:val="004422B1"/>
    <w:rsid w:val="00442895"/>
    <w:rsid w:val="00442A3B"/>
    <w:rsid w:val="00442B0C"/>
    <w:rsid w:val="0044411B"/>
    <w:rsid w:val="0044435B"/>
    <w:rsid w:val="00444E0C"/>
    <w:rsid w:val="00444F49"/>
    <w:rsid w:val="00445112"/>
    <w:rsid w:val="0044582E"/>
    <w:rsid w:val="00446A8E"/>
    <w:rsid w:val="00450B48"/>
    <w:rsid w:val="00450E04"/>
    <w:rsid w:val="004511EE"/>
    <w:rsid w:val="00451F91"/>
    <w:rsid w:val="00452012"/>
    <w:rsid w:val="0045211C"/>
    <w:rsid w:val="004522C7"/>
    <w:rsid w:val="00453872"/>
    <w:rsid w:val="00453967"/>
    <w:rsid w:val="00454294"/>
    <w:rsid w:val="00454E1F"/>
    <w:rsid w:val="00455986"/>
    <w:rsid w:val="00455AC1"/>
    <w:rsid w:val="00456A69"/>
    <w:rsid w:val="00457DCC"/>
    <w:rsid w:val="004601F8"/>
    <w:rsid w:val="00460228"/>
    <w:rsid w:val="00460299"/>
    <w:rsid w:val="00460465"/>
    <w:rsid w:val="004607FF"/>
    <w:rsid w:val="00460D5B"/>
    <w:rsid w:val="00461600"/>
    <w:rsid w:val="004617EF"/>
    <w:rsid w:val="00462051"/>
    <w:rsid w:val="00462DA2"/>
    <w:rsid w:val="0046302F"/>
    <w:rsid w:val="004645EC"/>
    <w:rsid w:val="0046495C"/>
    <w:rsid w:val="0046529D"/>
    <w:rsid w:val="00465BDE"/>
    <w:rsid w:val="004663B9"/>
    <w:rsid w:val="004664DB"/>
    <w:rsid w:val="00467349"/>
    <w:rsid w:val="004679FD"/>
    <w:rsid w:val="00471BD1"/>
    <w:rsid w:val="0047216A"/>
    <w:rsid w:val="00473723"/>
    <w:rsid w:val="00474519"/>
    <w:rsid w:val="0047456C"/>
    <w:rsid w:val="0047530D"/>
    <w:rsid w:val="00475412"/>
    <w:rsid w:val="0047550F"/>
    <w:rsid w:val="00475847"/>
    <w:rsid w:val="00476A40"/>
    <w:rsid w:val="00476EA1"/>
    <w:rsid w:val="00476EE7"/>
    <w:rsid w:val="00477065"/>
    <w:rsid w:val="00477116"/>
    <w:rsid w:val="00477254"/>
    <w:rsid w:val="004773E6"/>
    <w:rsid w:val="00477DFE"/>
    <w:rsid w:val="00480947"/>
    <w:rsid w:val="00480BF4"/>
    <w:rsid w:val="00480EBD"/>
    <w:rsid w:val="00481967"/>
    <w:rsid w:val="00482AC8"/>
    <w:rsid w:val="00483D10"/>
    <w:rsid w:val="00484C72"/>
    <w:rsid w:val="00487081"/>
    <w:rsid w:val="004877B3"/>
    <w:rsid w:val="00487C10"/>
    <w:rsid w:val="00490F54"/>
    <w:rsid w:val="004916AC"/>
    <w:rsid w:val="00491D19"/>
    <w:rsid w:val="004926E6"/>
    <w:rsid w:val="00492830"/>
    <w:rsid w:val="00492DF8"/>
    <w:rsid w:val="004931E4"/>
    <w:rsid w:val="00493596"/>
    <w:rsid w:val="004943D6"/>
    <w:rsid w:val="004945E9"/>
    <w:rsid w:val="00494A71"/>
    <w:rsid w:val="00494D58"/>
    <w:rsid w:val="00495275"/>
    <w:rsid w:val="00495D35"/>
    <w:rsid w:val="004966FB"/>
    <w:rsid w:val="00497D9D"/>
    <w:rsid w:val="00497E47"/>
    <w:rsid w:val="004A0224"/>
    <w:rsid w:val="004A0532"/>
    <w:rsid w:val="004A0730"/>
    <w:rsid w:val="004A0C13"/>
    <w:rsid w:val="004A185E"/>
    <w:rsid w:val="004A1C4D"/>
    <w:rsid w:val="004A295A"/>
    <w:rsid w:val="004A32E8"/>
    <w:rsid w:val="004A400B"/>
    <w:rsid w:val="004A4561"/>
    <w:rsid w:val="004A4635"/>
    <w:rsid w:val="004A593A"/>
    <w:rsid w:val="004A724A"/>
    <w:rsid w:val="004A741E"/>
    <w:rsid w:val="004A757A"/>
    <w:rsid w:val="004B0217"/>
    <w:rsid w:val="004B0430"/>
    <w:rsid w:val="004B0590"/>
    <w:rsid w:val="004B1000"/>
    <w:rsid w:val="004B2BEA"/>
    <w:rsid w:val="004B367F"/>
    <w:rsid w:val="004B3777"/>
    <w:rsid w:val="004B3B41"/>
    <w:rsid w:val="004B4A18"/>
    <w:rsid w:val="004B4AA0"/>
    <w:rsid w:val="004B500A"/>
    <w:rsid w:val="004B522C"/>
    <w:rsid w:val="004B5BDD"/>
    <w:rsid w:val="004B5CA9"/>
    <w:rsid w:val="004B5CF7"/>
    <w:rsid w:val="004B7069"/>
    <w:rsid w:val="004B74B8"/>
    <w:rsid w:val="004B7CB3"/>
    <w:rsid w:val="004C0231"/>
    <w:rsid w:val="004C0937"/>
    <w:rsid w:val="004C0A76"/>
    <w:rsid w:val="004C0AE0"/>
    <w:rsid w:val="004C2BA0"/>
    <w:rsid w:val="004C3D94"/>
    <w:rsid w:val="004C40A9"/>
    <w:rsid w:val="004C44BB"/>
    <w:rsid w:val="004C4BA4"/>
    <w:rsid w:val="004C575F"/>
    <w:rsid w:val="004C65A2"/>
    <w:rsid w:val="004C6735"/>
    <w:rsid w:val="004C6A91"/>
    <w:rsid w:val="004C7652"/>
    <w:rsid w:val="004D0EF5"/>
    <w:rsid w:val="004D0F7D"/>
    <w:rsid w:val="004D2FA4"/>
    <w:rsid w:val="004D3E53"/>
    <w:rsid w:val="004D418D"/>
    <w:rsid w:val="004D5077"/>
    <w:rsid w:val="004D5E2C"/>
    <w:rsid w:val="004D601A"/>
    <w:rsid w:val="004D66A8"/>
    <w:rsid w:val="004D69E6"/>
    <w:rsid w:val="004D6AF6"/>
    <w:rsid w:val="004D6D5B"/>
    <w:rsid w:val="004D7981"/>
    <w:rsid w:val="004D7C92"/>
    <w:rsid w:val="004D7EEC"/>
    <w:rsid w:val="004D7F01"/>
    <w:rsid w:val="004E02CB"/>
    <w:rsid w:val="004E06B5"/>
    <w:rsid w:val="004E0863"/>
    <w:rsid w:val="004E1EFD"/>
    <w:rsid w:val="004E2094"/>
    <w:rsid w:val="004E237C"/>
    <w:rsid w:val="004E2459"/>
    <w:rsid w:val="004E27F6"/>
    <w:rsid w:val="004E2A59"/>
    <w:rsid w:val="004E3265"/>
    <w:rsid w:val="004E402D"/>
    <w:rsid w:val="004E4ACC"/>
    <w:rsid w:val="004E54BD"/>
    <w:rsid w:val="004E6C1B"/>
    <w:rsid w:val="004F02E1"/>
    <w:rsid w:val="004F09E0"/>
    <w:rsid w:val="004F0CAF"/>
    <w:rsid w:val="004F25F5"/>
    <w:rsid w:val="004F28D8"/>
    <w:rsid w:val="004F38C5"/>
    <w:rsid w:val="004F440A"/>
    <w:rsid w:val="004F4808"/>
    <w:rsid w:val="004F48CE"/>
    <w:rsid w:val="004F5E56"/>
    <w:rsid w:val="004F611C"/>
    <w:rsid w:val="004F6199"/>
    <w:rsid w:val="004F634A"/>
    <w:rsid w:val="004F711A"/>
    <w:rsid w:val="004F7F02"/>
    <w:rsid w:val="0050057C"/>
    <w:rsid w:val="00500EE6"/>
    <w:rsid w:val="005012B4"/>
    <w:rsid w:val="005021FD"/>
    <w:rsid w:val="00502B26"/>
    <w:rsid w:val="005030E4"/>
    <w:rsid w:val="005033D8"/>
    <w:rsid w:val="005039E7"/>
    <w:rsid w:val="00503CED"/>
    <w:rsid w:val="00504C70"/>
    <w:rsid w:val="00507271"/>
    <w:rsid w:val="00510473"/>
    <w:rsid w:val="00510650"/>
    <w:rsid w:val="00511D51"/>
    <w:rsid w:val="00512413"/>
    <w:rsid w:val="00512777"/>
    <w:rsid w:val="00512E09"/>
    <w:rsid w:val="005132D1"/>
    <w:rsid w:val="00513307"/>
    <w:rsid w:val="0051379D"/>
    <w:rsid w:val="0051400C"/>
    <w:rsid w:val="0051427A"/>
    <w:rsid w:val="005147F4"/>
    <w:rsid w:val="00514882"/>
    <w:rsid w:val="005148FC"/>
    <w:rsid w:val="0051598E"/>
    <w:rsid w:val="0051606C"/>
    <w:rsid w:val="00516584"/>
    <w:rsid w:val="0051674D"/>
    <w:rsid w:val="00516A27"/>
    <w:rsid w:val="00516BA1"/>
    <w:rsid w:val="00516DCC"/>
    <w:rsid w:val="005171E1"/>
    <w:rsid w:val="0051721D"/>
    <w:rsid w:val="00517459"/>
    <w:rsid w:val="00517828"/>
    <w:rsid w:val="00517944"/>
    <w:rsid w:val="0052118C"/>
    <w:rsid w:val="005226C7"/>
    <w:rsid w:val="00522A37"/>
    <w:rsid w:val="00522B9C"/>
    <w:rsid w:val="00522C27"/>
    <w:rsid w:val="005230D8"/>
    <w:rsid w:val="00523194"/>
    <w:rsid w:val="00523431"/>
    <w:rsid w:val="00524046"/>
    <w:rsid w:val="00524187"/>
    <w:rsid w:val="00524817"/>
    <w:rsid w:val="005254D4"/>
    <w:rsid w:val="00525F83"/>
    <w:rsid w:val="005275D3"/>
    <w:rsid w:val="00527751"/>
    <w:rsid w:val="00527FB7"/>
    <w:rsid w:val="005308C1"/>
    <w:rsid w:val="00530E00"/>
    <w:rsid w:val="005329F4"/>
    <w:rsid w:val="00533758"/>
    <w:rsid w:val="00533E8D"/>
    <w:rsid w:val="005341CD"/>
    <w:rsid w:val="00534FF1"/>
    <w:rsid w:val="0053548F"/>
    <w:rsid w:val="00535983"/>
    <w:rsid w:val="00535BB4"/>
    <w:rsid w:val="00535F24"/>
    <w:rsid w:val="00536B7F"/>
    <w:rsid w:val="00536EB7"/>
    <w:rsid w:val="00537029"/>
    <w:rsid w:val="00540412"/>
    <w:rsid w:val="00541C75"/>
    <w:rsid w:val="005421B6"/>
    <w:rsid w:val="00542426"/>
    <w:rsid w:val="00542538"/>
    <w:rsid w:val="00543725"/>
    <w:rsid w:val="00544B05"/>
    <w:rsid w:val="00544D9C"/>
    <w:rsid w:val="00544F6B"/>
    <w:rsid w:val="005456DE"/>
    <w:rsid w:val="00545A70"/>
    <w:rsid w:val="00546186"/>
    <w:rsid w:val="005471B5"/>
    <w:rsid w:val="005475E8"/>
    <w:rsid w:val="00547D84"/>
    <w:rsid w:val="00550040"/>
    <w:rsid w:val="005502B4"/>
    <w:rsid w:val="0055068B"/>
    <w:rsid w:val="00550870"/>
    <w:rsid w:val="00550A43"/>
    <w:rsid w:val="00550ACF"/>
    <w:rsid w:val="00550FF7"/>
    <w:rsid w:val="00551577"/>
    <w:rsid w:val="00551DFF"/>
    <w:rsid w:val="00553BAC"/>
    <w:rsid w:val="00553CA5"/>
    <w:rsid w:val="00553E4F"/>
    <w:rsid w:val="0055491F"/>
    <w:rsid w:val="00554FA2"/>
    <w:rsid w:val="00555165"/>
    <w:rsid w:val="005553F9"/>
    <w:rsid w:val="0055584F"/>
    <w:rsid w:val="00555C52"/>
    <w:rsid w:val="00556314"/>
    <w:rsid w:val="00556559"/>
    <w:rsid w:val="00556905"/>
    <w:rsid w:val="00557580"/>
    <w:rsid w:val="0055794F"/>
    <w:rsid w:val="0056105F"/>
    <w:rsid w:val="0056109C"/>
    <w:rsid w:val="00561FC4"/>
    <w:rsid w:val="005631F1"/>
    <w:rsid w:val="0056348B"/>
    <w:rsid w:val="00563A2A"/>
    <w:rsid w:val="00563AF2"/>
    <w:rsid w:val="00565B7B"/>
    <w:rsid w:val="00565EF0"/>
    <w:rsid w:val="00566042"/>
    <w:rsid w:val="0056606A"/>
    <w:rsid w:val="00566339"/>
    <w:rsid w:val="00566BAF"/>
    <w:rsid w:val="0056704C"/>
    <w:rsid w:val="00567441"/>
    <w:rsid w:val="00571F18"/>
    <w:rsid w:val="0057316F"/>
    <w:rsid w:val="00573C5F"/>
    <w:rsid w:val="00574CD8"/>
    <w:rsid w:val="0057523C"/>
    <w:rsid w:val="0057544F"/>
    <w:rsid w:val="00576288"/>
    <w:rsid w:val="00576958"/>
    <w:rsid w:val="00576F1F"/>
    <w:rsid w:val="005775C9"/>
    <w:rsid w:val="00577904"/>
    <w:rsid w:val="00577CFB"/>
    <w:rsid w:val="005807B0"/>
    <w:rsid w:val="00580ABF"/>
    <w:rsid w:val="0058102D"/>
    <w:rsid w:val="0058163A"/>
    <w:rsid w:val="00581C1C"/>
    <w:rsid w:val="0058223D"/>
    <w:rsid w:val="0058245D"/>
    <w:rsid w:val="005828D8"/>
    <w:rsid w:val="00582B3E"/>
    <w:rsid w:val="0058347E"/>
    <w:rsid w:val="00583831"/>
    <w:rsid w:val="00583999"/>
    <w:rsid w:val="00584081"/>
    <w:rsid w:val="00584167"/>
    <w:rsid w:val="005849BB"/>
    <w:rsid w:val="005849FD"/>
    <w:rsid w:val="005850B9"/>
    <w:rsid w:val="00587569"/>
    <w:rsid w:val="00587861"/>
    <w:rsid w:val="0058788D"/>
    <w:rsid w:val="00590104"/>
    <w:rsid w:val="00591CEB"/>
    <w:rsid w:val="00592E60"/>
    <w:rsid w:val="00593454"/>
    <w:rsid w:val="00593A70"/>
    <w:rsid w:val="00593E84"/>
    <w:rsid w:val="00594480"/>
    <w:rsid w:val="005944C0"/>
    <w:rsid w:val="005944F6"/>
    <w:rsid w:val="005949B6"/>
    <w:rsid w:val="00595B4E"/>
    <w:rsid w:val="00596210"/>
    <w:rsid w:val="00596E1A"/>
    <w:rsid w:val="00597201"/>
    <w:rsid w:val="0059747F"/>
    <w:rsid w:val="00597624"/>
    <w:rsid w:val="005A008E"/>
    <w:rsid w:val="005A0097"/>
    <w:rsid w:val="005A0860"/>
    <w:rsid w:val="005A0E74"/>
    <w:rsid w:val="005A14DF"/>
    <w:rsid w:val="005A2046"/>
    <w:rsid w:val="005A23A0"/>
    <w:rsid w:val="005A2AD7"/>
    <w:rsid w:val="005A32F7"/>
    <w:rsid w:val="005A395B"/>
    <w:rsid w:val="005A41FB"/>
    <w:rsid w:val="005A4B3A"/>
    <w:rsid w:val="005A4B43"/>
    <w:rsid w:val="005A514B"/>
    <w:rsid w:val="005A5984"/>
    <w:rsid w:val="005A598E"/>
    <w:rsid w:val="005A669C"/>
    <w:rsid w:val="005A6936"/>
    <w:rsid w:val="005A6968"/>
    <w:rsid w:val="005A78BE"/>
    <w:rsid w:val="005B0BD9"/>
    <w:rsid w:val="005B34A1"/>
    <w:rsid w:val="005B3C7A"/>
    <w:rsid w:val="005B421D"/>
    <w:rsid w:val="005B43E9"/>
    <w:rsid w:val="005B4469"/>
    <w:rsid w:val="005B4B57"/>
    <w:rsid w:val="005B4DC3"/>
    <w:rsid w:val="005B5EFB"/>
    <w:rsid w:val="005B7047"/>
    <w:rsid w:val="005B7C2D"/>
    <w:rsid w:val="005C1F53"/>
    <w:rsid w:val="005C215F"/>
    <w:rsid w:val="005C2712"/>
    <w:rsid w:val="005C3D3C"/>
    <w:rsid w:val="005C3D4E"/>
    <w:rsid w:val="005C4C85"/>
    <w:rsid w:val="005C5FF2"/>
    <w:rsid w:val="005C6976"/>
    <w:rsid w:val="005C781F"/>
    <w:rsid w:val="005C7CE7"/>
    <w:rsid w:val="005D03D4"/>
    <w:rsid w:val="005D1D62"/>
    <w:rsid w:val="005D3A00"/>
    <w:rsid w:val="005D4BDF"/>
    <w:rsid w:val="005D4D44"/>
    <w:rsid w:val="005D4D56"/>
    <w:rsid w:val="005D5D09"/>
    <w:rsid w:val="005D65CB"/>
    <w:rsid w:val="005D65EB"/>
    <w:rsid w:val="005D6654"/>
    <w:rsid w:val="005D67EF"/>
    <w:rsid w:val="005D7111"/>
    <w:rsid w:val="005D7478"/>
    <w:rsid w:val="005E0ADF"/>
    <w:rsid w:val="005E0CAF"/>
    <w:rsid w:val="005E1882"/>
    <w:rsid w:val="005E1C5C"/>
    <w:rsid w:val="005E2913"/>
    <w:rsid w:val="005E3135"/>
    <w:rsid w:val="005E33C6"/>
    <w:rsid w:val="005E4089"/>
    <w:rsid w:val="005E41C4"/>
    <w:rsid w:val="005E446D"/>
    <w:rsid w:val="005E44BD"/>
    <w:rsid w:val="005E4621"/>
    <w:rsid w:val="005E49D2"/>
    <w:rsid w:val="005E4C42"/>
    <w:rsid w:val="005E7A39"/>
    <w:rsid w:val="005F1608"/>
    <w:rsid w:val="005F16D4"/>
    <w:rsid w:val="005F2CE7"/>
    <w:rsid w:val="005F2E78"/>
    <w:rsid w:val="005F3AD8"/>
    <w:rsid w:val="005F3CDF"/>
    <w:rsid w:val="005F45DF"/>
    <w:rsid w:val="005F4E6F"/>
    <w:rsid w:val="005F50BF"/>
    <w:rsid w:val="005F5C2D"/>
    <w:rsid w:val="005F6C48"/>
    <w:rsid w:val="005F6FE9"/>
    <w:rsid w:val="005F7436"/>
    <w:rsid w:val="00600069"/>
    <w:rsid w:val="00600720"/>
    <w:rsid w:val="00600CD5"/>
    <w:rsid w:val="006017E4"/>
    <w:rsid w:val="00601D45"/>
    <w:rsid w:val="0060209D"/>
    <w:rsid w:val="006027FD"/>
    <w:rsid w:val="00602AF3"/>
    <w:rsid w:val="006042C5"/>
    <w:rsid w:val="0060431F"/>
    <w:rsid w:val="00604431"/>
    <w:rsid w:val="00604604"/>
    <w:rsid w:val="00604663"/>
    <w:rsid w:val="00604669"/>
    <w:rsid w:val="006049FC"/>
    <w:rsid w:val="00605D02"/>
    <w:rsid w:val="00606021"/>
    <w:rsid w:val="006062F0"/>
    <w:rsid w:val="00606923"/>
    <w:rsid w:val="00606CB3"/>
    <w:rsid w:val="00606E4F"/>
    <w:rsid w:val="00607CE1"/>
    <w:rsid w:val="00610FD8"/>
    <w:rsid w:val="00611940"/>
    <w:rsid w:val="00611EBA"/>
    <w:rsid w:val="00612C83"/>
    <w:rsid w:val="00612DC4"/>
    <w:rsid w:val="0061348D"/>
    <w:rsid w:val="006152BF"/>
    <w:rsid w:val="00615453"/>
    <w:rsid w:val="00615B4A"/>
    <w:rsid w:val="00615D9E"/>
    <w:rsid w:val="00616B68"/>
    <w:rsid w:val="00616D47"/>
    <w:rsid w:val="0062096E"/>
    <w:rsid w:val="006218A8"/>
    <w:rsid w:val="00621ED5"/>
    <w:rsid w:val="0062274B"/>
    <w:rsid w:val="0062283E"/>
    <w:rsid w:val="00622911"/>
    <w:rsid w:val="00622C2B"/>
    <w:rsid w:val="00622E14"/>
    <w:rsid w:val="00622E9B"/>
    <w:rsid w:val="00623214"/>
    <w:rsid w:val="006232C5"/>
    <w:rsid w:val="00625992"/>
    <w:rsid w:val="006259F9"/>
    <w:rsid w:val="00626AB8"/>
    <w:rsid w:val="00626C9B"/>
    <w:rsid w:val="00626D05"/>
    <w:rsid w:val="00626EDC"/>
    <w:rsid w:val="00627426"/>
    <w:rsid w:val="00627B7E"/>
    <w:rsid w:val="00627F6C"/>
    <w:rsid w:val="0063020E"/>
    <w:rsid w:val="006306E8"/>
    <w:rsid w:val="006315C5"/>
    <w:rsid w:val="0063239D"/>
    <w:rsid w:val="0063255C"/>
    <w:rsid w:val="006355DA"/>
    <w:rsid w:val="006374DF"/>
    <w:rsid w:val="00637DD2"/>
    <w:rsid w:val="00640544"/>
    <w:rsid w:val="00640CC7"/>
    <w:rsid w:val="00641898"/>
    <w:rsid w:val="00641923"/>
    <w:rsid w:val="00641D19"/>
    <w:rsid w:val="006421B5"/>
    <w:rsid w:val="0064261C"/>
    <w:rsid w:val="00643196"/>
    <w:rsid w:val="0064381E"/>
    <w:rsid w:val="00644162"/>
    <w:rsid w:val="00644DF3"/>
    <w:rsid w:val="00645856"/>
    <w:rsid w:val="006460BC"/>
    <w:rsid w:val="006468C8"/>
    <w:rsid w:val="00646A80"/>
    <w:rsid w:val="00646B29"/>
    <w:rsid w:val="00646E51"/>
    <w:rsid w:val="00646F35"/>
    <w:rsid w:val="006471CB"/>
    <w:rsid w:val="00647997"/>
    <w:rsid w:val="006479EF"/>
    <w:rsid w:val="00647D7E"/>
    <w:rsid w:val="006520D8"/>
    <w:rsid w:val="0065281A"/>
    <w:rsid w:val="0065377C"/>
    <w:rsid w:val="00654305"/>
    <w:rsid w:val="006545CD"/>
    <w:rsid w:val="00654926"/>
    <w:rsid w:val="006550BD"/>
    <w:rsid w:val="00655197"/>
    <w:rsid w:val="006552A8"/>
    <w:rsid w:val="00656CF5"/>
    <w:rsid w:val="00657529"/>
    <w:rsid w:val="00657926"/>
    <w:rsid w:val="006601FD"/>
    <w:rsid w:val="00660E96"/>
    <w:rsid w:val="006612E9"/>
    <w:rsid w:val="006615FF"/>
    <w:rsid w:val="00661601"/>
    <w:rsid w:val="00662775"/>
    <w:rsid w:val="00662842"/>
    <w:rsid w:val="00662B4A"/>
    <w:rsid w:val="00662BB4"/>
    <w:rsid w:val="00663929"/>
    <w:rsid w:val="00663A8A"/>
    <w:rsid w:val="00663E9D"/>
    <w:rsid w:val="00663EB6"/>
    <w:rsid w:val="0066405A"/>
    <w:rsid w:val="006641FB"/>
    <w:rsid w:val="006644F0"/>
    <w:rsid w:val="0066466F"/>
    <w:rsid w:val="006648D1"/>
    <w:rsid w:val="00664B68"/>
    <w:rsid w:val="00664E1C"/>
    <w:rsid w:val="006654B5"/>
    <w:rsid w:val="0066692C"/>
    <w:rsid w:val="0066696F"/>
    <w:rsid w:val="00666C46"/>
    <w:rsid w:val="00666D32"/>
    <w:rsid w:val="00666FE6"/>
    <w:rsid w:val="00670524"/>
    <w:rsid w:val="00670CD0"/>
    <w:rsid w:val="00670DCA"/>
    <w:rsid w:val="00670E50"/>
    <w:rsid w:val="00670F1C"/>
    <w:rsid w:val="00671086"/>
    <w:rsid w:val="00671A47"/>
    <w:rsid w:val="00671CDF"/>
    <w:rsid w:val="00672118"/>
    <w:rsid w:val="0067227E"/>
    <w:rsid w:val="00672B49"/>
    <w:rsid w:val="00672EA6"/>
    <w:rsid w:val="006732FF"/>
    <w:rsid w:val="00674351"/>
    <w:rsid w:val="0067445C"/>
    <w:rsid w:val="00674C29"/>
    <w:rsid w:val="006750D1"/>
    <w:rsid w:val="00675109"/>
    <w:rsid w:val="00675198"/>
    <w:rsid w:val="006754FB"/>
    <w:rsid w:val="006756F4"/>
    <w:rsid w:val="00676287"/>
    <w:rsid w:val="006764AC"/>
    <w:rsid w:val="006767C9"/>
    <w:rsid w:val="00677324"/>
    <w:rsid w:val="006802DC"/>
    <w:rsid w:val="00681ACB"/>
    <w:rsid w:val="00682320"/>
    <w:rsid w:val="00683073"/>
    <w:rsid w:val="006833ED"/>
    <w:rsid w:val="006834A3"/>
    <w:rsid w:val="00683BBC"/>
    <w:rsid w:val="00684491"/>
    <w:rsid w:val="006853E7"/>
    <w:rsid w:val="006855D4"/>
    <w:rsid w:val="00685C13"/>
    <w:rsid w:val="00686672"/>
    <w:rsid w:val="00686AC2"/>
    <w:rsid w:val="0068735A"/>
    <w:rsid w:val="00687BB4"/>
    <w:rsid w:val="00687D89"/>
    <w:rsid w:val="00690209"/>
    <w:rsid w:val="006909E5"/>
    <w:rsid w:val="00691AFF"/>
    <w:rsid w:val="00691BDD"/>
    <w:rsid w:val="00693183"/>
    <w:rsid w:val="00693923"/>
    <w:rsid w:val="0069480F"/>
    <w:rsid w:val="00694CD6"/>
    <w:rsid w:val="00695D0F"/>
    <w:rsid w:val="00696396"/>
    <w:rsid w:val="00696DC3"/>
    <w:rsid w:val="00697BA1"/>
    <w:rsid w:val="00697D3E"/>
    <w:rsid w:val="00697FA7"/>
    <w:rsid w:val="006A0184"/>
    <w:rsid w:val="006A01BC"/>
    <w:rsid w:val="006A09BC"/>
    <w:rsid w:val="006A117B"/>
    <w:rsid w:val="006A12B8"/>
    <w:rsid w:val="006A21D3"/>
    <w:rsid w:val="006A2371"/>
    <w:rsid w:val="006A2C39"/>
    <w:rsid w:val="006A2D21"/>
    <w:rsid w:val="006A2E18"/>
    <w:rsid w:val="006A37B3"/>
    <w:rsid w:val="006A37F4"/>
    <w:rsid w:val="006A3D65"/>
    <w:rsid w:val="006A59EF"/>
    <w:rsid w:val="006A5B99"/>
    <w:rsid w:val="006A63BF"/>
    <w:rsid w:val="006A63E5"/>
    <w:rsid w:val="006A6518"/>
    <w:rsid w:val="006A6CDB"/>
    <w:rsid w:val="006A74AE"/>
    <w:rsid w:val="006B120B"/>
    <w:rsid w:val="006B197B"/>
    <w:rsid w:val="006B2282"/>
    <w:rsid w:val="006B383F"/>
    <w:rsid w:val="006B38CF"/>
    <w:rsid w:val="006B3FA1"/>
    <w:rsid w:val="006B50B3"/>
    <w:rsid w:val="006B530A"/>
    <w:rsid w:val="006B5852"/>
    <w:rsid w:val="006B5940"/>
    <w:rsid w:val="006B6029"/>
    <w:rsid w:val="006B685D"/>
    <w:rsid w:val="006B69B1"/>
    <w:rsid w:val="006B6DC4"/>
    <w:rsid w:val="006B7035"/>
    <w:rsid w:val="006B7703"/>
    <w:rsid w:val="006B79E3"/>
    <w:rsid w:val="006B7C46"/>
    <w:rsid w:val="006B7DBB"/>
    <w:rsid w:val="006B7EC6"/>
    <w:rsid w:val="006C0608"/>
    <w:rsid w:val="006C088A"/>
    <w:rsid w:val="006C20AA"/>
    <w:rsid w:val="006C2993"/>
    <w:rsid w:val="006C34D0"/>
    <w:rsid w:val="006C376A"/>
    <w:rsid w:val="006C3ADC"/>
    <w:rsid w:val="006C3DC5"/>
    <w:rsid w:val="006C3F88"/>
    <w:rsid w:val="006C41B5"/>
    <w:rsid w:val="006C58BE"/>
    <w:rsid w:val="006C699A"/>
    <w:rsid w:val="006C6D86"/>
    <w:rsid w:val="006C7233"/>
    <w:rsid w:val="006C75C4"/>
    <w:rsid w:val="006C7FCE"/>
    <w:rsid w:val="006D0325"/>
    <w:rsid w:val="006D0A1D"/>
    <w:rsid w:val="006D19B3"/>
    <w:rsid w:val="006D2ACC"/>
    <w:rsid w:val="006D2C96"/>
    <w:rsid w:val="006D3124"/>
    <w:rsid w:val="006D423D"/>
    <w:rsid w:val="006D4B5A"/>
    <w:rsid w:val="006D505C"/>
    <w:rsid w:val="006D55F4"/>
    <w:rsid w:val="006D67EC"/>
    <w:rsid w:val="006D6958"/>
    <w:rsid w:val="006D6EB3"/>
    <w:rsid w:val="006D7097"/>
    <w:rsid w:val="006D727F"/>
    <w:rsid w:val="006D73E6"/>
    <w:rsid w:val="006E04B2"/>
    <w:rsid w:val="006E085D"/>
    <w:rsid w:val="006E20E2"/>
    <w:rsid w:val="006E2B64"/>
    <w:rsid w:val="006E353A"/>
    <w:rsid w:val="006E3612"/>
    <w:rsid w:val="006E4FFD"/>
    <w:rsid w:val="006E5F9C"/>
    <w:rsid w:val="006E63DC"/>
    <w:rsid w:val="006E6A47"/>
    <w:rsid w:val="006E6F84"/>
    <w:rsid w:val="006E758E"/>
    <w:rsid w:val="006E78C8"/>
    <w:rsid w:val="006F06E0"/>
    <w:rsid w:val="006F115A"/>
    <w:rsid w:val="006F275E"/>
    <w:rsid w:val="006F294A"/>
    <w:rsid w:val="006F354F"/>
    <w:rsid w:val="006F3C2C"/>
    <w:rsid w:val="006F452D"/>
    <w:rsid w:val="006F592A"/>
    <w:rsid w:val="006F7367"/>
    <w:rsid w:val="007001B8"/>
    <w:rsid w:val="00700610"/>
    <w:rsid w:val="007010A1"/>
    <w:rsid w:val="0070115B"/>
    <w:rsid w:val="00701D78"/>
    <w:rsid w:val="00702046"/>
    <w:rsid w:val="00702513"/>
    <w:rsid w:val="00702582"/>
    <w:rsid w:val="007026A5"/>
    <w:rsid w:val="0070273F"/>
    <w:rsid w:val="00702746"/>
    <w:rsid w:val="007028DE"/>
    <w:rsid w:val="0070294D"/>
    <w:rsid w:val="0070305B"/>
    <w:rsid w:val="00703198"/>
    <w:rsid w:val="00703B0D"/>
    <w:rsid w:val="00703CB4"/>
    <w:rsid w:val="00703D56"/>
    <w:rsid w:val="00704F2C"/>
    <w:rsid w:val="0070571A"/>
    <w:rsid w:val="00705FF7"/>
    <w:rsid w:val="00706B8F"/>
    <w:rsid w:val="007070CD"/>
    <w:rsid w:val="00707787"/>
    <w:rsid w:val="007107FE"/>
    <w:rsid w:val="00710B2A"/>
    <w:rsid w:val="00711BFF"/>
    <w:rsid w:val="00711C31"/>
    <w:rsid w:val="00711F71"/>
    <w:rsid w:val="0071266F"/>
    <w:rsid w:val="00713EF6"/>
    <w:rsid w:val="00715EFC"/>
    <w:rsid w:val="007167DC"/>
    <w:rsid w:val="007169D8"/>
    <w:rsid w:val="00716E56"/>
    <w:rsid w:val="00717838"/>
    <w:rsid w:val="00717DE0"/>
    <w:rsid w:val="0072119C"/>
    <w:rsid w:val="007211F4"/>
    <w:rsid w:val="00721CAA"/>
    <w:rsid w:val="0072276C"/>
    <w:rsid w:val="0072316A"/>
    <w:rsid w:val="007245E7"/>
    <w:rsid w:val="00724776"/>
    <w:rsid w:val="00724AA3"/>
    <w:rsid w:val="00724D54"/>
    <w:rsid w:val="00725053"/>
    <w:rsid w:val="0072520A"/>
    <w:rsid w:val="007258DD"/>
    <w:rsid w:val="00725D7B"/>
    <w:rsid w:val="00726402"/>
    <w:rsid w:val="0072644B"/>
    <w:rsid w:val="007267F0"/>
    <w:rsid w:val="00726AFB"/>
    <w:rsid w:val="00726C0D"/>
    <w:rsid w:val="00726FE3"/>
    <w:rsid w:val="00727994"/>
    <w:rsid w:val="00730B06"/>
    <w:rsid w:val="00730C4A"/>
    <w:rsid w:val="007314F7"/>
    <w:rsid w:val="00733595"/>
    <w:rsid w:val="0073398C"/>
    <w:rsid w:val="00733C51"/>
    <w:rsid w:val="00734AF1"/>
    <w:rsid w:val="00734F3A"/>
    <w:rsid w:val="00735105"/>
    <w:rsid w:val="007360C8"/>
    <w:rsid w:val="00736BE3"/>
    <w:rsid w:val="00736DA4"/>
    <w:rsid w:val="00737162"/>
    <w:rsid w:val="0073739E"/>
    <w:rsid w:val="007375C3"/>
    <w:rsid w:val="007377BE"/>
    <w:rsid w:val="00737F5A"/>
    <w:rsid w:val="007400DB"/>
    <w:rsid w:val="00740195"/>
    <w:rsid w:val="00740B11"/>
    <w:rsid w:val="00740BB7"/>
    <w:rsid w:val="007414B1"/>
    <w:rsid w:val="00741A6E"/>
    <w:rsid w:val="00743D07"/>
    <w:rsid w:val="00743E95"/>
    <w:rsid w:val="0074431D"/>
    <w:rsid w:val="00744D93"/>
    <w:rsid w:val="007458C6"/>
    <w:rsid w:val="00750976"/>
    <w:rsid w:val="00751B8D"/>
    <w:rsid w:val="00752006"/>
    <w:rsid w:val="00752B28"/>
    <w:rsid w:val="007546D1"/>
    <w:rsid w:val="00754990"/>
    <w:rsid w:val="00754B26"/>
    <w:rsid w:val="00754D80"/>
    <w:rsid w:val="0075547B"/>
    <w:rsid w:val="00755CB2"/>
    <w:rsid w:val="00756510"/>
    <w:rsid w:val="007565B5"/>
    <w:rsid w:val="00756B0F"/>
    <w:rsid w:val="00756DDD"/>
    <w:rsid w:val="00756F6D"/>
    <w:rsid w:val="00757196"/>
    <w:rsid w:val="007608C7"/>
    <w:rsid w:val="007610A0"/>
    <w:rsid w:val="007613A9"/>
    <w:rsid w:val="00761C80"/>
    <w:rsid w:val="00761D8F"/>
    <w:rsid w:val="00761F37"/>
    <w:rsid w:val="00762419"/>
    <w:rsid w:val="007629DF"/>
    <w:rsid w:val="00763D81"/>
    <w:rsid w:val="007641D9"/>
    <w:rsid w:val="007645AE"/>
    <w:rsid w:val="00765663"/>
    <w:rsid w:val="00765DCD"/>
    <w:rsid w:val="00766CBC"/>
    <w:rsid w:val="00767462"/>
    <w:rsid w:val="00767503"/>
    <w:rsid w:val="00767BFC"/>
    <w:rsid w:val="00767C0A"/>
    <w:rsid w:val="00770576"/>
    <w:rsid w:val="00770758"/>
    <w:rsid w:val="0077094C"/>
    <w:rsid w:val="00770D04"/>
    <w:rsid w:val="00771484"/>
    <w:rsid w:val="00772247"/>
    <w:rsid w:val="00774B37"/>
    <w:rsid w:val="00774F4F"/>
    <w:rsid w:val="00775E25"/>
    <w:rsid w:val="00775FC7"/>
    <w:rsid w:val="007764B2"/>
    <w:rsid w:val="0077699C"/>
    <w:rsid w:val="00776D7E"/>
    <w:rsid w:val="007775B0"/>
    <w:rsid w:val="00777A55"/>
    <w:rsid w:val="00780733"/>
    <w:rsid w:val="00783C34"/>
    <w:rsid w:val="00783D46"/>
    <w:rsid w:val="0078543B"/>
    <w:rsid w:val="007859B2"/>
    <w:rsid w:val="00786384"/>
    <w:rsid w:val="00786AEB"/>
    <w:rsid w:val="00786C0C"/>
    <w:rsid w:val="0078730D"/>
    <w:rsid w:val="007874E6"/>
    <w:rsid w:val="0078753E"/>
    <w:rsid w:val="00787E66"/>
    <w:rsid w:val="00790178"/>
    <w:rsid w:val="007911DF"/>
    <w:rsid w:val="00791EB3"/>
    <w:rsid w:val="00792DF4"/>
    <w:rsid w:val="0079355B"/>
    <w:rsid w:val="0079359B"/>
    <w:rsid w:val="0079412B"/>
    <w:rsid w:val="00794BAA"/>
    <w:rsid w:val="0079503A"/>
    <w:rsid w:val="00795230"/>
    <w:rsid w:val="00795D02"/>
    <w:rsid w:val="007961B7"/>
    <w:rsid w:val="0079745F"/>
    <w:rsid w:val="00797711"/>
    <w:rsid w:val="00797ED1"/>
    <w:rsid w:val="00797F34"/>
    <w:rsid w:val="007A1BCC"/>
    <w:rsid w:val="007A2A76"/>
    <w:rsid w:val="007A31AC"/>
    <w:rsid w:val="007A3373"/>
    <w:rsid w:val="007A356E"/>
    <w:rsid w:val="007A3BF3"/>
    <w:rsid w:val="007A4CCC"/>
    <w:rsid w:val="007A50C3"/>
    <w:rsid w:val="007A51C1"/>
    <w:rsid w:val="007A5415"/>
    <w:rsid w:val="007A6020"/>
    <w:rsid w:val="007A6398"/>
    <w:rsid w:val="007A6AB2"/>
    <w:rsid w:val="007A7185"/>
    <w:rsid w:val="007A77A7"/>
    <w:rsid w:val="007A7BB8"/>
    <w:rsid w:val="007B0033"/>
    <w:rsid w:val="007B0B3D"/>
    <w:rsid w:val="007B1759"/>
    <w:rsid w:val="007B17E0"/>
    <w:rsid w:val="007B19AF"/>
    <w:rsid w:val="007B299B"/>
    <w:rsid w:val="007B2BE0"/>
    <w:rsid w:val="007B2C5C"/>
    <w:rsid w:val="007B303B"/>
    <w:rsid w:val="007B350B"/>
    <w:rsid w:val="007B3697"/>
    <w:rsid w:val="007B3B49"/>
    <w:rsid w:val="007B3F63"/>
    <w:rsid w:val="007B42A4"/>
    <w:rsid w:val="007B6078"/>
    <w:rsid w:val="007B691F"/>
    <w:rsid w:val="007B7038"/>
    <w:rsid w:val="007B7B26"/>
    <w:rsid w:val="007C01C9"/>
    <w:rsid w:val="007C08BE"/>
    <w:rsid w:val="007C0FF3"/>
    <w:rsid w:val="007C1448"/>
    <w:rsid w:val="007C232B"/>
    <w:rsid w:val="007C240E"/>
    <w:rsid w:val="007C27B7"/>
    <w:rsid w:val="007C2BBC"/>
    <w:rsid w:val="007C2C72"/>
    <w:rsid w:val="007C33F1"/>
    <w:rsid w:val="007C36A7"/>
    <w:rsid w:val="007C399A"/>
    <w:rsid w:val="007C39D5"/>
    <w:rsid w:val="007C3B2F"/>
    <w:rsid w:val="007C419E"/>
    <w:rsid w:val="007C498A"/>
    <w:rsid w:val="007C49AE"/>
    <w:rsid w:val="007C5108"/>
    <w:rsid w:val="007C59BB"/>
    <w:rsid w:val="007C5A23"/>
    <w:rsid w:val="007C5B0D"/>
    <w:rsid w:val="007C5E61"/>
    <w:rsid w:val="007C78AD"/>
    <w:rsid w:val="007C7C1E"/>
    <w:rsid w:val="007D0029"/>
    <w:rsid w:val="007D1268"/>
    <w:rsid w:val="007D1A56"/>
    <w:rsid w:val="007D1E3B"/>
    <w:rsid w:val="007D2A0F"/>
    <w:rsid w:val="007D3840"/>
    <w:rsid w:val="007D3C88"/>
    <w:rsid w:val="007D3D9C"/>
    <w:rsid w:val="007D40D5"/>
    <w:rsid w:val="007D439A"/>
    <w:rsid w:val="007D53DE"/>
    <w:rsid w:val="007D5876"/>
    <w:rsid w:val="007D62C4"/>
    <w:rsid w:val="007D62EF"/>
    <w:rsid w:val="007D6755"/>
    <w:rsid w:val="007D67BD"/>
    <w:rsid w:val="007E083B"/>
    <w:rsid w:val="007E0CDC"/>
    <w:rsid w:val="007E18F0"/>
    <w:rsid w:val="007E1A4D"/>
    <w:rsid w:val="007E1CB4"/>
    <w:rsid w:val="007E2781"/>
    <w:rsid w:val="007E2BB2"/>
    <w:rsid w:val="007E33F3"/>
    <w:rsid w:val="007E37F3"/>
    <w:rsid w:val="007E45CD"/>
    <w:rsid w:val="007E49C6"/>
    <w:rsid w:val="007E4A82"/>
    <w:rsid w:val="007E4BAA"/>
    <w:rsid w:val="007E5B06"/>
    <w:rsid w:val="007E6987"/>
    <w:rsid w:val="007E6A38"/>
    <w:rsid w:val="007E7A85"/>
    <w:rsid w:val="007E7D8A"/>
    <w:rsid w:val="007F0348"/>
    <w:rsid w:val="007F0532"/>
    <w:rsid w:val="007F05DB"/>
    <w:rsid w:val="007F1963"/>
    <w:rsid w:val="007F4390"/>
    <w:rsid w:val="007F450B"/>
    <w:rsid w:val="007F506C"/>
    <w:rsid w:val="007F560A"/>
    <w:rsid w:val="007F5B26"/>
    <w:rsid w:val="007F5E7B"/>
    <w:rsid w:val="007F624D"/>
    <w:rsid w:val="007F6A05"/>
    <w:rsid w:val="007F6C21"/>
    <w:rsid w:val="007F73BD"/>
    <w:rsid w:val="007F7A83"/>
    <w:rsid w:val="0080083F"/>
    <w:rsid w:val="008016F0"/>
    <w:rsid w:val="00801837"/>
    <w:rsid w:val="00801E22"/>
    <w:rsid w:val="00802429"/>
    <w:rsid w:val="008031E4"/>
    <w:rsid w:val="008038FA"/>
    <w:rsid w:val="00803A78"/>
    <w:rsid w:val="00804605"/>
    <w:rsid w:val="00804CCF"/>
    <w:rsid w:val="00805364"/>
    <w:rsid w:val="00806601"/>
    <w:rsid w:val="0080685E"/>
    <w:rsid w:val="00806DE7"/>
    <w:rsid w:val="0080729F"/>
    <w:rsid w:val="0080794C"/>
    <w:rsid w:val="00807967"/>
    <w:rsid w:val="00807A04"/>
    <w:rsid w:val="00807C90"/>
    <w:rsid w:val="0081049F"/>
    <w:rsid w:val="00813D4A"/>
    <w:rsid w:val="0081519F"/>
    <w:rsid w:val="00815680"/>
    <w:rsid w:val="00815D19"/>
    <w:rsid w:val="00815F64"/>
    <w:rsid w:val="0081611C"/>
    <w:rsid w:val="008166E0"/>
    <w:rsid w:val="00817248"/>
    <w:rsid w:val="0081724A"/>
    <w:rsid w:val="00817457"/>
    <w:rsid w:val="0082048B"/>
    <w:rsid w:val="0082192B"/>
    <w:rsid w:val="00821B7F"/>
    <w:rsid w:val="00821C80"/>
    <w:rsid w:val="00821E8A"/>
    <w:rsid w:val="00822164"/>
    <w:rsid w:val="00822237"/>
    <w:rsid w:val="0082358A"/>
    <w:rsid w:val="00824292"/>
    <w:rsid w:val="0082469C"/>
    <w:rsid w:val="00824F34"/>
    <w:rsid w:val="00825ACA"/>
    <w:rsid w:val="00825CDC"/>
    <w:rsid w:val="00826BCA"/>
    <w:rsid w:val="008270CB"/>
    <w:rsid w:val="00830411"/>
    <w:rsid w:val="00831814"/>
    <w:rsid w:val="00831ADD"/>
    <w:rsid w:val="008325A4"/>
    <w:rsid w:val="008328C7"/>
    <w:rsid w:val="0083301C"/>
    <w:rsid w:val="00833B92"/>
    <w:rsid w:val="008354F6"/>
    <w:rsid w:val="00835AFD"/>
    <w:rsid w:val="008361EA"/>
    <w:rsid w:val="008362DA"/>
    <w:rsid w:val="008369C4"/>
    <w:rsid w:val="00836F3C"/>
    <w:rsid w:val="008374F7"/>
    <w:rsid w:val="00837930"/>
    <w:rsid w:val="0084001A"/>
    <w:rsid w:val="0084073B"/>
    <w:rsid w:val="008407F5"/>
    <w:rsid w:val="00840852"/>
    <w:rsid w:val="00842B4B"/>
    <w:rsid w:val="00842F25"/>
    <w:rsid w:val="00843357"/>
    <w:rsid w:val="00843BEC"/>
    <w:rsid w:val="00844B0E"/>
    <w:rsid w:val="00844B2F"/>
    <w:rsid w:val="0084669C"/>
    <w:rsid w:val="00846DC0"/>
    <w:rsid w:val="0084740F"/>
    <w:rsid w:val="00847C9C"/>
    <w:rsid w:val="00847FB1"/>
    <w:rsid w:val="008503E8"/>
    <w:rsid w:val="00850425"/>
    <w:rsid w:val="0085085C"/>
    <w:rsid w:val="00850D27"/>
    <w:rsid w:val="0085145D"/>
    <w:rsid w:val="00851DDD"/>
    <w:rsid w:val="00852669"/>
    <w:rsid w:val="00853266"/>
    <w:rsid w:val="008538AA"/>
    <w:rsid w:val="0085418E"/>
    <w:rsid w:val="008555F5"/>
    <w:rsid w:val="00855C1D"/>
    <w:rsid w:val="008561D0"/>
    <w:rsid w:val="0085657B"/>
    <w:rsid w:val="008569C4"/>
    <w:rsid w:val="00856B37"/>
    <w:rsid w:val="00856D0F"/>
    <w:rsid w:val="008570E3"/>
    <w:rsid w:val="00857450"/>
    <w:rsid w:val="008577CC"/>
    <w:rsid w:val="0086014E"/>
    <w:rsid w:val="00861C6E"/>
    <w:rsid w:val="00861C7A"/>
    <w:rsid w:val="00862138"/>
    <w:rsid w:val="00863479"/>
    <w:rsid w:val="00863781"/>
    <w:rsid w:val="00863E89"/>
    <w:rsid w:val="0086467D"/>
    <w:rsid w:val="0086473B"/>
    <w:rsid w:val="00864C6D"/>
    <w:rsid w:val="00864EC2"/>
    <w:rsid w:val="00865D62"/>
    <w:rsid w:val="00866D6F"/>
    <w:rsid w:val="00866DB7"/>
    <w:rsid w:val="0086720A"/>
    <w:rsid w:val="00867808"/>
    <w:rsid w:val="0087045C"/>
    <w:rsid w:val="00870727"/>
    <w:rsid w:val="00870BEA"/>
    <w:rsid w:val="00870E23"/>
    <w:rsid w:val="0087201D"/>
    <w:rsid w:val="008723D7"/>
    <w:rsid w:val="00872DE4"/>
    <w:rsid w:val="0087384B"/>
    <w:rsid w:val="00873CD0"/>
    <w:rsid w:val="008743B7"/>
    <w:rsid w:val="00874912"/>
    <w:rsid w:val="00874AFE"/>
    <w:rsid w:val="00875B8D"/>
    <w:rsid w:val="00875F3C"/>
    <w:rsid w:val="00875FFF"/>
    <w:rsid w:val="008760BF"/>
    <w:rsid w:val="00876431"/>
    <w:rsid w:val="008775A5"/>
    <w:rsid w:val="0087771D"/>
    <w:rsid w:val="00877A76"/>
    <w:rsid w:val="00877CF1"/>
    <w:rsid w:val="00877F42"/>
    <w:rsid w:val="008810AC"/>
    <w:rsid w:val="008810AF"/>
    <w:rsid w:val="00881B85"/>
    <w:rsid w:val="00882702"/>
    <w:rsid w:val="00882912"/>
    <w:rsid w:val="00883714"/>
    <w:rsid w:val="008837A4"/>
    <w:rsid w:val="00883C5F"/>
    <w:rsid w:val="008840BB"/>
    <w:rsid w:val="00884A49"/>
    <w:rsid w:val="00884E59"/>
    <w:rsid w:val="008861FE"/>
    <w:rsid w:val="0088634E"/>
    <w:rsid w:val="008868A4"/>
    <w:rsid w:val="00887222"/>
    <w:rsid w:val="00887AF8"/>
    <w:rsid w:val="00890B3E"/>
    <w:rsid w:val="00891C05"/>
    <w:rsid w:val="00891E5D"/>
    <w:rsid w:val="00891ECF"/>
    <w:rsid w:val="00893721"/>
    <w:rsid w:val="0089377E"/>
    <w:rsid w:val="008937A9"/>
    <w:rsid w:val="00893A11"/>
    <w:rsid w:val="0089422C"/>
    <w:rsid w:val="00894F7D"/>
    <w:rsid w:val="008952F3"/>
    <w:rsid w:val="00895FA6"/>
    <w:rsid w:val="008977B6"/>
    <w:rsid w:val="008A079C"/>
    <w:rsid w:val="008A09A1"/>
    <w:rsid w:val="008A1F6D"/>
    <w:rsid w:val="008A2576"/>
    <w:rsid w:val="008A25DA"/>
    <w:rsid w:val="008A2927"/>
    <w:rsid w:val="008A2A38"/>
    <w:rsid w:val="008A35FC"/>
    <w:rsid w:val="008A39BF"/>
    <w:rsid w:val="008A3AC0"/>
    <w:rsid w:val="008A40FA"/>
    <w:rsid w:val="008A5382"/>
    <w:rsid w:val="008A5578"/>
    <w:rsid w:val="008A55E5"/>
    <w:rsid w:val="008A5DEE"/>
    <w:rsid w:val="008A763A"/>
    <w:rsid w:val="008B010C"/>
    <w:rsid w:val="008B0FAD"/>
    <w:rsid w:val="008B2711"/>
    <w:rsid w:val="008B4715"/>
    <w:rsid w:val="008B4E05"/>
    <w:rsid w:val="008B53C2"/>
    <w:rsid w:val="008B5DFB"/>
    <w:rsid w:val="008B7565"/>
    <w:rsid w:val="008C00B1"/>
    <w:rsid w:val="008C09C5"/>
    <w:rsid w:val="008C1761"/>
    <w:rsid w:val="008C2869"/>
    <w:rsid w:val="008C2C64"/>
    <w:rsid w:val="008C2E14"/>
    <w:rsid w:val="008C476B"/>
    <w:rsid w:val="008C4EA2"/>
    <w:rsid w:val="008C5D1D"/>
    <w:rsid w:val="008C6045"/>
    <w:rsid w:val="008C6C56"/>
    <w:rsid w:val="008C6EAA"/>
    <w:rsid w:val="008D0707"/>
    <w:rsid w:val="008D0E9F"/>
    <w:rsid w:val="008D10B5"/>
    <w:rsid w:val="008D1158"/>
    <w:rsid w:val="008D1BEB"/>
    <w:rsid w:val="008D2217"/>
    <w:rsid w:val="008D262B"/>
    <w:rsid w:val="008D2BF5"/>
    <w:rsid w:val="008D33DD"/>
    <w:rsid w:val="008D3DCF"/>
    <w:rsid w:val="008D472B"/>
    <w:rsid w:val="008D4BBB"/>
    <w:rsid w:val="008D556B"/>
    <w:rsid w:val="008D59C9"/>
    <w:rsid w:val="008D6253"/>
    <w:rsid w:val="008D6ADC"/>
    <w:rsid w:val="008D6F75"/>
    <w:rsid w:val="008D77CD"/>
    <w:rsid w:val="008E0437"/>
    <w:rsid w:val="008E0789"/>
    <w:rsid w:val="008E0A4C"/>
    <w:rsid w:val="008E0A56"/>
    <w:rsid w:val="008E12C5"/>
    <w:rsid w:val="008E138C"/>
    <w:rsid w:val="008E16E3"/>
    <w:rsid w:val="008E1FD5"/>
    <w:rsid w:val="008E2449"/>
    <w:rsid w:val="008E2AC6"/>
    <w:rsid w:val="008E4888"/>
    <w:rsid w:val="008E4A08"/>
    <w:rsid w:val="008E4DC2"/>
    <w:rsid w:val="008E5297"/>
    <w:rsid w:val="008E5C08"/>
    <w:rsid w:val="008E694A"/>
    <w:rsid w:val="008E6E1F"/>
    <w:rsid w:val="008E6E63"/>
    <w:rsid w:val="008E6F6E"/>
    <w:rsid w:val="008E7C82"/>
    <w:rsid w:val="008F1E37"/>
    <w:rsid w:val="008F22CE"/>
    <w:rsid w:val="008F2F2D"/>
    <w:rsid w:val="008F32BC"/>
    <w:rsid w:val="008F3907"/>
    <w:rsid w:val="008F453E"/>
    <w:rsid w:val="008F4745"/>
    <w:rsid w:val="008F4E4D"/>
    <w:rsid w:val="008F6617"/>
    <w:rsid w:val="008F6F88"/>
    <w:rsid w:val="008F7207"/>
    <w:rsid w:val="008F727D"/>
    <w:rsid w:val="008F7573"/>
    <w:rsid w:val="008F757E"/>
    <w:rsid w:val="008F7963"/>
    <w:rsid w:val="009007D3"/>
    <w:rsid w:val="00900B47"/>
    <w:rsid w:val="00900C2B"/>
    <w:rsid w:val="00900FE5"/>
    <w:rsid w:val="00901107"/>
    <w:rsid w:val="00901A63"/>
    <w:rsid w:val="009028E2"/>
    <w:rsid w:val="00904260"/>
    <w:rsid w:val="0090473C"/>
    <w:rsid w:val="00904AD1"/>
    <w:rsid w:val="00905302"/>
    <w:rsid w:val="009058F8"/>
    <w:rsid w:val="00906044"/>
    <w:rsid w:val="00907781"/>
    <w:rsid w:val="00907FEF"/>
    <w:rsid w:val="009100A0"/>
    <w:rsid w:val="0091019A"/>
    <w:rsid w:val="0091041A"/>
    <w:rsid w:val="00910587"/>
    <w:rsid w:val="009108B4"/>
    <w:rsid w:val="00910A92"/>
    <w:rsid w:val="00911253"/>
    <w:rsid w:val="00911A4F"/>
    <w:rsid w:val="00911BF7"/>
    <w:rsid w:val="00912193"/>
    <w:rsid w:val="00912A51"/>
    <w:rsid w:val="0091365A"/>
    <w:rsid w:val="00914B73"/>
    <w:rsid w:val="0091529A"/>
    <w:rsid w:val="00915844"/>
    <w:rsid w:val="00915BD7"/>
    <w:rsid w:val="0091691A"/>
    <w:rsid w:val="00916B4A"/>
    <w:rsid w:val="00916CBE"/>
    <w:rsid w:val="00916E37"/>
    <w:rsid w:val="00917896"/>
    <w:rsid w:val="00920D9E"/>
    <w:rsid w:val="00921544"/>
    <w:rsid w:val="0092183A"/>
    <w:rsid w:val="00921EB6"/>
    <w:rsid w:val="00922AD3"/>
    <w:rsid w:val="00923CF1"/>
    <w:rsid w:val="00923F1B"/>
    <w:rsid w:val="009240F5"/>
    <w:rsid w:val="00924612"/>
    <w:rsid w:val="009247F0"/>
    <w:rsid w:val="00924C12"/>
    <w:rsid w:val="00924F1D"/>
    <w:rsid w:val="0092561C"/>
    <w:rsid w:val="00925CA5"/>
    <w:rsid w:val="00925F07"/>
    <w:rsid w:val="00926635"/>
    <w:rsid w:val="0092696B"/>
    <w:rsid w:val="00926A43"/>
    <w:rsid w:val="009275F0"/>
    <w:rsid w:val="00930558"/>
    <w:rsid w:val="00930DF4"/>
    <w:rsid w:val="00930F1E"/>
    <w:rsid w:val="0093157E"/>
    <w:rsid w:val="00931FC3"/>
    <w:rsid w:val="009322E4"/>
    <w:rsid w:val="0093272A"/>
    <w:rsid w:val="00932997"/>
    <w:rsid w:val="00932C6C"/>
    <w:rsid w:val="00933AF2"/>
    <w:rsid w:val="00933B05"/>
    <w:rsid w:val="00933BE4"/>
    <w:rsid w:val="009350E5"/>
    <w:rsid w:val="009365FE"/>
    <w:rsid w:val="00936A5F"/>
    <w:rsid w:val="009378E2"/>
    <w:rsid w:val="00937A8C"/>
    <w:rsid w:val="00937B86"/>
    <w:rsid w:val="00937C40"/>
    <w:rsid w:val="0094026A"/>
    <w:rsid w:val="00940314"/>
    <w:rsid w:val="009410A6"/>
    <w:rsid w:val="009419F7"/>
    <w:rsid w:val="00941A51"/>
    <w:rsid w:val="009420B8"/>
    <w:rsid w:val="0094412C"/>
    <w:rsid w:val="00944EA7"/>
    <w:rsid w:val="009454F1"/>
    <w:rsid w:val="009466D8"/>
    <w:rsid w:val="00946976"/>
    <w:rsid w:val="00947C95"/>
    <w:rsid w:val="00947FD8"/>
    <w:rsid w:val="0095023C"/>
    <w:rsid w:val="00950764"/>
    <w:rsid w:val="0095089C"/>
    <w:rsid w:val="00950CED"/>
    <w:rsid w:val="0095178A"/>
    <w:rsid w:val="00952850"/>
    <w:rsid w:val="00952B0A"/>
    <w:rsid w:val="00952BFF"/>
    <w:rsid w:val="009533E7"/>
    <w:rsid w:val="00953966"/>
    <w:rsid w:val="00954645"/>
    <w:rsid w:val="0095496F"/>
    <w:rsid w:val="00954C6E"/>
    <w:rsid w:val="009551F9"/>
    <w:rsid w:val="00955479"/>
    <w:rsid w:val="00955A98"/>
    <w:rsid w:val="00955E99"/>
    <w:rsid w:val="00956ADA"/>
    <w:rsid w:val="00956D3E"/>
    <w:rsid w:val="009572A8"/>
    <w:rsid w:val="009575AB"/>
    <w:rsid w:val="00957CB8"/>
    <w:rsid w:val="00960CBC"/>
    <w:rsid w:val="0096104C"/>
    <w:rsid w:val="00961377"/>
    <w:rsid w:val="00962FCF"/>
    <w:rsid w:val="009639E6"/>
    <w:rsid w:val="00963C9B"/>
    <w:rsid w:val="00964B2E"/>
    <w:rsid w:val="0096500E"/>
    <w:rsid w:val="009655A0"/>
    <w:rsid w:val="00965758"/>
    <w:rsid w:val="00965ACE"/>
    <w:rsid w:val="00965F21"/>
    <w:rsid w:val="0096689A"/>
    <w:rsid w:val="00966B69"/>
    <w:rsid w:val="00966B8F"/>
    <w:rsid w:val="009675FA"/>
    <w:rsid w:val="0096767B"/>
    <w:rsid w:val="00967819"/>
    <w:rsid w:val="00970267"/>
    <w:rsid w:val="00970ECE"/>
    <w:rsid w:val="00971AEB"/>
    <w:rsid w:val="009739E2"/>
    <w:rsid w:val="00973C8D"/>
    <w:rsid w:val="009747BC"/>
    <w:rsid w:val="00974A90"/>
    <w:rsid w:val="0097510D"/>
    <w:rsid w:val="009751E2"/>
    <w:rsid w:val="00975DDB"/>
    <w:rsid w:val="009762BE"/>
    <w:rsid w:val="009768CC"/>
    <w:rsid w:val="00977E80"/>
    <w:rsid w:val="00980353"/>
    <w:rsid w:val="00980566"/>
    <w:rsid w:val="00981872"/>
    <w:rsid w:val="00981D29"/>
    <w:rsid w:val="00982A23"/>
    <w:rsid w:val="0098312F"/>
    <w:rsid w:val="00983DB4"/>
    <w:rsid w:val="00983F22"/>
    <w:rsid w:val="009842CD"/>
    <w:rsid w:val="00984C5E"/>
    <w:rsid w:val="0098515C"/>
    <w:rsid w:val="00985433"/>
    <w:rsid w:val="009875B4"/>
    <w:rsid w:val="00987E97"/>
    <w:rsid w:val="0099038E"/>
    <w:rsid w:val="00990C0C"/>
    <w:rsid w:val="00990E0E"/>
    <w:rsid w:val="00991002"/>
    <w:rsid w:val="00991C7D"/>
    <w:rsid w:val="00991D39"/>
    <w:rsid w:val="009942D9"/>
    <w:rsid w:val="0099432D"/>
    <w:rsid w:val="00994598"/>
    <w:rsid w:val="009950FA"/>
    <w:rsid w:val="00995A41"/>
    <w:rsid w:val="00995A99"/>
    <w:rsid w:val="00995B06"/>
    <w:rsid w:val="00995D19"/>
    <w:rsid w:val="00996A47"/>
    <w:rsid w:val="0099723E"/>
    <w:rsid w:val="00997728"/>
    <w:rsid w:val="00997B48"/>
    <w:rsid w:val="009A0ED6"/>
    <w:rsid w:val="009A1488"/>
    <w:rsid w:val="009A1F32"/>
    <w:rsid w:val="009A2054"/>
    <w:rsid w:val="009A258E"/>
    <w:rsid w:val="009A2FC3"/>
    <w:rsid w:val="009A51C3"/>
    <w:rsid w:val="009A53B4"/>
    <w:rsid w:val="009A6029"/>
    <w:rsid w:val="009A6953"/>
    <w:rsid w:val="009A6C06"/>
    <w:rsid w:val="009A6D08"/>
    <w:rsid w:val="009A73E1"/>
    <w:rsid w:val="009A75ED"/>
    <w:rsid w:val="009A7923"/>
    <w:rsid w:val="009A7C10"/>
    <w:rsid w:val="009B04E0"/>
    <w:rsid w:val="009B0C43"/>
    <w:rsid w:val="009B0F57"/>
    <w:rsid w:val="009B116C"/>
    <w:rsid w:val="009B1291"/>
    <w:rsid w:val="009B1B5A"/>
    <w:rsid w:val="009B1F25"/>
    <w:rsid w:val="009B2E94"/>
    <w:rsid w:val="009B34AE"/>
    <w:rsid w:val="009B43F0"/>
    <w:rsid w:val="009B5284"/>
    <w:rsid w:val="009B5468"/>
    <w:rsid w:val="009B5476"/>
    <w:rsid w:val="009B57A8"/>
    <w:rsid w:val="009B5998"/>
    <w:rsid w:val="009B5C5D"/>
    <w:rsid w:val="009B60DA"/>
    <w:rsid w:val="009B7841"/>
    <w:rsid w:val="009C03E8"/>
    <w:rsid w:val="009C24FC"/>
    <w:rsid w:val="009C3D68"/>
    <w:rsid w:val="009C3F2C"/>
    <w:rsid w:val="009C614E"/>
    <w:rsid w:val="009C6BF2"/>
    <w:rsid w:val="009D0403"/>
    <w:rsid w:val="009D09F9"/>
    <w:rsid w:val="009D0B62"/>
    <w:rsid w:val="009D0D17"/>
    <w:rsid w:val="009D0DC2"/>
    <w:rsid w:val="009D11BC"/>
    <w:rsid w:val="009D142E"/>
    <w:rsid w:val="009D147D"/>
    <w:rsid w:val="009D1ADF"/>
    <w:rsid w:val="009D2BC4"/>
    <w:rsid w:val="009D3480"/>
    <w:rsid w:val="009D36BE"/>
    <w:rsid w:val="009D485F"/>
    <w:rsid w:val="009D502B"/>
    <w:rsid w:val="009D565F"/>
    <w:rsid w:val="009D6E14"/>
    <w:rsid w:val="009D77C9"/>
    <w:rsid w:val="009D7942"/>
    <w:rsid w:val="009E02C9"/>
    <w:rsid w:val="009E166D"/>
    <w:rsid w:val="009E1D0C"/>
    <w:rsid w:val="009E1E2B"/>
    <w:rsid w:val="009E2340"/>
    <w:rsid w:val="009E2534"/>
    <w:rsid w:val="009E25A5"/>
    <w:rsid w:val="009E271A"/>
    <w:rsid w:val="009E34F1"/>
    <w:rsid w:val="009E3B88"/>
    <w:rsid w:val="009E3F1E"/>
    <w:rsid w:val="009E4870"/>
    <w:rsid w:val="009E4D06"/>
    <w:rsid w:val="009E5D7E"/>
    <w:rsid w:val="009E61E4"/>
    <w:rsid w:val="009E6335"/>
    <w:rsid w:val="009E7C76"/>
    <w:rsid w:val="009E7E08"/>
    <w:rsid w:val="009F03FE"/>
    <w:rsid w:val="009F0520"/>
    <w:rsid w:val="009F0D30"/>
    <w:rsid w:val="009F113A"/>
    <w:rsid w:val="009F1CD9"/>
    <w:rsid w:val="009F2DE3"/>
    <w:rsid w:val="009F3369"/>
    <w:rsid w:val="009F3820"/>
    <w:rsid w:val="009F3B08"/>
    <w:rsid w:val="009F4A2F"/>
    <w:rsid w:val="009F4CB2"/>
    <w:rsid w:val="009F5285"/>
    <w:rsid w:val="009F561D"/>
    <w:rsid w:val="009F5CC5"/>
    <w:rsid w:val="009F5FA5"/>
    <w:rsid w:val="009F6412"/>
    <w:rsid w:val="009F6CE0"/>
    <w:rsid w:val="009F7530"/>
    <w:rsid w:val="00A023DD"/>
    <w:rsid w:val="00A02656"/>
    <w:rsid w:val="00A0287B"/>
    <w:rsid w:val="00A02F81"/>
    <w:rsid w:val="00A03611"/>
    <w:rsid w:val="00A03E59"/>
    <w:rsid w:val="00A03EE2"/>
    <w:rsid w:val="00A04A11"/>
    <w:rsid w:val="00A04A44"/>
    <w:rsid w:val="00A04B11"/>
    <w:rsid w:val="00A068C3"/>
    <w:rsid w:val="00A070BC"/>
    <w:rsid w:val="00A107E7"/>
    <w:rsid w:val="00A11153"/>
    <w:rsid w:val="00A114FF"/>
    <w:rsid w:val="00A11AC2"/>
    <w:rsid w:val="00A11ED6"/>
    <w:rsid w:val="00A123EA"/>
    <w:rsid w:val="00A123FA"/>
    <w:rsid w:val="00A13175"/>
    <w:rsid w:val="00A13A28"/>
    <w:rsid w:val="00A141E6"/>
    <w:rsid w:val="00A14291"/>
    <w:rsid w:val="00A165B8"/>
    <w:rsid w:val="00A16AE8"/>
    <w:rsid w:val="00A17D51"/>
    <w:rsid w:val="00A17E09"/>
    <w:rsid w:val="00A17EA5"/>
    <w:rsid w:val="00A204EF"/>
    <w:rsid w:val="00A205BB"/>
    <w:rsid w:val="00A2067E"/>
    <w:rsid w:val="00A2081D"/>
    <w:rsid w:val="00A21996"/>
    <w:rsid w:val="00A21A32"/>
    <w:rsid w:val="00A21D33"/>
    <w:rsid w:val="00A21DF4"/>
    <w:rsid w:val="00A2201D"/>
    <w:rsid w:val="00A22801"/>
    <w:rsid w:val="00A2439B"/>
    <w:rsid w:val="00A248BC"/>
    <w:rsid w:val="00A24A20"/>
    <w:rsid w:val="00A24AF7"/>
    <w:rsid w:val="00A24DF6"/>
    <w:rsid w:val="00A26B0B"/>
    <w:rsid w:val="00A26B4D"/>
    <w:rsid w:val="00A27165"/>
    <w:rsid w:val="00A279EF"/>
    <w:rsid w:val="00A27AB0"/>
    <w:rsid w:val="00A27B8E"/>
    <w:rsid w:val="00A3040C"/>
    <w:rsid w:val="00A316A0"/>
    <w:rsid w:val="00A329E2"/>
    <w:rsid w:val="00A34356"/>
    <w:rsid w:val="00A34B38"/>
    <w:rsid w:val="00A353B7"/>
    <w:rsid w:val="00A35889"/>
    <w:rsid w:val="00A35AEE"/>
    <w:rsid w:val="00A3633A"/>
    <w:rsid w:val="00A36447"/>
    <w:rsid w:val="00A3656F"/>
    <w:rsid w:val="00A37260"/>
    <w:rsid w:val="00A372C4"/>
    <w:rsid w:val="00A37732"/>
    <w:rsid w:val="00A37933"/>
    <w:rsid w:val="00A40445"/>
    <w:rsid w:val="00A405E8"/>
    <w:rsid w:val="00A41D1C"/>
    <w:rsid w:val="00A423F4"/>
    <w:rsid w:val="00A42592"/>
    <w:rsid w:val="00A4264A"/>
    <w:rsid w:val="00A42796"/>
    <w:rsid w:val="00A430EC"/>
    <w:rsid w:val="00A431CA"/>
    <w:rsid w:val="00A434A2"/>
    <w:rsid w:val="00A43563"/>
    <w:rsid w:val="00A43842"/>
    <w:rsid w:val="00A44094"/>
    <w:rsid w:val="00A443AA"/>
    <w:rsid w:val="00A44536"/>
    <w:rsid w:val="00A45840"/>
    <w:rsid w:val="00A47061"/>
    <w:rsid w:val="00A470F7"/>
    <w:rsid w:val="00A50755"/>
    <w:rsid w:val="00A50D81"/>
    <w:rsid w:val="00A5193D"/>
    <w:rsid w:val="00A52346"/>
    <w:rsid w:val="00A52510"/>
    <w:rsid w:val="00A5285D"/>
    <w:rsid w:val="00A53562"/>
    <w:rsid w:val="00A53B5B"/>
    <w:rsid w:val="00A53D12"/>
    <w:rsid w:val="00A5488D"/>
    <w:rsid w:val="00A55AD2"/>
    <w:rsid w:val="00A55C41"/>
    <w:rsid w:val="00A56BD8"/>
    <w:rsid w:val="00A57BF8"/>
    <w:rsid w:val="00A61CD5"/>
    <w:rsid w:val="00A62C61"/>
    <w:rsid w:val="00A6321C"/>
    <w:rsid w:val="00A63D0A"/>
    <w:rsid w:val="00A644A8"/>
    <w:rsid w:val="00A651C4"/>
    <w:rsid w:val="00A65972"/>
    <w:rsid w:val="00A66F5E"/>
    <w:rsid w:val="00A6716C"/>
    <w:rsid w:val="00A672F9"/>
    <w:rsid w:val="00A6744E"/>
    <w:rsid w:val="00A70043"/>
    <w:rsid w:val="00A7010C"/>
    <w:rsid w:val="00A702FF"/>
    <w:rsid w:val="00A71633"/>
    <w:rsid w:val="00A71E02"/>
    <w:rsid w:val="00A7221B"/>
    <w:rsid w:val="00A729CA"/>
    <w:rsid w:val="00A72B79"/>
    <w:rsid w:val="00A739D6"/>
    <w:rsid w:val="00A73A24"/>
    <w:rsid w:val="00A73F47"/>
    <w:rsid w:val="00A7410E"/>
    <w:rsid w:val="00A749E1"/>
    <w:rsid w:val="00A7635B"/>
    <w:rsid w:val="00A76657"/>
    <w:rsid w:val="00A76B31"/>
    <w:rsid w:val="00A76D0D"/>
    <w:rsid w:val="00A77C30"/>
    <w:rsid w:val="00A80B25"/>
    <w:rsid w:val="00A80FC2"/>
    <w:rsid w:val="00A81005"/>
    <w:rsid w:val="00A8128D"/>
    <w:rsid w:val="00A81622"/>
    <w:rsid w:val="00A81D1E"/>
    <w:rsid w:val="00A826D6"/>
    <w:rsid w:val="00A8355B"/>
    <w:rsid w:val="00A835F4"/>
    <w:rsid w:val="00A83B98"/>
    <w:rsid w:val="00A8454A"/>
    <w:rsid w:val="00A84554"/>
    <w:rsid w:val="00A851FF"/>
    <w:rsid w:val="00A852EB"/>
    <w:rsid w:val="00A85D41"/>
    <w:rsid w:val="00A86125"/>
    <w:rsid w:val="00A869F2"/>
    <w:rsid w:val="00A86C0C"/>
    <w:rsid w:val="00A90730"/>
    <w:rsid w:val="00A908E6"/>
    <w:rsid w:val="00A92838"/>
    <w:rsid w:val="00A9506C"/>
    <w:rsid w:val="00A9575A"/>
    <w:rsid w:val="00A95CF9"/>
    <w:rsid w:val="00A962C7"/>
    <w:rsid w:val="00A97583"/>
    <w:rsid w:val="00A979D7"/>
    <w:rsid w:val="00A97AE4"/>
    <w:rsid w:val="00AA0760"/>
    <w:rsid w:val="00AA07B4"/>
    <w:rsid w:val="00AA1201"/>
    <w:rsid w:val="00AA120E"/>
    <w:rsid w:val="00AA14CA"/>
    <w:rsid w:val="00AA2ABE"/>
    <w:rsid w:val="00AA2BB4"/>
    <w:rsid w:val="00AA2E18"/>
    <w:rsid w:val="00AA3C57"/>
    <w:rsid w:val="00AA4095"/>
    <w:rsid w:val="00AA42F3"/>
    <w:rsid w:val="00AA4A60"/>
    <w:rsid w:val="00AA4BFC"/>
    <w:rsid w:val="00AA51EE"/>
    <w:rsid w:val="00AA53C4"/>
    <w:rsid w:val="00AA5F94"/>
    <w:rsid w:val="00AA60EC"/>
    <w:rsid w:val="00AA66C0"/>
    <w:rsid w:val="00AA67F5"/>
    <w:rsid w:val="00AA72CA"/>
    <w:rsid w:val="00AB06AD"/>
    <w:rsid w:val="00AB08A5"/>
    <w:rsid w:val="00AB0AE0"/>
    <w:rsid w:val="00AB10CF"/>
    <w:rsid w:val="00AB1622"/>
    <w:rsid w:val="00AB1667"/>
    <w:rsid w:val="00AB2357"/>
    <w:rsid w:val="00AB2E4A"/>
    <w:rsid w:val="00AB2EED"/>
    <w:rsid w:val="00AB3013"/>
    <w:rsid w:val="00AB329E"/>
    <w:rsid w:val="00AB4C46"/>
    <w:rsid w:val="00AB6A26"/>
    <w:rsid w:val="00AB6CD9"/>
    <w:rsid w:val="00AB70F5"/>
    <w:rsid w:val="00AC01C7"/>
    <w:rsid w:val="00AC0284"/>
    <w:rsid w:val="00AC2457"/>
    <w:rsid w:val="00AC3162"/>
    <w:rsid w:val="00AC3446"/>
    <w:rsid w:val="00AC35D4"/>
    <w:rsid w:val="00AC3943"/>
    <w:rsid w:val="00AC3C46"/>
    <w:rsid w:val="00AC3F0B"/>
    <w:rsid w:val="00AC4587"/>
    <w:rsid w:val="00AC49D0"/>
    <w:rsid w:val="00AC4DEB"/>
    <w:rsid w:val="00AC5489"/>
    <w:rsid w:val="00AC6204"/>
    <w:rsid w:val="00AC667F"/>
    <w:rsid w:val="00AC6F35"/>
    <w:rsid w:val="00AC7E06"/>
    <w:rsid w:val="00AD0362"/>
    <w:rsid w:val="00AD05E6"/>
    <w:rsid w:val="00AD063D"/>
    <w:rsid w:val="00AD177E"/>
    <w:rsid w:val="00AD1F0A"/>
    <w:rsid w:val="00AD29D7"/>
    <w:rsid w:val="00AD30AD"/>
    <w:rsid w:val="00AD3C3D"/>
    <w:rsid w:val="00AD44E5"/>
    <w:rsid w:val="00AD58C2"/>
    <w:rsid w:val="00AD58D8"/>
    <w:rsid w:val="00AD6BEB"/>
    <w:rsid w:val="00AD7EA3"/>
    <w:rsid w:val="00AE0590"/>
    <w:rsid w:val="00AE0A2D"/>
    <w:rsid w:val="00AE0B79"/>
    <w:rsid w:val="00AE1281"/>
    <w:rsid w:val="00AE1945"/>
    <w:rsid w:val="00AE1960"/>
    <w:rsid w:val="00AE1CA5"/>
    <w:rsid w:val="00AE212B"/>
    <w:rsid w:val="00AE2241"/>
    <w:rsid w:val="00AE2901"/>
    <w:rsid w:val="00AE292D"/>
    <w:rsid w:val="00AE2943"/>
    <w:rsid w:val="00AE2DDE"/>
    <w:rsid w:val="00AE3D62"/>
    <w:rsid w:val="00AE4BAA"/>
    <w:rsid w:val="00AE4E6E"/>
    <w:rsid w:val="00AE52AA"/>
    <w:rsid w:val="00AE5C06"/>
    <w:rsid w:val="00AE72C8"/>
    <w:rsid w:val="00AE7727"/>
    <w:rsid w:val="00AE7930"/>
    <w:rsid w:val="00AF1825"/>
    <w:rsid w:val="00AF19D6"/>
    <w:rsid w:val="00AF3B7C"/>
    <w:rsid w:val="00AF419C"/>
    <w:rsid w:val="00AF43AA"/>
    <w:rsid w:val="00AF4476"/>
    <w:rsid w:val="00AF463B"/>
    <w:rsid w:val="00AF4944"/>
    <w:rsid w:val="00AF4A4D"/>
    <w:rsid w:val="00AF4AB9"/>
    <w:rsid w:val="00AF4DD9"/>
    <w:rsid w:val="00AF58DD"/>
    <w:rsid w:val="00AF5AE5"/>
    <w:rsid w:val="00AF7F95"/>
    <w:rsid w:val="00B00038"/>
    <w:rsid w:val="00B00074"/>
    <w:rsid w:val="00B006CF"/>
    <w:rsid w:val="00B018DE"/>
    <w:rsid w:val="00B01B22"/>
    <w:rsid w:val="00B01B33"/>
    <w:rsid w:val="00B021FD"/>
    <w:rsid w:val="00B02D48"/>
    <w:rsid w:val="00B02FAD"/>
    <w:rsid w:val="00B043F3"/>
    <w:rsid w:val="00B046E8"/>
    <w:rsid w:val="00B05243"/>
    <w:rsid w:val="00B057E2"/>
    <w:rsid w:val="00B05FD3"/>
    <w:rsid w:val="00B06CBB"/>
    <w:rsid w:val="00B07C8D"/>
    <w:rsid w:val="00B07DEF"/>
    <w:rsid w:val="00B07FAF"/>
    <w:rsid w:val="00B108AC"/>
    <w:rsid w:val="00B10A1D"/>
    <w:rsid w:val="00B11510"/>
    <w:rsid w:val="00B119BD"/>
    <w:rsid w:val="00B12A1D"/>
    <w:rsid w:val="00B12EBF"/>
    <w:rsid w:val="00B13FB0"/>
    <w:rsid w:val="00B149EA"/>
    <w:rsid w:val="00B150F7"/>
    <w:rsid w:val="00B15E57"/>
    <w:rsid w:val="00B16E92"/>
    <w:rsid w:val="00B170D1"/>
    <w:rsid w:val="00B17269"/>
    <w:rsid w:val="00B17577"/>
    <w:rsid w:val="00B206CF"/>
    <w:rsid w:val="00B206F5"/>
    <w:rsid w:val="00B20D73"/>
    <w:rsid w:val="00B21289"/>
    <w:rsid w:val="00B22586"/>
    <w:rsid w:val="00B22683"/>
    <w:rsid w:val="00B22F8C"/>
    <w:rsid w:val="00B23507"/>
    <w:rsid w:val="00B23748"/>
    <w:rsid w:val="00B237E4"/>
    <w:rsid w:val="00B23951"/>
    <w:rsid w:val="00B23A52"/>
    <w:rsid w:val="00B2405B"/>
    <w:rsid w:val="00B2489D"/>
    <w:rsid w:val="00B25E1E"/>
    <w:rsid w:val="00B263AA"/>
    <w:rsid w:val="00B266E2"/>
    <w:rsid w:val="00B26C5E"/>
    <w:rsid w:val="00B30AF0"/>
    <w:rsid w:val="00B3248C"/>
    <w:rsid w:val="00B32BF3"/>
    <w:rsid w:val="00B32DD1"/>
    <w:rsid w:val="00B342C1"/>
    <w:rsid w:val="00B354C4"/>
    <w:rsid w:val="00B35DF1"/>
    <w:rsid w:val="00B36B79"/>
    <w:rsid w:val="00B36D9F"/>
    <w:rsid w:val="00B37373"/>
    <w:rsid w:val="00B37599"/>
    <w:rsid w:val="00B3759B"/>
    <w:rsid w:val="00B37E01"/>
    <w:rsid w:val="00B41176"/>
    <w:rsid w:val="00B418A2"/>
    <w:rsid w:val="00B42150"/>
    <w:rsid w:val="00B43244"/>
    <w:rsid w:val="00B435D0"/>
    <w:rsid w:val="00B43FA2"/>
    <w:rsid w:val="00B44797"/>
    <w:rsid w:val="00B45DAD"/>
    <w:rsid w:val="00B45DD6"/>
    <w:rsid w:val="00B46CD7"/>
    <w:rsid w:val="00B4778E"/>
    <w:rsid w:val="00B51038"/>
    <w:rsid w:val="00B512EB"/>
    <w:rsid w:val="00B514D7"/>
    <w:rsid w:val="00B5157B"/>
    <w:rsid w:val="00B516BE"/>
    <w:rsid w:val="00B520CD"/>
    <w:rsid w:val="00B5290B"/>
    <w:rsid w:val="00B52C57"/>
    <w:rsid w:val="00B531E0"/>
    <w:rsid w:val="00B53611"/>
    <w:rsid w:val="00B53AC7"/>
    <w:rsid w:val="00B53D08"/>
    <w:rsid w:val="00B53EEC"/>
    <w:rsid w:val="00B543EF"/>
    <w:rsid w:val="00B5705E"/>
    <w:rsid w:val="00B57301"/>
    <w:rsid w:val="00B60632"/>
    <w:rsid w:val="00B60637"/>
    <w:rsid w:val="00B616DD"/>
    <w:rsid w:val="00B617B7"/>
    <w:rsid w:val="00B618B0"/>
    <w:rsid w:val="00B61D6C"/>
    <w:rsid w:val="00B61F3E"/>
    <w:rsid w:val="00B6248C"/>
    <w:rsid w:val="00B624E9"/>
    <w:rsid w:val="00B63450"/>
    <w:rsid w:val="00B6364F"/>
    <w:rsid w:val="00B6425E"/>
    <w:rsid w:val="00B64666"/>
    <w:rsid w:val="00B64D8E"/>
    <w:rsid w:val="00B659A2"/>
    <w:rsid w:val="00B65B04"/>
    <w:rsid w:val="00B65C47"/>
    <w:rsid w:val="00B66228"/>
    <w:rsid w:val="00B66EBB"/>
    <w:rsid w:val="00B7006F"/>
    <w:rsid w:val="00B7021E"/>
    <w:rsid w:val="00B70698"/>
    <w:rsid w:val="00B711B7"/>
    <w:rsid w:val="00B718F1"/>
    <w:rsid w:val="00B72129"/>
    <w:rsid w:val="00B72524"/>
    <w:rsid w:val="00B72562"/>
    <w:rsid w:val="00B72769"/>
    <w:rsid w:val="00B7290F"/>
    <w:rsid w:val="00B72AFE"/>
    <w:rsid w:val="00B72CC6"/>
    <w:rsid w:val="00B74523"/>
    <w:rsid w:val="00B75125"/>
    <w:rsid w:val="00B75C7F"/>
    <w:rsid w:val="00B76818"/>
    <w:rsid w:val="00B7739B"/>
    <w:rsid w:val="00B77796"/>
    <w:rsid w:val="00B7788F"/>
    <w:rsid w:val="00B8079C"/>
    <w:rsid w:val="00B80938"/>
    <w:rsid w:val="00B80D5A"/>
    <w:rsid w:val="00B80F30"/>
    <w:rsid w:val="00B8122F"/>
    <w:rsid w:val="00B8164B"/>
    <w:rsid w:val="00B8195A"/>
    <w:rsid w:val="00B83204"/>
    <w:rsid w:val="00B83801"/>
    <w:rsid w:val="00B83A8C"/>
    <w:rsid w:val="00B8449F"/>
    <w:rsid w:val="00B85CC0"/>
    <w:rsid w:val="00B85CE7"/>
    <w:rsid w:val="00B85DEC"/>
    <w:rsid w:val="00B86C47"/>
    <w:rsid w:val="00B86DD2"/>
    <w:rsid w:val="00B90396"/>
    <w:rsid w:val="00B908DE"/>
    <w:rsid w:val="00B910EC"/>
    <w:rsid w:val="00B91A0B"/>
    <w:rsid w:val="00B91B5A"/>
    <w:rsid w:val="00B91DF1"/>
    <w:rsid w:val="00B925DB"/>
    <w:rsid w:val="00B94129"/>
    <w:rsid w:val="00B9433A"/>
    <w:rsid w:val="00B9447D"/>
    <w:rsid w:val="00B95037"/>
    <w:rsid w:val="00B96A5B"/>
    <w:rsid w:val="00B96BAF"/>
    <w:rsid w:val="00B97219"/>
    <w:rsid w:val="00B972C1"/>
    <w:rsid w:val="00B97825"/>
    <w:rsid w:val="00B97A25"/>
    <w:rsid w:val="00BA03A2"/>
    <w:rsid w:val="00BA03E6"/>
    <w:rsid w:val="00BA1884"/>
    <w:rsid w:val="00BA1E53"/>
    <w:rsid w:val="00BA2088"/>
    <w:rsid w:val="00BA20C1"/>
    <w:rsid w:val="00BA23E2"/>
    <w:rsid w:val="00BA4139"/>
    <w:rsid w:val="00BA44CE"/>
    <w:rsid w:val="00BA4795"/>
    <w:rsid w:val="00BA6302"/>
    <w:rsid w:val="00BA6D0A"/>
    <w:rsid w:val="00BA7162"/>
    <w:rsid w:val="00BA7702"/>
    <w:rsid w:val="00BA7BA1"/>
    <w:rsid w:val="00BA7BE3"/>
    <w:rsid w:val="00BB0446"/>
    <w:rsid w:val="00BB0648"/>
    <w:rsid w:val="00BB0B4C"/>
    <w:rsid w:val="00BB0F23"/>
    <w:rsid w:val="00BB19EA"/>
    <w:rsid w:val="00BB1B7E"/>
    <w:rsid w:val="00BB2712"/>
    <w:rsid w:val="00BB2826"/>
    <w:rsid w:val="00BB29AD"/>
    <w:rsid w:val="00BB3457"/>
    <w:rsid w:val="00BB34AD"/>
    <w:rsid w:val="00BB3844"/>
    <w:rsid w:val="00BB415A"/>
    <w:rsid w:val="00BB4197"/>
    <w:rsid w:val="00BB4383"/>
    <w:rsid w:val="00BB59A5"/>
    <w:rsid w:val="00BB6150"/>
    <w:rsid w:val="00BB70BB"/>
    <w:rsid w:val="00BB7A97"/>
    <w:rsid w:val="00BB7C01"/>
    <w:rsid w:val="00BB7FC5"/>
    <w:rsid w:val="00BC01B1"/>
    <w:rsid w:val="00BC01B2"/>
    <w:rsid w:val="00BC0288"/>
    <w:rsid w:val="00BC0C35"/>
    <w:rsid w:val="00BC1ADB"/>
    <w:rsid w:val="00BC1CB2"/>
    <w:rsid w:val="00BC25E4"/>
    <w:rsid w:val="00BC2D43"/>
    <w:rsid w:val="00BC3450"/>
    <w:rsid w:val="00BC3529"/>
    <w:rsid w:val="00BC44BD"/>
    <w:rsid w:val="00BC4D92"/>
    <w:rsid w:val="00BC57F0"/>
    <w:rsid w:val="00BC591A"/>
    <w:rsid w:val="00BC5CE7"/>
    <w:rsid w:val="00BC63BA"/>
    <w:rsid w:val="00BC658E"/>
    <w:rsid w:val="00BC6FB3"/>
    <w:rsid w:val="00BC73E4"/>
    <w:rsid w:val="00BD0604"/>
    <w:rsid w:val="00BD0779"/>
    <w:rsid w:val="00BD0879"/>
    <w:rsid w:val="00BD0BEF"/>
    <w:rsid w:val="00BD1022"/>
    <w:rsid w:val="00BD17A6"/>
    <w:rsid w:val="00BD1814"/>
    <w:rsid w:val="00BD24AC"/>
    <w:rsid w:val="00BD2A61"/>
    <w:rsid w:val="00BD2D5E"/>
    <w:rsid w:val="00BD3AFA"/>
    <w:rsid w:val="00BD404D"/>
    <w:rsid w:val="00BD504D"/>
    <w:rsid w:val="00BD5B59"/>
    <w:rsid w:val="00BD5BA5"/>
    <w:rsid w:val="00BD5D02"/>
    <w:rsid w:val="00BD64FB"/>
    <w:rsid w:val="00BD72D2"/>
    <w:rsid w:val="00BD7365"/>
    <w:rsid w:val="00BD79F9"/>
    <w:rsid w:val="00BD7F85"/>
    <w:rsid w:val="00BE00B7"/>
    <w:rsid w:val="00BE01C7"/>
    <w:rsid w:val="00BE0888"/>
    <w:rsid w:val="00BE089B"/>
    <w:rsid w:val="00BE0F08"/>
    <w:rsid w:val="00BE11AE"/>
    <w:rsid w:val="00BE14FF"/>
    <w:rsid w:val="00BE1AB1"/>
    <w:rsid w:val="00BE22F5"/>
    <w:rsid w:val="00BE26B0"/>
    <w:rsid w:val="00BE2FA0"/>
    <w:rsid w:val="00BE3253"/>
    <w:rsid w:val="00BE473B"/>
    <w:rsid w:val="00BE4EFA"/>
    <w:rsid w:val="00BE52BA"/>
    <w:rsid w:val="00BE5C92"/>
    <w:rsid w:val="00BE6174"/>
    <w:rsid w:val="00BE64CD"/>
    <w:rsid w:val="00BE6A39"/>
    <w:rsid w:val="00BE787E"/>
    <w:rsid w:val="00BE7B57"/>
    <w:rsid w:val="00BF0ABE"/>
    <w:rsid w:val="00BF0D25"/>
    <w:rsid w:val="00BF2389"/>
    <w:rsid w:val="00BF30B0"/>
    <w:rsid w:val="00BF31AE"/>
    <w:rsid w:val="00BF3201"/>
    <w:rsid w:val="00BF328E"/>
    <w:rsid w:val="00BF38F1"/>
    <w:rsid w:val="00BF419A"/>
    <w:rsid w:val="00BF48E3"/>
    <w:rsid w:val="00BF6355"/>
    <w:rsid w:val="00BF65F8"/>
    <w:rsid w:val="00BF774D"/>
    <w:rsid w:val="00BF791B"/>
    <w:rsid w:val="00BF7E1C"/>
    <w:rsid w:val="00C005D7"/>
    <w:rsid w:val="00C01175"/>
    <w:rsid w:val="00C01FED"/>
    <w:rsid w:val="00C02359"/>
    <w:rsid w:val="00C02374"/>
    <w:rsid w:val="00C02627"/>
    <w:rsid w:val="00C0270E"/>
    <w:rsid w:val="00C02F57"/>
    <w:rsid w:val="00C0335E"/>
    <w:rsid w:val="00C03C97"/>
    <w:rsid w:val="00C04166"/>
    <w:rsid w:val="00C041EE"/>
    <w:rsid w:val="00C0484E"/>
    <w:rsid w:val="00C04C97"/>
    <w:rsid w:val="00C0532E"/>
    <w:rsid w:val="00C05954"/>
    <w:rsid w:val="00C064DA"/>
    <w:rsid w:val="00C067D7"/>
    <w:rsid w:val="00C073B0"/>
    <w:rsid w:val="00C077C7"/>
    <w:rsid w:val="00C07C34"/>
    <w:rsid w:val="00C07D4E"/>
    <w:rsid w:val="00C10F2F"/>
    <w:rsid w:val="00C1170F"/>
    <w:rsid w:val="00C11886"/>
    <w:rsid w:val="00C11E09"/>
    <w:rsid w:val="00C126BA"/>
    <w:rsid w:val="00C13456"/>
    <w:rsid w:val="00C13A76"/>
    <w:rsid w:val="00C14292"/>
    <w:rsid w:val="00C14B46"/>
    <w:rsid w:val="00C14C7C"/>
    <w:rsid w:val="00C14DC1"/>
    <w:rsid w:val="00C150C1"/>
    <w:rsid w:val="00C16095"/>
    <w:rsid w:val="00C16443"/>
    <w:rsid w:val="00C1655D"/>
    <w:rsid w:val="00C168E6"/>
    <w:rsid w:val="00C1772D"/>
    <w:rsid w:val="00C208B0"/>
    <w:rsid w:val="00C2161C"/>
    <w:rsid w:val="00C22DFE"/>
    <w:rsid w:val="00C22E6D"/>
    <w:rsid w:val="00C22E88"/>
    <w:rsid w:val="00C230C2"/>
    <w:rsid w:val="00C2398C"/>
    <w:rsid w:val="00C2505D"/>
    <w:rsid w:val="00C252BB"/>
    <w:rsid w:val="00C256FD"/>
    <w:rsid w:val="00C26368"/>
    <w:rsid w:val="00C2639C"/>
    <w:rsid w:val="00C26909"/>
    <w:rsid w:val="00C26C51"/>
    <w:rsid w:val="00C26E36"/>
    <w:rsid w:val="00C26E6F"/>
    <w:rsid w:val="00C27213"/>
    <w:rsid w:val="00C279D2"/>
    <w:rsid w:val="00C30906"/>
    <w:rsid w:val="00C30941"/>
    <w:rsid w:val="00C310A5"/>
    <w:rsid w:val="00C31110"/>
    <w:rsid w:val="00C33965"/>
    <w:rsid w:val="00C343A4"/>
    <w:rsid w:val="00C376B4"/>
    <w:rsid w:val="00C37FAD"/>
    <w:rsid w:val="00C4137B"/>
    <w:rsid w:val="00C4188A"/>
    <w:rsid w:val="00C41CAE"/>
    <w:rsid w:val="00C41FDE"/>
    <w:rsid w:val="00C4241F"/>
    <w:rsid w:val="00C42CA8"/>
    <w:rsid w:val="00C43207"/>
    <w:rsid w:val="00C439F0"/>
    <w:rsid w:val="00C44A6F"/>
    <w:rsid w:val="00C44FE8"/>
    <w:rsid w:val="00C455D4"/>
    <w:rsid w:val="00C46A7E"/>
    <w:rsid w:val="00C47507"/>
    <w:rsid w:val="00C4765E"/>
    <w:rsid w:val="00C5084D"/>
    <w:rsid w:val="00C50BF8"/>
    <w:rsid w:val="00C51614"/>
    <w:rsid w:val="00C51854"/>
    <w:rsid w:val="00C538B7"/>
    <w:rsid w:val="00C54213"/>
    <w:rsid w:val="00C54DD9"/>
    <w:rsid w:val="00C54FC7"/>
    <w:rsid w:val="00C55843"/>
    <w:rsid w:val="00C55884"/>
    <w:rsid w:val="00C55AA3"/>
    <w:rsid w:val="00C573C9"/>
    <w:rsid w:val="00C6002D"/>
    <w:rsid w:val="00C60283"/>
    <w:rsid w:val="00C60B5D"/>
    <w:rsid w:val="00C61290"/>
    <w:rsid w:val="00C61BAE"/>
    <w:rsid w:val="00C61F43"/>
    <w:rsid w:val="00C61FE8"/>
    <w:rsid w:val="00C6240B"/>
    <w:rsid w:val="00C62549"/>
    <w:rsid w:val="00C62BA4"/>
    <w:rsid w:val="00C62EF7"/>
    <w:rsid w:val="00C63434"/>
    <w:rsid w:val="00C652F0"/>
    <w:rsid w:val="00C65967"/>
    <w:rsid w:val="00C65CC0"/>
    <w:rsid w:val="00C65E3C"/>
    <w:rsid w:val="00C66A6F"/>
    <w:rsid w:val="00C72E29"/>
    <w:rsid w:val="00C73174"/>
    <w:rsid w:val="00C73A06"/>
    <w:rsid w:val="00C73F97"/>
    <w:rsid w:val="00C7459B"/>
    <w:rsid w:val="00C746A9"/>
    <w:rsid w:val="00C747DD"/>
    <w:rsid w:val="00C75DDC"/>
    <w:rsid w:val="00C76228"/>
    <w:rsid w:val="00C7628F"/>
    <w:rsid w:val="00C77217"/>
    <w:rsid w:val="00C77B65"/>
    <w:rsid w:val="00C77D61"/>
    <w:rsid w:val="00C80191"/>
    <w:rsid w:val="00C8089C"/>
    <w:rsid w:val="00C80AA3"/>
    <w:rsid w:val="00C80CCD"/>
    <w:rsid w:val="00C80F27"/>
    <w:rsid w:val="00C82DB2"/>
    <w:rsid w:val="00C835F5"/>
    <w:rsid w:val="00C83631"/>
    <w:rsid w:val="00C83B6E"/>
    <w:rsid w:val="00C83CE3"/>
    <w:rsid w:val="00C84D1D"/>
    <w:rsid w:val="00C85179"/>
    <w:rsid w:val="00C85448"/>
    <w:rsid w:val="00C858A4"/>
    <w:rsid w:val="00C85CDD"/>
    <w:rsid w:val="00C86106"/>
    <w:rsid w:val="00C86521"/>
    <w:rsid w:val="00C86556"/>
    <w:rsid w:val="00C8673C"/>
    <w:rsid w:val="00C867AC"/>
    <w:rsid w:val="00C868E0"/>
    <w:rsid w:val="00C86F73"/>
    <w:rsid w:val="00C878B3"/>
    <w:rsid w:val="00C87A35"/>
    <w:rsid w:val="00C9023D"/>
    <w:rsid w:val="00C906DF"/>
    <w:rsid w:val="00C90C73"/>
    <w:rsid w:val="00C90FCD"/>
    <w:rsid w:val="00C90FF6"/>
    <w:rsid w:val="00C9185A"/>
    <w:rsid w:val="00C91E28"/>
    <w:rsid w:val="00C92301"/>
    <w:rsid w:val="00C92422"/>
    <w:rsid w:val="00C92581"/>
    <w:rsid w:val="00C92A5A"/>
    <w:rsid w:val="00C92E19"/>
    <w:rsid w:val="00C92F38"/>
    <w:rsid w:val="00C93098"/>
    <w:rsid w:val="00C93291"/>
    <w:rsid w:val="00C9386B"/>
    <w:rsid w:val="00C93A27"/>
    <w:rsid w:val="00C941EE"/>
    <w:rsid w:val="00C94A86"/>
    <w:rsid w:val="00C94B6D"/>
    <w:rsid w:val="00C955E0"/>
    <w:rsid w:val="00C97294"/>
    <w:rsid w:val="00C978B6"/>
    <w:rsid w:val="00C97ED5"/>
    <w:rsid w:val="00CA0C38"/>
    <w:rsid w:val="00CA13D4"/>
    <w:rsid w:val="00CA2C55"/>
    <w:rsid w:val="00CA3D88"/>
    <w:rsid w:val="00CA4487"/>
    <w:rsid w:val="00CA47D5"/>
    <w:rsid w:val="00CA4B2C"/>
    <w:rsid w:val="00CA593A"/>
    <w:rsid w:val="00CA5E72"/>
    <w:rsid w:val="00CA6654"/>
    <w:rsid w:val="00CA6BE0"/>
    <w:rsid w:val="00CA7D86"/>
    <w:rsid w:val="00CA7EEA"/>
    <w:rsid w:val="00CB02AD"/>
    <w:rsid w:val="00CB033D"/>
    <w:rsid w:val="00CB041A"/>
    <w:rsid w:val="00CB0E8B"/>
    <w:rsid w:val="00CB1249"/>
    <w:rsid w:val="00CB19E4"/>
    <w:rsid w:val="00CB1E2A"/>
    <w:rsid w:val="00CB25F9"/>
    <w:rsid w:val="00CB2A2B"/>
    <w:rsid w:val="00CB30C8"/>
    <w:rsid w:val="00CB428D"/>
    <w:rsid w:val="00CB44E4"/>
    <w:rsid w:val="00CB4C11"/>
    <w:rsid w:val="00CB540B"/>
    <w:rsid w:val="00CB589A"/>
    <w:rsid w:val="00CB5A17"/>
    <w:rsid w:val="00CB5B16"/>
    <w:rsid w:val="00CB66E2"/>
    <w:rsid w:val="00CB74D1"/>
    <w:rsid w:val="00CB7AAD"/>
    <w:rsid w:val="00CB7CDA"/>
    <w:rsid w:val="00CC0048"/>
    <w:rsid w:val="00CC06AD"/>
    <w:rsid w:val="00CC1A85"/>
    <w:rsid w:val="00CC1B87"/>
    <w:rsid w:val="00CC22A0"/>
    <w:rsid w:val="00CC30DE"/>
    <w:rsid w:val="00CC33F9"/>
    <w:rsid w:val="00CC3C82"/>
    <w:rsid w:val="00CC3E79"/>
    <w:rsid w:val="00CC3E98"/>
    <w:rsid w:val="00CC41E5"/>
    <w:rsid w:val="00CC41EB"/>
    <w:rsid w:val="00CC495A"/>
    <w:rsid w:val="00CC4A59"/>
    <w:rsid w:val="00CC503C"/>
    <w:rsid w:val="00CC6883"/>
    <w:rsid w:val="00CC701D"/>
    <w:rsid w:val="00CC7AC7"/>
    <w:rsid w:val="00CD108E"/>
    <w:rsid w:val="00CD172E"/>
    <w:rsid w:val="00CD1DE1"/>
    <w:rsid w:val="00CD1DEE"/>
    <w:rsid w:val="00CD1EFF"/>
    <w:rsid w:val="00CD2769"/>
    <w:rsid w:val="00CD332E"/>
    <w:rsid w:val="00CD389B"/>
    <w:rsid w:val="00CD42B3"/>
    <w:rsid w:val="00CD44B0"/>
    <w:rsid w:val="00CD4A0B"/>
    <w:rsid w:val="00CD4EE4"/>
    <w:rsid w:val="00CD55E1"/>
    <w:rsid w:val="00CD6A8B"/>
    <w:rsid w:val="00CD6AC5"/>
    <w:rsid w:val="00CD710E"/>
    <w:rsid w:val="00CD71EF"/>
    <w:rsid w:val="00CD7741"/>
    <w:rsid w:val="00CD7C11"/>
    <w:rsid w:val="00CD7D30"/>
    <w:rsid w:val="00CE2CBC"/>
    <w:rsid w:val="00CE3A20"/>
    <w:rsid w:val="00CE45FC"/>
    <w:rsid w:val="00CE4F5A"/>
    <w:rsid w:val="00CE5240"/>
    <w:rsid w:val="00CE5FEE"/>
    <w:rsid w:val="00CE6D69"/>
    <w:rsid w:val="00CE77AB"/>
    <w:rsid w:val="00CE7A54"/>
    <w:rsid w:val="00CF1376"/>
    <w:rsid w:val="00CF1BD3"/>
    <w:rsid w:val="00CF1F48"/>
    <w:rsid w:val="00CF222E"/>
    <w:rsid w:val="00CF304F"/>
    <w:rsid w:val="00CF33A6"/>
    <w:rsid w:val="00CF3A5C"/>
    <w:rsid w:val="00CF3F6A"/>
    <w:rsid w:val="00CF3FCD"/>
    <w:rsid w:val="00CF42C3"/>
    <w:rsid w:val="00CF430C"/>
    <w:rsid w:val="00CF4410"/>
    <w:rsid w:val="00CF48C4"/>
    <w:rsid w:val="00CF4EA2"/>
    <w:rsid w:val="00CF5443"/>
    <w:rsid w:val="00CF595D"/>
    <w:rsid w:val="00CF5AA3"/>
    <w:rsid w:val="00CF5D85"/>
    <w:rsid w:val="00CF636A"/>
    <w:rsid w:val="00CF7338"/>
    <w:rsid w:val="00CF7F8C"/>
    <w:rsid w:val="00D00254"/>
    <w:rsid w:val="00D01B58"/>
    <w:rsid w:val="00D02620"/>
    <w:rsid w:val="00D02887"/>
    <w:rsid w:val="00D0360F"/>
    <w:rsid w:val="00D03AB2"/>
    <w:rsid w:val="00D0450B"/>
    <w:rsid w:val="00D04A08"/>
    <w:rsid w:val="00D04A15"/>
    <w:rsid w:val="00D04F5B"/>
    <w:rsid w:val="00D04FE1"/>
    <w:rsid w:val="00D06BC9"/>
    <w:rsid w:val="00D06F60"/>
    <w:rsid w:val="00D0733E"/>
    <w:rsid w:val="00D07782"/>
    <w:rsid w:val="00D077DB"/>
    <w:rsid w:val="00D10B82"/>
    <w:rsid w:val="00D115A9"/>
    <w:rsid w:val="00D134A9"/>
    <w:rsid w:val="00D13D14"/>
    <w:rsid w:val="00D13E0B"/>
    <w:rsid w:val="00D15237"/>
    <w:rsid w:val="00D15297"/>
    <w:rsid w:val="00D15AE6"/>
    <w:rsid w:val="00D163D7"/>
    <w:rsid w:val="00D172F7"/>
    <w:rsid w:val="00D173DD"/>
    <w:rsid w:val="00D17C13"/>
    <w:rsid w:val="00D2368F"/>
    <w:rsid w:val="00D240D5"/>
    <w:rsid w:val="00D247A3"/>
    <w:rsid w:val="00D247E3"/>
    <w:rsid w:val="00D25010"/>
    <w:rsid w:val="00D250D4"/>
    <w:rsid w:val="00D252B2"/>
    <w:rsid w:val="00D25C4A"/>
    <w:rsid w:val="00D25EE6"/>
    <w:rsid w:val="00D2652C"/>
    <w:rsid w:val="00D2768D"/>
    <w:rsid w:val="00D2782A"/>
    <w:rsid w:val="00D27950"/>
    <w:rsid w:val="00D30111"/>
    <w:rsid w:val="00D304D4"/>
    <w:rsid w:val="00D316D2"/>
    <w:rsid w:val="00D317EE"/>
    <w:rsid w:val="00D31D50"/>
    <w:rsid w:val="00D31E52"/>
    <w:rsid w:val="00D31FC8"/>
    <w:rsid w:val="00D33A29"/>
    <w:rsid w:val="00D33B65"/>
    <w:rsid w:val="00D33F51"/>
    <w:rsid w:val="00D34366"/>
    <w:rsid w:val="00D36135"/>
    <w:rsid w:val="00D36268"/>
    <w:rsid w:val="00D36757"/>
    <w:rsid w:val="00D3686A"/>
    <w:rsid w:val="00D411FA"/>
    <w:rsid w:val="00D4166E"/>
    <w:rsid w:val="00D41AFB"/>
    <w:rsid w:val="00D41DE4"/>
    <w:rsid w:val="00D43542"/>
    <w:rsid w:val="00D435AD"/>
    <w:rsid w:val="00D43C2B"/>
    <w:rsid w:val="00D43FFF"/>
    <w:rsid w:val="00D44DC6"/>
    <w:rsid w:val="00D44DF5"/>
    <w:rsid w:val="00D47A7C"/>
    <w:rsid w:val="00D50A52"/>
    <w:rsid w:val="00D539DD"/>
    <w:rsid w:val="00D53B9D"/>
    <w:rsid w:val="00D53E58"/>
    <w:rsid w:val="00D56A66"/>
    <w:rsid w:val="00D61397"/>
    <w:rsid w:val="00D61995"/>
    <w:rsid w:val="00D6207A"/>
    <w:rsid w:val="00D6290E"/>
    <w:rsid w:val="00D645E1"/>
    <w:rsid w:val="00D64897"/>
    <w:rsid w:val="00D64E42"/>
    <w:rsid w:val="00D64F88"/>
    <w:rsid w:val="00D65691"/>
    <w:rsid w:val="00D65CBD"/>
    <w:rsid w:val="00D66A20"/>
    <w:rsid w:val="00D66EE4"/>
    <w:rsid w:val="00D6717F"/>
    <w:rsid w:val="00D674ED"/>
    <w:rsid w:val="00D67C08"/>
    <w:rsid w:val="00D67C47"/>
    <w:rsid w:val="00D67DBA"/>
    <w:rsid w:val="00D719E5"/>
    <w:rsid w:val="00D72876"/>
    <w:rsid w:val="00D7305B"/>
    <w:rsid w:val="00D74B48"/>
    <w:rsid w:val="00D75148"/>
    <w:rsid w:val="00D75302"/>
    <w:rsid w:val="00D75A3A"/>
    <w:rsid w:val="00D76616"/>
    <w:rsid w:val="00D76D94"/>
    <w:rsid w:val="00D76F33"/>
    <w:rsid w:val="00D7781A"/>
    <w:rsid w:val="00D77922"/>
    <w:rsid w:val="00D80846"/>
    <w:rsid w:val="00D808EC"/>
    <w:rsid w:val="00D808FC"/>
    <w:rsid w:val="00D8230A"/>
    <w:rsid w:val="00D82868"/>
    <w:rsid w:val="00D82884"/>
    <w:rsid w:val="00D8315A"/>
    <w:rsid w:val="00D83714"/>
    <w:rsid w:val="00D84B72"/>
    <w:rsid w:val="00D84E65"/>
    <w:rsid w:val="00D85037"/>
    <w:rsid w:val="00D851A4"/>
    <w:rsid w:val="00D86141"/>
    <w:rsid w:val="00D866F6"/>
    <w:rsid w:val="00D86DC0"/>
    <w:rsid w:val="00D86FBE"/>
    <w:rsid w:val="00D87885"/>
    <w:rsid w:val="00D87B3D"/>
    <w:rsid w:val="00D90436"/>
    <w:rsid w:val="00D904B7"/>
    <w:rsid w:val="00D9079A"/>
    <w:rsid w:val="00D90945"/>
    <w:rsid w:val="00D90BCA"/>
    <w:rsid w:val="00D90D74"/>
    <w:rsid w:val="00D912CC"/>
    <w:rsid w:val="00D91563"/>
    <w:rsid w:val="00D92409"/>
    <w:rsid w:val="00D92D51"/>
    <w:rsid w:val="00D92EAA"/>
    <w:rsid w:val="00D95242"/>
    <w:rsid w:val="00D96EBD"/>
    <w:rsid w:val="00D97101"/>
    <w:rsid w:val="00DA0150"/>
    <w:rsid w:val="00DA0855"/>
    <w:rsid w:val="00DA0B54"/>
    <w:rsid w:val="00DA0D08"/>
    <w:rsid w:val="00DA1550"/>
    <w:rsid w:val="00DA1602"/>
    <w:rsid w:val="00DA23E5"/>
    <w:rsid w:val="00DA271B"/>
    <w:rsid w:val="00DA37AF"/>
    <w:rsid w:val="00DA5426"/>
    <w:rsid w:val="00DA5896"/>
    <w:rsid w:val="00DA5E4E"/>
    <w:rsid w:val="00DA5E84"/>
    <w:rsid w:val="00DA6334"/>
    <w:rsid w:val="00DA65CF"/>
    <w:rsid w:val="00DA6689"/>
    <w:rsid w:val="00DA673E"/>
    <w:rsid w:val="00DA6774"/>
    <w:rsid w:val="00DB0307"/>
    <w:rsid w:val="00DB0C19"/>
    <w:rsid w:val="00DB0D94"/>
    <w:rsid w:val="00DB0FC9"/>
    <w:rsid w:val="00DB1345"/>
    <w:rsid w:val="00DB1644"/>
    <w:rsid w:val="00DB2CB7"/>
    <w:rsid w:val="00DB3698"/>
    <w:rsid w:val="00DB36C7"/>
    <w:rsid w:val="00DB36CE"/>
    <w:rsid w:val="00DB4529"/>
    <w:rsid w:val="00DB49F9"/>
    <w:rsid w:val="00DB5595"/>
    <w:rsid w:val="00DB6130"/>
    <w:rsid w:val="00DB6E99"/>
    <w:rsid w:val="00DB71DD"/>
    <w:rsid w:val="00DB78CA"/>
    <w:rsid w:val="00DB7D86"/>
    <w:rsid w:val="00DB7E17"/>
    <w:rsid w:val="00DC0733"/>
    <w:rsid w:val="00DC1582"/>
    <w:rsid w:val="00DC1ACE"/>
    <w:rsid w:val="00DC2B64"/>
    <w:rsid w:val="00DC3C23"/>
    <w:rsid w:val="00DC4505"/>
    <w:rsid w:val="00DC4749"/>
    <w:rsid w:val="00DC5427"/>
    <w:rsid w:val="00DC5510"/>
    <w:rsid w:val="00DC55F8"/>
    <w:rsid w:val="00DC5E96"/>
    <w:rsid w:val="00DC654F"/>
    <w:rsid w:val="00DC7EE3"/>
    <w:rsid w:val="00DD013A"/>
    <w:rsid w:val="00DD021F"/>
    <w:rsid w:val="00DD1B4A"/>
    <w:rsid w:val="00DD1C9E"/>
    <w:rsid w:val="00DD208A"/>
    <w:rsid w:val="00DD21C4"/>
    <w:rsid w:val="00DD281A"/>
    <w:rsid w:val="00DD2B5E"/>
    <w:rsid w:val="00DD2C05"/>
    <w:rsid w:val="00DD3C22"/>
    <w:rsid w:val="00DD3DA9"/>
    <w:rsid w:val="00DD449A"/>
    <w:rsid w:val="00DD4BFB"/>
    <w:rsid w:val="00DD51B3"/>
    <w:rsid w:val="00DD5EF3"/>
    <w:rsid w:val="00DD6A58"/>
    <w:rsid w:val="00DD6E82"/>
    <w:rsid w:val="00DD79F0"/>
    <w:rsid w:val="00DE0D94"/>
    <w:rsid w:val="00DE1F5D"/>
    <w:rsid w:val="00DE21E3"/>
    <w:rsid w:val="00DE27D0"/>
    <w:rsid w:val="00DE27F7"/>
    <w:rsid w:val="00DE2BDD"/>
    <w:rsid w:val="00DE34A4"/>
    <w:rsid w:val="00DE3961"/>
    <w:rsid w:val="00DE4FF1"/>
    <w:rsid w:val="00DE5169"/>
    <w:rsid w:val="00DE56C5"/>
    <w:rsid w:val="00DE5E1F"/>
    <w:rsid w:val="00DE6165"/>
    <w:rsid w:val="00DE656A"/>
    <w:rsid w:val="00DE7BA7"/>
    <w:rsid w:val="00DF052F"/>
    <w:rsid w:val="00DF0BEE"/>
    <w:rsid w:val="00DF0D68"/>
    <w:rsid w:val="00DF123B"/>
    <w:rsid w:val="00DF1BFA"/>
    <w:rsid w:val="00DF31B7"/>
    <w:rsid w:val="00DF39B1"/>
    <w:rsid w:val="00DF3E8B"/>
    <w:rsid w:val="00DF567B"/>
    <w:rsid w:val="00DF5FB6"/>
    <w:rsid w:val="00DF6228"/>
    <w:rsid w:val="00DF63F2"/>
    <w:rsid w:val="00DF6D0A"/>
    <w:rsid w:val="00DF6DDD"/>
    <w:rsid w:val="00DF7053"/>
    <w:rsid w:val="00E002EB"/>
    <w:rsid w:val="00E01D42"/>
    <w:rsid w:val="00E02229"/>
    <w:rsid w:val="00E02369"/>
    <w:rsid w:val="00E02BC9"/>
    <w:rsid w:val="00E03D37"/>
    <w:rsid w:val="00E047AC"/>
    <w:rsid w:val="00E04814"/>
    <w:rsid w:val="00E04D08"/>
    <w:rsid w:val="00E05043"/>
    <w:rsid w:val="00E05066"/>
    <w:rsid w:val="00E0525C"/>
    <w:rsid w:val="00E05D29"/>
    <w:rsid w:val="00E06D0A"/>
    <w:rsid w:val="00E070B8"/>
    <w:rsid w:val="00E0728A"/>
    <w:rsid w:val="00E07B08"/>
    <w:rsid w:val="00E07B49"/>
    <w:rsid w:val="00E07CA3"/>
    <w:rsid w:val="00E07CCB"/>
    <w:rsid w:val="00E07EF3"/>
    <w:rsid w:val="00E10870"/>
    <w:rsid w:val="00E10AFA"/>
    <w:rsid w:val="00E1157B"/>
    <w:rsid w:val="00E115B0"/>
    <w:rsid w:val="00E1212F"/>
    <w:rsid w:val="00E12B51"/>
    <w:rsid w:val="00E1344E"/>
    <w:rsid w:val="00E13A36"/>
    <w:rsid w:val="00E15343"/>
    <w:rsid w:val="00E1573C"/>
    <w:rsid w:val="00E15A6D"/>
    <w:rsid w:val="00E16317"/>
    <w:rsid w:val="00E16BD0"/>
    <w:rsid w:val="00E16F0F"/>
    <w:rsid w:val="00E207B8"/>
    <w:rsid w:val="00E20A6A"/>
    <w:rsid w:val="00E21036"/>
    <w:rsid w:val="00E21068"/>
    <w:rsid w:val="00E23E25"/>
    <w:rsid w:val="00E23EFE"/>
    <w:rsid w:val="00E23F3D"/>
    <w:rsid w:val="00E2400F"/>
    <w:rsid w:val="00E248E7"/>
    <w:rsid w:val="00E25095"/>
    <w:rsid w:val="00E252B3"/>
    <w:rsid w:val="00E25C38"/>
    <w:rsid w:val="00E25E28"/>
    <w:rsid w:val="00E265DA"/>
    <w:rsid w:val="00E26F9C"/>
    <w:rsid w:val="00E2708C"/>
    <w:rsid w:val="00E31805"/>
    <w:rsid w:val="00E31ABC"/>
    <w:rsid w:val="00E31C7D"/>
    <w:rsid w:val="00E32852"/>
    <w:rsid w:val="00E338E6"/>
    <w:rsid w:val="00E33D74"/>
    <w:rsid w:val="00E34612"/>
    <w:rsid w:val="00E34B98"/>
    <w:rsid w:val="00E3560A"/>
    <w:rsid w:val="00E35A8C"/>
    <w:rsid w:val="00E36521"/>
    <w:rsid w:val="00E367E7"/>
    <w:rsid w:val="00E37F53"/>
    <w:rsid w:val="00E400E5"/>
    <w:rsid w:val="00E40FFA"/>
    <w:rsid w:val="00E41C34"/>
    <w:rsid w:val="00E42A80"/>
    <w:rsid w:val="00E43839"/>
    <w:rsid w:val="00E43D56"/>
    <w:rsid w:val="00E43D5B"/>
    <w:rsid w:val="00E43EC9"/>
    <w:rsid w:val="00E46307"/>
    <w:rsid w:val="00E47BE1"/>
    <w:rsid w:val="00E500BA"/>
    <w:rsid w:val="00E502A2"/>
    <w:rsid w:val="00E510D5"/>
    <w:rsid w:val="00E5188B"/>
    <w:rsid w:val="00E52CC4"/>
    <w:rsid w:val="00E52DAE"/>
    <w:rsid w:val="00E530A2"/>
    <w:rsid w:val="00E53742"/>
    <w:rsid w:val="00E5440E"/>
    <w:rsid w:val="00E5472A"/>
    <w:rsid w:val="00E54C24"/>
    <w:rsid w:val="00E556D5"/>
    <w:rsid w:val="00E5611F"/>
    <w:rsid w:val="00E562DD"/>
    <w:rsid w:val="00E563B9"/>
    <w:rsid w:val="00E56A26"/>
    <w:rsid w:val="00E56D5F"/>
    <w:rsid w:val="00E5781D"/>
    <w:rsid w:val="00E60242"/>
    <w:rsid w:val="00E60FBA"/>
    <w:rsid w:val="00E61373"/>
    <w:rsid w:val="00E6189D"/>
    <w:rsid w:val="00E618A0"/>
    <w:rsid w:val="00E61DD4"/>
    <w:rsid w:val="00E6248C"/>
    <w:rsid w:val="00E630AE"/>
    <w:rsid w:val="00E63926"/>
    <w:rsid w:val="00E63DBC"/>
    <w:rsid w:val="00E64357"/>
    <w:rsid w:val="00E6445C"/>
    <w:rsid w:val="00E64481"/>
    <w:rsid w:val="00E70DA7"/>
    <w:rsid w:val="00E712E6"/>
    <w:rsid w:val="00E722B6"/>
    <w:rsid w:val="00E7257A"/>
    <w:rsid w:val="00E72C50"/>
    <w:rsid w:val="00E73401"/>
    <w:rsid w:val="00E737F3"/>
    <w:rsid w:val="00E73AD2"/>
    <w:rsid w:val="00E73E30"/>
    <w:rsid w:val="00E74326"/>
    <w:rsid w:val="00E74A2A"/>
    <w:rsid w:val="00E750CA"/>
    <w:rsid w:val="00E7512F"/>
    <w:rsid w:val="00E766C2"/>
    <w:rsid w:val="00E76A5F"/>
    <w:rsid w:val="00E76AD4"/>
    <w:rsid w:val="00E76DAC"/>
    <w:rsid w:val="00E77112"/>
    <w:rsid w:val="00E77463"/>
    <w:rsid w:val="00E778A0"/>
    <w:rsid w:val="00E77903"/>
    <w:rsid w:val="00E77B52"/>
    <w:rsid w:val="00E77EAA"/>
    <w:rsid w:val="00E82A10"/>
    <w:rsid w:val="00E82C03"/>
    <w:rsid w:val="00E839B6"/>
    <w:rsid w:val="00E83BFA"/>
    <w:rsid w:val="00E84675"/>
    <w:rsid w:val="00E84CE3"/>
    <w:rsid w:val="00E854D1"/>
    <w:rsid w:val="00E85921"/>
    <w:rsid w:val="00E85E61"/>
    <w:rsid w:val="00E864F6"/>
    <w:rsid w:val="00E865EA"/>
    <w:rsid w:val="00E90F9F"/>
    <w:rsid w:val="00E915C5"/>
    <w:rsid w:val="00E916FE"/>
    <w:rsid w:val="00E9177A"/>
    <w:rsid w:val="00E91994"/>
    <w:rsid w:val="00E91F77"/>
    <w:rsid w:val="00E926A8"/>
    <w:rsid w:val="00E92798"/>
    <w:rsid w:val="00E92832"/>
    <w:rsid w:val="00E92CB0"/>
    <w:rsid w:val="00E936B2"/>
    <w:rsid w:val="00E93B5E"/>
    <w:rsid w:val="00E93EAD"/>
    <w:rsid w:val="00E93FE1"/>
    <w:rsid w:val="00E942CA"/>
    <w:rsid w:val="00E94730"/>
    <w:rsid w:val="00E94C6F"/>
    <w:rsid w:val="00E954F5"/>
    <w:rsid w:val="00E95A86"/>
    <w:rsid w:val="00E95B58"/>
    <w:rsid w:val="00E95BB9"/>
    <w:rsid w:val="00E9733D"/>
    <w:rsid w:val="00E97C9E"/>
    <w:rsid w:val="00EA04A9"/>
    <w:rsid w:val="00EA0A44"/>
    <w:rsid w:val="00EA0E1D"/>
    <w:rsid w:val="00EA1F79"/>
    <w:rsid w:val="00EA219B"/>
    <w:rsid w:val="00EA2F50"/>
    <w:rsid w:val="00EA2FDF"/>
    <w:rsid w:val="00EA30FD"/>
    <w:rsid w:val="00EA318B"/>
    <w:rsid w:val="00EA35A1"/>
    <w:rsid w:val="00EA44F1"/>
    <w:rsid w:val="00EA4A57"/>
    <w:rsid w:val="00EA67A8"/>
    <w:rsid w:val="00EA6FA5"/>
    <w:rsid w:val="00EA768A"/>
    <w:rsid w:val="00EA7A61"/>
    <w:rsid w:val="00EA7B06"/>
    <w:rsid w:val="00EB02DF"/>
    <w:rsid w:val="00EB0352"/>
    <w:rsid w:val="00EB0A26"/>
    <w:rsid w:val="00EB0F76"/>
    <w:rsid w:val="00EB10FC"/>
    <w:rsid w:val="00EB12BD"/>
    <w:rsid w:val="00EB1805"/>
    <w:rsid w:val="00EB1C54"/>
    <w:rsid w:val="00EB1D71"/>
    <w:rsid w:val="00EB1E6C"/>
    <w:rsid w:val="00EB26E1"/>
    <w:rsid w:val="00EB27A0"/>
    <w:rsid w:val="00EB33DF"/>
    <w:rsid w:val="00EB35D3"/>
    <w:rsid w:val="00EB4210"/>
    <w:rsid w:val="00EB5103"/>
    <w:rsid w:val="00EB5E26"/>
    <w:rsid w:val="00EB64E1"/>
    <w:rsid w:val="00EB704C"/>
    <w:rsid w:val="00EB7D16"/>
    <w:rsid w:val="00EC0E54"/>
    <w:rsid w:val="00EC2C2D"/>
    <w:rsid w:val="00EC3627"/>
    <w:rsid w:val="00EC4762"/>
    <w:rsid w:val="00EC49E2"/>
    <w:rsid w:val="00EC4B17"/>
    <w:rsid w:val="00EC5374"/>
    <w:rsid w:val="00EC5E2D"/>
    <w:rsid w:val="00EC6C2E"/>
    <w:rsid w:val="00EC7613"/>
    <w:rsid w:val="00EC7806"/>
    <w:rsid w:val="00EC7914"/>
    <w:rsid w:val="00EC7FE9"/>
    <w:rsid w:val="00ED002F"/>
    <w:rsid w:val="00ED2E28"/>
    <w:rsid w:val="00ED318E"/>
    <w:rsid w:val="00ED38F8"/>
    <w:rsid w:val="00ED3E01"/>
    <w:rsid w:val="00ED3F5C"/>
    <w:rsid w:val="00ED4E9C"/>
    <w:rsid w:val="00ED5068"/>
    <w:rsid w:val="00ED6D00"/>
    <w:rsid w:val="00ED6D02"/>
    <w:rsid w:val="00ED743A"/>
    <w:rsid w:val="00ED7488"/>
    <w:rsid w:val="00ED7834"/>
    <w:rsid w:val="00ED7BF1"/>
    <w:rsid w:val="00EE0369"/>
    <w:rsid w:val="00EE0CF9"/>
    <w:rsid w:val="00EE146A"/>
    <w:rsid w:val="00EE1892"/>
    <w:rsid w:val="00EE1D96"/>
    <w:rsid w:val="00EE1F4A"/>
    <w:rsid w:val="00EE2C49"/>
    <w:rsid w:val="00EE2C99"/>
    <w:rsid w:val="00EE414E"/>
    <w:rsid w:val="00EE419B"/>
    <w:rsid w:val="00EE4751"/>
    <w:rsid w:val="00EE4BED"/>
    <w:rsid w:val="00EE5439"/>
    <w:rsid w:val="00EE5796"/>
    <w:rsid w:val="00EE6E8C"/>
    <w:rsid w:val="00EE7B49"/>
    <w:rsid w:val="00EF0A22"/>
    <w:rsid w:val="00EF16E9"/>
    <w:rsid w:val="00EF275A"/>
    <w:rsid w:val="00EF2EF5"/>
    <w:rsid w:val="00EF33C6"/>
    <w:rsid w:val="00EF434A"/>
    <w:rsid w:val="00EF4CC9"/>
    <w:rsid w:val="00EF4CD2"/>
    <w:rsid w:val="00EF5361"/>
    <w:rsid w:val="00EF5A85"/>
    <w:rsid w:val="00EF5B06"/>
    <w:rsid w:val="00EF5E5C"/>
    <w:rsid w:val="00EF6664"/>
    <w:rsid w:val="00EF6890"/>
    <w:rsid w:val="00EF6E76"/>
    <w:rsid w:val="00EF79D4"/>
    <w:rsid w:val="00F001AC"/>
    <w:rsid w:val="00F005DE"/>
    <w:rsid w:val="00F0069E"/>
    <w:rsid w:val="00F0151C"/>
    <w:rsid w:val="00F02FA4"/>
    <w:rsid w:val="00F03122"/>
    <w:rsid w:val="00F03E91"/>
    <w:rsid w:val="00F04846"/>
    <w:rsid w:val="00F04B2C"/>
    <w:rsid w:val="00F05190"/>
    <w:rsid w:val="00F060F9"/>
    <w:rsid w:val="00F063B1"/>
    <w:rsid w:val="00F07B2B"/>
    <w:rsid w:val="00F10455"/>
    <w:rsid w:val="00F10A5C"/>
    <w:rsid w:val="00F10DD6"/>
    <w:rsid w:val="00F11638"/>
    <w:rsid w:val="00F119AE"/>
    <w:rsid w:val="00F11B49"/>
    <w:rsid w:val="00F12828"/>
    <w:rsid w:val="00F13386"/>
    <w:rsid w:val="00F13730"/>
    <w:rsid w:val="00F13E83"/>
    <w:rsid w:val="00F14D71"/>
    <w:rsid w:val="00F14DB7"/>
    <w:rsid w:val="00F15657"/>
    <w:rsid w:val="00F1632A"/>
    <w:rsid w:val="00F16962"/>
    <w:rsid w:val="00F16A15"/>
    <w:rsid w:val="00F1771D"/>
    <w:rsid w:val="00F2019D"/>
    <w:rsid w:val="00F20AEE"/>
    <w:rsid w:val="00F211B0"/>
    <w:rsid w:val="00F216A3"/>
    <w:rsid w:val="00F21B0C"/>
    <w:rsid w:val="00F222DF"/>
    <w:rsid w:val="00F22542"/>
    <w:rsid w:val="00F228B3"/>
    <w:rsid w:val="00F235A4"/>
    <w:rsid w:val="00F246F6"/>
    <w:rsid w:val="00F25248"/>
    <w:rsid w:val="00F25348"/>
    <w:rsid w:val="00F25FF3"/>
    <w:rsid w:val="00F266F5"/>
    <w:rsid w:val="00F26763"/>
    <w:rsid w:val="00F2759E"/>
    <w:rsid w:val="00F279E3"/>
    <w:rsid w:val="00F27E86"/>
    <w:rsid w:val="00F300B5"/>
    <w:rsid w:val="00F30898"/>
    <w:rsid w:val="00F30D80"/>
    <w:rsid w:val="00F31B5F"/>
    <w:rsid w:val="00F31CCF"/>
    <w:rsid w:val="00F31D28"/>
    <w:rsid w:val="00F322AB"/>
    <w:rsid w:val="00F33641"/>
    <w:rsid w:val="00F336B9"/>
    <w:rsid w:val="00F34726"/>
    <w:rsid w:val="00F347AD"/>
    <w:rsid w:val="00F3509D"/>
    <w:rsid w:val="00F35432"/>
    <w:rsid w:val="00F357F0"/>
    <w:rsid w:val="00F35D3E"/>
    <w:rsid w:val="00F3762B"/>
    <w:rsid w:val="00F37CA0"/>
    <w:rsid w:val="00F40391"/>
    <w:rsid w:val="00F403DC"/>
    <w:rsid w:val="00F40A07"/>
    <w:rsid w:val="00F40EA2"/>
    <w:rsid w:val="00F4119E"/>
    <w:rsid w:val="00F42315"/>
    <w:rsid w:val="00F42D2F"/>
    <w:rsid w:val="00F447FF"/>
    <w:rsid w:val="00F45595"/>
    <w:rsid w:val="00F456E4"/>
    <w:rsid w:val="00F462D7"/>
    <w:rsid w:val="00F46FB8"/>
    <w:rsid w:val="00F4760D"/>
    <w:rsid w:val="00F47FA0"/>
    <w:rsid w:val="00F5018A"/>
    <w:rsid w:val="00F50427"/>
    <w:rsid w:val="00F50B18"/>
    <w:rsid w:val="00F50DD0"/>
    <w:rsid w:val="00F50EC0"/>
    <w:rsid w:val="00F50F65"/>
    <w:rsid w:val="00F5109E"/>
    <w:rsid w:val="00F52253"/>
    <w:rsid w:val="00F538B6"/>
    <w:rsid w:val="00F541CA"/>
    <w:rsid w:val="00F5431F"/>
    <w:rsid w:val="00F54EB5"/>
    <w:rsid w:val="00F5579F"/>
    <w:rsid w:val="00F558D5"/>
    <w:rsid w:val="00F55FE9"/>
    <w:rsid w:val="00F56FB4"/>
    <w:rsid w:val="00F571C8"/>
    <w:rsid w:val="00F57280"/>
    <w:rsid w:val="00F573AB"/>
    <w:rsid w:val="00F57BB2"/>
    <w:rsid w:val="00F600C8"/>
    <w:rsid w:val="00F6054C"/>
    <w:rsid w:val="00F6073B"/>
    <w:rsid w:val="00F60AE3"/>
    <w:rsid w:val="00F610E8"/>
    <w:rsid w:val="00F61A82"/>
    <w:rsid w:val="00F621D9"/>
    <w:rsid w:val="00F621F8"/>
    <w:rsid w:val="00F62772"/>
    <w:rsid w:val="00F62CED"/>
    <w:rsid w:val="00F62FB0"/>
    <w:rsid w:val="00F63FCE"/>
    <w:rsid w:val="00F64925"/>
    <w:rsid w:val="00F65692"/>
    <w:rsid w:val="00F656F5"/>
    <w:rsid w:val="00F65C0B"/>
    <w:rsid w:val="00F66AE8"/>
    <w:rsid w:val="00F67A34"/>
    <w:rsid w:val="00F67D93"/>
    <w:rsid w:val="00F73C64"/>
    <w:rsid w:val="00F7419D"/>
    <w:rsid w:val="00F746CA"/>
    <w:rsid w:val="00F7476E"/>
    <w:rsid w:val="00F74B29"/>
    <w:rsid w:val="00F75E6E"/>
    <w:rsid w:val="00F804B6"/>
    <w:rsid w:val="00F8085F"/>
    <w:rsid w:val="00F81426"/>
    <w:rsid w:val="00F8294A"/>
    <w:rsid w:val="00F83483"/>
    <w:rsid w:val="00F8384E"/>
    <w:rsid w:val="00F8437B"/>
    <w:rsid w:val="00F844EB"/>
    <w:rsid w:val="00F84CA2"/>
    <w:rsid w:val="00F84E90"/>
    <w:rsid w:val="00F85B5A"/>
    <w:rsid w:val="00F86A24"/>
    <w:rsid w:val="00F86CBE"/>
    <w:rsid w:val="00F872A0"/>
    <w:rsid w:val="00F8752B"/>
    <w:rsid w:val="00F87671"/>
    <w:rsid w:val="00F90015"/>
    <w:rsid w:val="00F91102"/>
    <w:rsid w:val="00F911EF"/>
    <w:rsid w:val="00F91BEB"/>
    <w:rsid w:val="00F91C45"/>
    <w:rsid w:val="00F9343E"/>
    <w:rsid w:val="00F93F9C"/>
    <w:rsid w:val="00F93FEC"/>
    <w:rsid w:val="00F9447A"/>
    <w:rsid w:val="00F94CDF"/>
    <w:rsid w:val="00F95D90"/>
    <w:rsid w:val="00F969EA"/>
    <w:rsid w:val="00F9761B"/>
    <w:rsid w:val="00F97892"/>
    <w:rsid w:val="00FA0649"/>
    <w:rsid w:val="00FA06CF"/>
    <w:rsid w:val="00FA0E21"/>
    <w:rsid w:val="00FA0E67"/>
    <w:rsid w:val="00FA26FF"/>
    <w:rsid w:val="00FA2BFD"/>
    <w:rsid w:val="00FA2F81"/>
    <w:rsid w:val="00FA3787"/>
    <w:rsid w:val="00FA3859"/>
    <w:rsid w:val="00FA4243"/>
    <w:rsid w:val="00FA4590"/>
    <w:rsid w:val="00FA4B8C"/>
    <w:rsid w:val="00FA530B"/>
    <w:rsid w:val="00FA557C"/>
    <w:rsid w:val="00FA5C29"/>
    <w:rsid w:val="00FA66DE"/>
    <w:rsid w:val="00FA6719"/>
    <w:rsid w:val="00FA6D27"/>
    <w:rsid w:val="00FA6F6E"/>
    <w:rsid w:val="00FA7033"/>
    <w:rsid w:val="00FA7E12"/>
    <w:rsid w:val="00FB0A39"/>
    <w:rsid w:val="00FB151B"/>
    <w:rsid w:val="00FB18A1"/>
    <w:rsid w:val="00FB1C2A"/>
    <w:rsid w:val="00FB21B4"/>
    <w:rsid w:val="00FB2473"/>
    <w:rsid w:val="00FB2A57"/>
    <w:rsid w:val="00FB30C4"/>
    <w:rsid w:val="00FB33C3"/>
    <w:rsid w:val="00FB35EC"/>
    <w:rsid w:val="00FB36E3"/>
    <w:rsid w:val="00FB3F05"/>
    <w:rsid w:val="00FB4F77"/>
    <w:rsid w:val="00FB5981"/>
    <w:rsid w:val="00FB5D0E"/>
    <w:rsid w:val="00FB5E1C"/>
    <w:rsid w:val="00FB63FC"/>
    <w:rsid w:val="00FB676F"/>
    <w:rsid w:val="00FB7EE4"/>
    <w:rsid w:val="00FC112A"/>
    <w:rsid w:val="00FC1457"/>
    <w:rsid w:val="00FC1A4D"/>
    <w:rsid w:val="00FC1DBE"/>
    <w:rsid w:val="00FC230B"/>
    <w:rsid w:val="00FC2E11"/>
    <w:rsid w:val="00FC3083"/>
    <w:rsid w:val="00FC3118"/>
    <w:rsid w:val="00FC3554"/>
    <w:rsid w:val="00FC4363"/>
    <w:rsid w:val="00FC4972"/>
    <w:rsid w:val="00FC67F2"/>
    <w:rsid w:val="00FC7AC7"/>
    <w:rsid w:val="00FC7DBB"/>
    <w:rsid w:val="00FD007F"/>
    <w:rsid w:val="00FD0088"/>
    <w:rsid w:val="00FD048B"/>
    <w:rsid w:val="00FD0704"/>
    <w:rsid w:val="00FD079B"/>
    <w:rsid w:val="00FD0E1F"/>
    <w:rsid w:val="00FD153F"/>
    <w:rsid w:val="00FD15CF"/>
    <w:rsid w:val="00FD29E8"/>
    <w:rsid w:val="00FD2CDD"/>
    <w:rsid w:val="00FD2DB1"/>
    <w:rsid w:val="00FD387D"/>
    <w:rsid w:val="00FD3BF9"/>
    <w:rsid w:val="00FD6B6D"/>
    <w:rsid w:val="00FD7D9D"/>
    <w:rsid w:val="00FE04D3"/>
    <w:rsid w:val="00FE1406"/>
    <w:rsid w:val="00FE1FFD"/>
    <w:rsid w:val="00FE2669"/>
    <w:rsid w:val="00FE3327"/>
    <w:rsid w:val="00FE4AFF"/>
    <w:rsid w:val="00FE5504"/>
    <w:rsid w:val="00FE57F5"/>
    <w:rsid w:val="00FE5A70"/>
    <w:rsid w:val="00FE62BC"/>
    <w:rsid w:val="00FF0C1D"/>
    <w:rsid w:val="00FF0C39"/>
    <w:rsid w:val="00FF2798"/>
    <w:rsid w:val="00FF2E72"/>
    <w:rsid w:val="00FF3224"/>
    <w:rsid w:val="00FF37E6"/>
    <w:rsid w:val="00FF3D95"/>
    <w:rsid w:val="00FF3E63"/>
    <w:rsid w:val="00FF4D9F"/>
    <w:rsid w:val="00FF4DA0"/>
    <w:rsid w:val="00FF59BE"/>
    <w:rsid w:val="00FF5B44"/>
    <w:rsid w:val="00FF6031"/>
    <w:rsid w:val="00FF644E"/>
    <w:rsid w:val="00FF64B0"/>
    <w:rsid w:val="00FF6BB5"/>
    <w:rsid w:val="00FF7DCC"/>
    <w:rsid w:val="012313A8"/>
    <w:rsid w:val="01241D66"/>
    <w:rsid w:val="01414DFC"/>
    <w:rsid w:val="015A1949"/>
    <w:rsid w:val="01EB45BC"/>
    <w:rsid w:val="022655F4"/>
    <w:rsid w:val="024F7D9B"/>
    <w:rsid w:val="02B04EC5"/>
    <w:rsid w:val="02C74884"/>
    <w:rsid w:val="03127926"/>
    <w:rsid w:val="034100FD"/>
    <w:rsid w:val="036C1254"/>
    <w:rsid w:val="0370464D"/>
    <w:rsid w:val="0443358A"/>
    <w:rsid w:val="045D3C20"/>
    <w:rsid w:val="0469392E"/>
    <w:rsid w:val="04727855"/>
    <w:rsid w:val="04854128"/>
    <w:rsid w:val="04BE5FB8"/>
    <w:rsid w:val="04C2712A"/>
    <w:rsid w:val="052B1173"/>
    <w:rsid w:val="05410997"/>
    <w:rsid w:val="05515807"/>
    <w:rsid w:val="05C22B65"/>
    <w:rsid w:val="06471EF5"/>
    <w:rsid w:val="065344DE"/>
    <w:rsid w:val="065B6186"/>
    <w:rsid w:val="069F4357"/>
    <w:rsid w:val="06B40013"/>
    <w:rsid w:val="06E8731C"/>
    <w:rsid w:val="074F739B"/>
    <w:rsid w:val="0753215C"/>
    <w:rsid w:val="07D70DC6"/>
    <w:rsid w:val="081D2FF5"/>
    <w:rsid w:val="085B58CB"/>
    <w:rsid w:val="08602BF7"/>
    <w:rsid w:val="087064FF"/>
    <w:rsid w:val="087A124D"/>
    <w:rsid w:val="087B37D1"/>
    <w:rsid w:val="08AA59B2"/>
    <w:rsid w:val="0963546C"/>
    <w:rsid w:val="09886B94"/>
    <w:rsid w:val="098A290C"/>
    <w:rsid w:val="098D5F59"/>
    <w:rsid w:val="09992B4F"/>
    <w:rsid w:val="099C43EE"/>
    <w:rsid w:val="09EA33AB"/>
    <w:rsid w:val="0A1C53F5"/>
    <w:rsid w:val="0A2543E3"/>
    <w:rsid w:val="0A314B36"/>
    <w:rsid w:val="0A590531"/>
    <w:rsid w:val="0A656ED5"/>
    <w:rsid w:val="0A6C2012"/>
    <w:rsid w:val="0A71587A"/>
    <w:rsid w:val="0A741F6C"/>
    <w:rsid w:val="0AB85257"/>
    <w:rsid w:val="0AE87DBD"/>
    <w:rsid w:val="0B4072D2"/>
    <w:rsid w:val="0B6131F9"/>
    <w:rsid w:val="0B6158EF"/>
    <w:rsid w:val="0B741296"/>
    <w:rsid w:val="0B770C6E"/>
    <w:rsid w:val="0BCD270E"/>
    <w:rsid w:val="0BE5207C"/>
    <w:rsid w:val="0BEB6F66"/>
    <w:rsid w:val="0C177D5B"/>
    <w:rsid w:val="0C4A6284"/>
    <w:rsid w:val="0C4C26BB"/>
    <w:rsid w:val="0C55046C"/>
    <w:rsid w:val="0C702ABC"/>
    <w:rsid w:val="0C784DC3"/>
    <w:rsid w:val="0CC71781"/>
    <w:rsid w:val="0CF84031"/>
    <w:rsid w:val="0D5C636E"/>
    <w:rsid w:val="0DB937C0"/>
    <w:rsid w:val="0E4312DC"/>
    <w:rsid w:val="0E5B6755"/>
    <w:rsid w:val="0E9B4519"/>
    <w:rsid w:val="0EF8667D"/>
    <w:rsid w:val="0F276507"/>
    <w:rsid w:val="0FB57FB7"/>
    <w:rsid w:val="1004384F"/>
    <w:rsid w:val="10A2001C"/>
    <w:rsid w:val="10B416AB"/>
    <w:rsid w:val="112276B1"/>
    <w:rsid w:val="11294A33"/>
    <w:rsid w:val="114E27DF"/>
    <w:rsid w:val="115B4B8E"/>
    <w:rsid w:val="118C11EC"/>
    <w:rsid w:val="124F46F3"/>
    <w:rsid w:val="12521AED"/>
    <w:rsid w:val="128B14A3"/>
    <w:rsid w:val="12957C2C"/>
    <w:rsid w:val="12A41325"/>
    <w:rsid w:val="12B4434E"/>
    <w:rsid w:val="12B564EC"/>
    <w:rsid w:val="12B9618D"/>
    <w:rsid w:val="12B965D1"/>
    <w:rsid w:val="12BC78AF"/>
    <w:rsid w:val="12EE6606"/>
    <w:rsid w:val="12F17558"/>
    <w:rsid w:val="13335D9C"/>
    <w:rsid w:val="134B185F"/>
    <w:rsid w:val="13BA0DB6"/>
    <w:rsid w:val="13C05634"/>
    <w:rsid w:val="143E3DC5"/>
    <w:rsid w:val="14501AE1"/>
    <w:rsid w:val="14576EEE"/>
    <w:rsid w:val="149312D1"/>
    <w:rsid w:val="149911FA"/>
    <w:rsid w:val="149C6421"/>
    <w:rsid w:val="14A14FAE"/>
    <w:rsid w:val="15D4618E"/>
    <w:rsid w:val="16004D2F"/>
    <w:rsid w:val="162639BD"/>
    <w:rsid w:val="165C0979"/>
    <w:rsid w:val="16EB31F3"/>
    <w:rsid w:val="16F94C2D"/>
    <w:rsid w:val="170809D5"/>
    <w:rsid w:val="17430BBA"/>
    <w:rsid w:val="179051A2"/>
    <w:rsid w:val="1791416D"/>
    <w:rsid w:val="17F141D6"/>
    <w:rsid w:val="18137F71"/>
    <w:rsid w:val="183D3240"/>
    <w:rsid w:val="18494882"/>
    <w:rsid w:val="186D492B"/>
    <w:rsid w:val="18773351"/>
    <w:rsid w:val="188B5D59"/>
    <w:rsid w:val="18B155B2"/>
    <w:rsid w:val="18BA663E"/>
    <w:rsid w:val="18CC324F"/>
    <w:rsid w:val="19704DB0"/>
    <w:rsid w:val="19721B2E"/>
    <w:rsid w:val="1975321B"/>
    <w:rsid w:val="198836FD"/>
    <w:rsid w:val="198B45F5"/>
    <w:rsid w:val="1A0C3249"/>
    <w:rsid w:val="1A3B730B"/>
    <w:rsid w:val="1A6C3C13"/>
    <w:rsid w:val="1A7840BB"/>
    <w:rsid w:val="1A821231"/>
    <w:rsid w:val="1A903AFB"/>
    <w:rsid w:val="1AA524C6"/>
    <w:rsid w:val="1AC40BC8"/>
    <w:rsid w:val="1B742AD4"/>
    <w:rsid w:val="1B94686F"/>
    <w:rsid w:val="1C3A21CE"/>
    <w:rsid w:val="1C536B8E"/>
    <w:rsid w:val="1C6B3C57"/>
    <w:rsid w:val="1C734345"/>
    <w:rsid w:val="1D5D18CB"/>
    <w:rsid w:val="1DAB6F5C"/>
    <w:rsid w:val="1DD957B9"/>
    <w:rsid w:val="1E330118"/>
    <w:rsid w:val="1E522E75"/>
    <w:rsid w:val="1E7717D8"/>
    <w:rsid w:val="1E974FF7"/>
    <w:rsid w:val="1EAF0D67"/>
    <w:rsid w:val="1EEF255A"/>
    <w:rsid w:val="1F3512A1"/>
    <w:rsid w:val="1F6650D5"/>
    <w:rsid w:val="1F707A5F"/>
    <w:rsid w:val="1F784C8E"/>
    <w:rsid w:val="1F7C19F0"/>
    <w:rsid w:val="1F7D3F22"/>
    <w:rsid w:val="1F974FE3"/>
    <w:rsid w:val="1FFC2F87"/>
    <w:rsid w:val="20110BFB"/>
    <w:rsid w:val="204809D3"/>
    <w:rsid w:val="2061790D"/>
    <w:rsid w:val="207D067D"/>
    <w:rsid w:val="208A0FEC"/>
    <w:rsid w:val="208E288A"/>
    <w:rsid w:val="20C61E17"/>
    <w:rsid w:val="210C1A01"/>
    <w:rsid w:val="2113274F"/>
    <w:rsid w:val="2130749E"/>
    <w:rsid w:val="21696E53"/>
    <w:rsid w:val="21747CD2"/>
    <w:rsid w:val="21A06224"/>
    <w:rsid w:val="22396826"/>
    <w:rsid w:val="223C00C4"/>
    <w:rsid w:val="224213C4"/>
    <w:rsid w:val="22422982"/>
    <w:rsid w:val="22511DC1"/>
    <w:rsid w:val="22590C76"/>
    <w:rsid w:val="228A066A"/>
    <w:rsid w:val="22993850"/>
    <w:rsid w:val="23076924"/>
    <w:rsid w:val="230955A2"/>
    <w:rsid w:val="230E380E"/>
    <w:rsid w:val="23256DAA"/>
    <w:rsid w:val="234C07DB"/>
    <w:rsid w:val="239857CE"/>
    <w:rsid w:val="239C52BE"/>
    <w:rsid w:val="23B52D23"/>
    <w:rsid w:val="23E659D9"/>
    <w:rsid w:val="241821B3"/>
    <w:rsid w:val="241D0191"/>
    <w:rsid w:val="241E6ECF"/>
    <w:rsid w:val="243948BB"/>
    <w:rsid w:val="246C2EE2"/>
    <w:rsid w:val="24800C56"/>
    <w:rsid w:val="24EA02AB"/>
    <w:rsid w:val="24F133E8"/>
    <w:rsid w:val="24F56B47"/>
    <w:rsid w:val="25001A40"/>
    <w:rsid w:val="252E1F46"/>
    <w:rsid w:val="25494FD2"/>
    <w:rsid w:val="25525D71"/>
    <w:rsid w:val="25EA79C9"/>
    <w:rsid w:val="25F767DC"/>
    <w:rsid w:val="2600781F"/>
    <w:rsid w:val="265359DC"/>
    <w:rsid w:val="26547BF7"/>
    <w:rsid w:val="266B541C"/>
    <w:rsid w:val="268D2FF6"/>
    <w:rsid w:val="269404CF"/>
    <w:rsid w:val="26AB105A"/>
    <w:rsid w:val="26D152FC"/>
    <w:rsid w:val="272D57DE"/>
    <w:rsid w:val="27416AF7"/>
    <w:rsid w:val="2742617D"/>
    <w:rsid w:val="274C308E"/>
    <w:rsid w:val="27B9574A"/>
    <w:rsid w:val="27C351B9"/>
    <w:rsid w:val="27EC76EB"/>
    <w:rsid w:val="27FE5239"/>
    <w:rsid w:val="28397580"/>
    <w:rsid w:val="28592791"/>
    <w:rsid w:val="286A3F94"/>
    <w:rsid w:val="28771791"/>
    <w:rsid w:val="28B135BA"/>
    <w:rsid w:val="28DF17A9"/>
    <w:rsid w:val="28E36F17"/>
    <w:rsid w:val="29332221"/>
    <w:rsid w:val="293D309F"/>
    <w:rsid w:val="29926F07"/>
    <w:rsid w:val="29DF5B75"/>
    <w:rsid w:val="2A070FB7"/>
    <w:rsid w:val="2A0D7B92"/>
    <w:rsid w:val="2A4B446B"/>
    <w:rsid w:val="2A4E6BE6"/>
    <w:rsid w:val="2ABE1FBE"/>
    <w:rsid w:val="2AC86999"/>
    <w:rsid w:val="2AE00186"/>
    <w:rsid w:val="2AED28A3"/>
    <w:rsid w:val="2AF14141"/>
    <w:rsid w:val="2AF27EBA"/>
    <w:rsid w:val="2B4A5600"/>
    <w:rsid w:val="2B72520D"/>
    <w:rsid w:val="2BF612E4"/>
    <w:rsid w:val="2C480104"/>
    <w:rsid w:val="2CB431B9"/>
    <w:rsid w:val="2D2105E2"/>
    <w:rsid w:val="2D6A7F4C"/>
    <w:rsid w:val="2D901D4F"/>
    <w:rsid w:val="2DA61691"/>
    <w:rsid w:val="2DB057BD"/>
    <w:rsid w:val="2E53788E"/>
    <w:rsid w:val="2E76670C"/>
    <w:rsid w:val="2E9D638E"/>
    <w:rsid w:val="2EAC37A0"/>
    <w:rsid w:val="2EAD65D1"/>
    <w:rsid w:val="2EB931C8"/>
    <w:rsid w:val="2EBB6E77"/>
    <w:rsid w:val="2EF259DB"/>
    <w:rsid w:val="2F000DF7"/>
    <w:rsid w:val="2F176141"/>
    <w:rsid w:val="2F3C1703"/>
    <w:rsid w:val="2F503401"/>
    <w:rsid w:val="2F652BCF"/>
    <w:rsid w:val="2F8A3739"/>
    <w:rsid w:val="2FA63021"/>
    <w:rsid w:val="2FA97C7C"/>
    <w:rsid w:val="2FF16992"/>
    <w:rsid w:val="2FF25082"/>
    <w:rsid w:val="300C7328"/>
    <w:rsid w:val="30443DB0"/>
    <w:rsid w:val="306C5B13"/>
    <w:rsid w:val="30D20571"/>
    <w:rsid w:val="30DE27BB"/>
    <w:rsid w:val="30F11318"/>
    <w:rsid w:val="30F36EDD"/>
    <w:rsid w:val="314D2F38"/>
    <w:rsid w:val="31732CAF"/>
    <w:rsid w:val="319A736D"/>
    <w:rsid w:val="31A555F2"/>
    <w:rsid w:val="31CB6D6E"/>
    <w:rsid w:val="31D976DD"/>
    <w:rsid w:val="324E2E67"/>
    <w:rsid w:val="32A23C75"/>
    <w:rsid w:val="32AE2918"/>
    <w:rsid w:val="32C17C91"/>
    <w:rsid w:val="32E36D8A"/>
    <w:rsid w:val="32EB093E"/>
    <w:rsid w:val="331177C9"/>
    <w:rsid w:val="33122EA7"/>
    <w:rsid w:val="33154745"/>
    <w:rsid w:val="333429AC"/>
    <w:rsid w:val="333A4252"/>
    <w:rsid w:val="336F6F2E"/>
    <w:rsid w:val="33995376"/>
    <w:rsid w:val="33A132C4"/>
    <w:rsid w:val="33A87367"/>
    <w:rsid w:val="340B4EF1"/>
    <w:rsid w:val="342C40ED"/>
    <w:rsid w:val="342C61EA"/>
    <w:rsid w:val="34762D43"/>
    <w:rsid w:val="34A35D81"/>
    <w:rsid w:val="350A2A80"/>
    <w:rsid w:val="354258EB"/>
    <w:rsid w:val="354748F9"/>
    <w:rsid w:val="3586192A"/>
    <w:rsid w:val="35BF5405"/>
    <w:rsid w:val="36687282"/>
    <w:rsid w:val="368C4D1E"/>
    <w:rsid w:val="36BC40FA"/>
    <w:rsid w:val="36CA1CEB"/>
    <w:rsid w:val="36E903C3"/>
    <w:rsid w:val="375813ED"/>
    <w:rsid w:val="3766522A"/>
    <w:rsid w:val="377203B8"/>
    <w:rsid w:val="37BD34CB"/>
    <w:rsid w:val="37D23FA3"/>
    <w:rsid w:val="37D366FF"/>
    <w:rsid w:val="37EA0736"/>
    <w:rsid w:val="389B1225"/>
    <w:rsid w:val="38BF03A8"/>
    <w:rsid w:val="38C5212E"/>
    <w:rsid w:val="38E2156D"/>
    <w:rsid w:val="39B27192"/>
    <w:rsid w:val="3A015ACD"/>
    <w:rsid w:val="3A194521"/>
    <w:rsid w:val="3A443B62"/>
    <w:rsid w:val="3A4D1EF5"/>
    <w:rsid w:val="3A4F1DB8"/>
    <w:rsid w:val="3A6A646E"/>
    <w:rsid w:val="3A835B42"/>
    <w:rsid w:val="3A9D55D1"/>
    <w:rsid w:val="3AEF1D20"/>
    <w:rsid w:val="3B41437E"/>
    <w:rsid w:val="3B730DDD"/>
    <w:rsid w:val="3BA448B8"/>
    <w:rsid w:val="3BA45C07"/>
    <w:rsid w:val="3BD32F42"/>
    <w:rsid w:val="3C30439E"/>
    <w:rsid w:val="3C561EE4"/>
    <w:rsid w:val="3CE96C03"/>
    <w:rsid w:val="3CEA279F"/>
    <w:rsid w:val="3CED04E1"/>
    <w:rsid w:val="3CF7076A"/>
    <w:rsid w:val="3D164A9B"/>
    <w:rsid w:val="3D2D7E6E"/>
    <w:rsid w:val="3D4520CB"/>
    <w:rsid w:val="3DB159B2"/>
    <w:rsid w:val="3DD27E02"/>
    <w:rsid w:val="3DF80EEB"/>
    <w:rsid w:val="3E104D62"/>
    <w:rsid w:val="3E153394"/>
    <w:rsid w:val="3E3D3671"/>
    <w:rsid w:val="3E465190"/>
    <w:rsid w:val="3E573E64"/>
    <w:rsid w:val="3ED07C32"/>
    <w:rsid w:val="3EFC4A0B"/>
    <w:rsid w:val="3F83631C"/>
    <w:rsid w:val="3FDD6F27"/>
    <w:rsid w:val="3FE536F1"/>
    <w:rsid w:val="3FF84816"/>
    <w:rsid w:val="4044666A"/>
    <w:rsid w:val="404C539D"/>
    <w:rsid w:val="40A65336"/>
    <w:rsid w:val="40AC7BA9"/>
    <w:rsid w:val="40BA161C"/>
    <w:rsid w:val="40E8793D"/>
    <w:rsid w:val="41053ABB"/>
    <w:rsid w:val="41154673"/>
    <w:rsid w:val="41173D7E"/>
    <w:rsid w:val="411D7EC4"/>
    <w:rsid w:val="41452699"/>
    <w:rsid w:val="41647764"/>
    <w:rsid w:val="417D58F7"/>
    <w:rsid w:val="41A06227"/>
    <w:rsid w:val="41AE5C01"/>
    <w:rsid w:val="41FB71FC"/>
    <w:rsid w:val="42287F9C"/>
    <w:rsid w:val="42311E19"/>
    <w:rsid w:val="423F2A71"/>
    <w:rsid w:val="42552DB0"/>
    <w:rsid w:val="426C3C56"/>
    <w:rsid w:val="42B70378"/>
    <w:rsid w:val="42C121F4"/>
    <w:rsid w:val="42FE5101"/>
    <w:rsid w:val="430D368B"/>
    <w:rsid w:val="430D71E7"/>
    <w:rsid w:val="43205F33"/>
    <w:rsid w:val="433230F1"/>
    <w:rsid w:val="437E0267"/>
    <w:rsid w:val="438D20D6"/>
    <w:rsid w:val="439158A4"/>
    <w:rsid w:val="43923B90"/>
    <w:rsid w:val="43B6162D"/>
    <w:rsid w:val="43DB35C0"/>
    <w:rsid w:val="43E55D5F"/>
    <w:rsid w:val="440D7D3C"/>
    <w:rsid w:val="44232BF0"/>
    <w:rsid w:val="445C6678"/>
    <w:rsid w:val="44703230"/>
    <w:rsid w:val="448A413C"/>
    <w:rsid w:val="448E4357"/>
    <w:rsid w:val="44BD48B0"/>
    <w:rsid w:val="45007B43"/>
    <w:rsid w:val="45264590"/>
    <w:rsid w:val="452B6739"/>
    <w:rsid w:val="45435142"/>
    <w:rsid w:val="454B473F"/>
    <w:rsid w:val="455235D7"/>
    <w:rsid w:val="456665EB"/>
    <w:rsid w:val="45C476CC"/>
    <w:rsid w:val="45FC3543"/>
    <w:rsid w:val="462B2350"/>
    <w:rsid w:val="4631230E"/>
    <w:rsid w:val="46A017ED"/>
    <w:rsid w:val="47237A16"/>
    <w:rsid w:val="47672E20"/>
    <w:rsid w:val="476A2E5A"/>
    <w:rsid w:val="477318DA"/>
    <w:rsid w:val="47A81FAC"/>
    <w:rsid w:val="47D928F1"/>
    <w:rsid w:val="47E03605"/>
    <w:rsid w:val="48074B4D"/>
    <w:rsid w:val="480E0463"/>
    <w:rsid w:val="4842763A"/>
    <w:rsid w:val="4860425D"/>
    <w:rsid w:val="48623B31"/>
    <w:rsid w:val="488717E9"/>
    <w:rsid w:val="4907292A"/>
    <w:rsid w:val="490F5E15"/>
    <w:rsid w:val="492601CA"/>
    <w:rsid w:val="492C413F"/>
    <w:rsid w:val="49311755"/>
    <w:rsid w:val="49373737"/>
    <w:rsid w:val="4A295537"/>
    <w:rsid w:val="4A477482"/>
    <w:rsid w:val="4A895CED"/>
    <w:rsid w:val="4B5F25AA"/>
    <w:rsid w:val="4B8B304F"/>
    <w:rsid w:val="4BBC5559"/>
    <w:rsid w:val="4BFF0BF2"/>
    <w:rsid w:val="4C112FD4"/>
    <w:rsid w:val="4C862E17"/>
    <w:rsid w:val="4CDF47AB"/>
    <w:rsid w:val="4D2E751A"/>
    <w:rsid w:val="4D617E79"/>
    <w:rsid w:val="4D8B3F74"/>
    <w:rsid w:val="4E6920B3"/>
    <w:rsid w:val="4E8011B5"/>
    <w:rsid w:val="4E802F63"/>
    <w:rsid w:val="4E834801"/>
    <w:rsid w:val="4EA824BA"/>
    <w:rsid w:val="4EB432EB"/>
    <w:rsid w:val="4EF30992"/>
    <w:rsid w:val="4F1668D3"/>
    <w:rsid w:val="4F324E49"/>
    <w:rsid w:val="4F477233"/>
    <w:rsid w:val="4F5D32A4"/>
    <w:rsid w:val="4F5E2B99"/>
    <w:rsid w:val="4F626628"/>
    <w:rsid w:val="4F7343D2"/>
    <w:rsid w:val="4F841E28"/>
    <w:rsid w:val="4F8545A9"/>
    <w:rsid w:val="4F9B67D5"/>
    <w:rsid w:val="4FB25EFA"/>
    <w:rsid w:val="50031E55"/>
    <w:rsid w:val="50245B70"/>
    <w:rsid w:val="50D47FE5"/>
    <w:rsid w:val="50FE4613"/>
    <w:rsid w:val="51542485"/>
    <w:rsid w:val="51673238"/>
    <w:rsid w:val="516B517F"/>
    <w:rsid w:val="51864500"/>
    <w:rsid w:val="51A46C2B"/>
    <w:rsid w:val="51BC0756"/>
    <w:rsid w:val="51CB2747"/>
    <w:rsid w:val="51EE06FB"/>
    <w:rsid w:val="522E717A"/>
    <w:rsid w:val="524E777D"/>
    <w:rsid w:val="526B5C71"/>
    <w:rsid w:val="528278EA"/>
    <w:rsid w:val="529F291F"/>
    <w:rsid w:val="52DD4E28"/>
    <w:rsid w:val="52EB7AF6"/>
    <w:rsid w:val="53094079"/>
    <w:rsid w:val="530A7B81"/>
    <w:rsid w:val="533273FB"/>
    <w:rsid w:val="536F17F8"/>
    <w:rsid w:val="53714FF4"/>
    <w:rsid w:val="53955F69"/>
    <w:rsid w:val="54316AAD"/>
    <w:rsid w:val="5463135D"/>
    <w:rsid w:val="549332C4"/>
    <w:rsid w:val="54D52CD6"/>
    <w:rsid w:val="54DC4C6B"/>
    <w:rsid w:val="54E75A74"/>
    <w:rsid w:val="55AA2FBB"/>
    <w:rsid w:val="55F54236"/>
    <w:rsid w:val="5651762B"/>
    <w:rsid w:val="568D590F"/>
    <w:rsid w:val="56E66E44"/>
    <w:rsid w:val="576A3055"/>
    <w:rsid w:val="578D600F"/>
    <w:rsid w:val="57AD653C"/>
    <w:rsid w:val="57EA4116"/>
    <w:rsid w:val="57F43DFA"/>
    <w:rsid w:val="58285DC9"/>
    <w:rsid w:val="583F4AFD"/>
    <w:rsid w:val="585717F8"/>
    <w:rsid w:val="58C16652"/>
    <w:rsid w:val="58D35273"/>
    <w:rsid w:val="592D5625"/>
    <w:rsid w:val="5979517E"/>
    <w:rsid w:val="5986716D"/>
    <w:rsid w:val="59E92304"/>
    <w:rsid w:val="59E92631"/>
    <w:rsid w:val="5A3327C4"/>
    <w:rsid w:val="5A551748"/>
    <w:rsid w:val="5AF34ABD"/>
    <w:rsid w:val="5B01542B"/>
    <w:rsid w:val="5B413B37"/>
    <w:rsid w:val="5BDB5C7C"/>
    <w:rsid w:val="5BDF040F"/>
    <w:rsid w:val="5C001B87"/>
    <w:rsid w:val="5C1F11BE"/>
    <w:rsid w:val="5CAF45D9"/>
    <w:rsid w:val="5CB169DD"/>
    <w:rsid w:val="5CF76AE6"/>
    <w:rsid w:val="5D1C02FB"/>
    <w:rsid w:val="5D331AE8"/>
    <w:rsid w:val="5D4D7AA3"/>
    <w:rsid w:val="5E0C5358"/>
    <w:rsid w:val="5E131AE1"/>
    <w:rsid w:val="5E5A37D0"/>
    <w:rsid w:val="5E8A0D3C"/>
    <w:rsid w:val="5ECB647C"/>
    <w:rsid w:val="5EEA1262"/>
    <w:rsid w:val="5F223BC2"/>
    <w:rsid w:val="5F45016B"/>
    <w:rsid w:val="5F7D704B"/>
    <w:rsid w:val="5FDE33CF"/>
    <w:rsid w:val="5FED586D"/>
    <w:rsid w:val="5FF859B3"/>
    <w:rsid w:val="6011625A"/>
    <w:rsid w:val="60125B92"/>
    <w:rsid w:val="602F356E"/>
    <w:rsid w:val="60D809DC"/>
    <w:rsid w:val="615269E1"/>
    <w:rsid w:val="61690053"/>
    <w:rsid w:val="617751A5"/>
    <w:rsid w:val="61907509"/>
    <w:rsid w:val="61B551CA"/>
    <w:rsid w:val="61C75DA9"/>
    <w:rsid w:val="61F445C7"/>
    <w:rsid w:val="61F62B25"/>
    <w:rsid w:val="61F77588"/>
    <w:rsid w:val="62214605"/>
    <w:rsid w:val="622A170C"/>
    <w:rsid w:val="62F35B65"/>
    <w:rsid w:val="638F5AFF"/>
    <w:rsid w:val="63C90AB0"/>
    <w:rsid w:val="640F3F59"/>
    <w:rsid w:val="643B7C00"/>
    <w:rsid w:val="64603084"/>
    <w:rsid w:val="648B7142"/>
    <w:rsid w:val="64DB54FF"/>
    <w:rsid w:val="65640162"/>
    <w:rsid w:val="656E7B61"/>
    <w:rsid w:val="659E2A38"/>
    <w:rsid w:val="6622667F"/>
    <w:rsid w:val="665F63D4"/>
    <w:rsid w:val="66CD266D"/>
    <w:rsid w:val="673F5550"/>
    <w:rsid w:val="67472418"/>
    <w:rsid w:val="674C7894"/>
    <w:rsid w:val="675114E9"/>
    <w:rsid w:val="675D5C99"/>
    <w:rsid w:val="67851192"/>
    <w:rsid w:val="6852376A"/>
    <w:rsid w:val="68D23092"/>
    <w:rsid w:val="68D66149"/>
    <w:rsid w:val="68EA5751"/>
    <w:rsid w:val="69717FDB"/>
    <w:rsid w:val="69A04061"/>
    <w:rsid w:val="69E838CF"/>
    <w:rsid w:val="69EB1BC2"/>
    <w:rsid w:val="6A9A6D03"/>
    <w:rsid w:val="6AA22C57"/>
    <w:rsid w:val="6AB51D8E"/>
    <w:rsid w:val="6AC36259"/>
    <w:rsid w:val="6B262D36"/>
    <w:rsid w:val="6B4E15ED"/>
    <w:rsid w:val="6B6320BC"/>
    <w:rsid w:val="6B930322"/>
    <w:rsid w:val="6BC54253"/>
    <w:rsid w:val="6BD67932"/>
    <w:rsid w:val="6BE20961"/>
    <w:rsid w:val="6C1F6EE3"/>
    <w:rsid w:val="6C2549AE"/>
    <w:rsid w:val="6C5C6966"/>
    <w:rsid w:val="6C810003"/>
    <w:rsid w:val="6C8259C2"/>
    <w:rsid w:val="6C920FFF"/>
    <w:rsid w:val="6CDF78F5"/>
    <w:rsid w:val="6CF50B68"/>
    <w:rsid w:val="6D167501"/>
    <w:rsid w:val="6D7617F5"/>
    <w:rsid w:val="6D8141AA"/>
    <w:rsid w:val="6DB1683D"/>
    <w:rsid w:val="6DDA6153"/>
    <w:rsid w:val="6E895A0C"/>
    <w:rsid w:val="6ECE341F"/>
    <w:rsid w:val="6F3616B8"/>
    <w:rsid w:val="6FBA2FDB"/>
    <w:rsid w:val="702E0EDC"/>
    <w:rsid w:val="703817E6"/>
    <w:rsid w:val="707D6EAA"/>
    <w:rsid w:val="70974410"/>
    <w:rsid w:val="70C70BBF"/>
    <w:rsid w:val="71306613"/>
    <w:rsid w:val="71430F73"/>
    <w:rsid w:val="7150636D"/>
    <w:rsid w:val="715E6F0F"/>
    <w:rsid w:val="71712C88"/>
    <w:rsid w:val="71DB06F2"/>
    <w:rsid w:val="71EF5B86"/>
    <w:rsid w:val="71FF3215"/>
    <w:rsid w:val="720158B9"/>
    <w:rsid w:val="724A52CF"/>
    <w:rsid w:val="72FD4C2C"/>
    <w:rsid w:val="73391461"/>
    <w:rsid w:val="7358775B"/>
    <w:rsid w:val="73631F7A"/>
    <w:rsid w:val="740F250F"/>
    <w:rsid w:val="741A3445"/>
    <w:rsid w:val="74CB7579"/>
    <w:rsid w:val="74FA76FB"/>
    <w:rsid w:val="755C3532"/>
    <w:rsid w:val="75644970"/>
    <w:rsid w:val="76004806"/>
    <w:rsid w:val="762865F3"/>
    <w:rsid w:val="765A75DF"/>
    <w:rsid w:val="76D31F1A"/>
    <w:rsid w:val="77341D25"/>
    <w:rsid w:val="7751207A"/>
    <w:rsid w:val="779F1DFC"/>
    <w:rsid w:val="77EA0FA2"/>
    <w:rsid w:val="77EA17B7"/>
    <w:rsid w:val="77F02658"/>
    <w:rsid w:val="781E0F73"/>
    <w:rsid w:val="78300CA6"/>
    <w:rsid w:val="784604CA"/>
    <w:rsid w:val="78B12B06"/>
    <w:rsid w:val="78B81351"/>
    <w:rsid w:val="78BD078C"/>
    <w:rsid w:val="78D42F1C"/>
    <w:rsid w:val="790169F5"/>
    <w:rsid w:val="79294073"/>
    <w:rsid w:val="79350514"/>
    <w:rsid w:val="79561403"/>
    <w:rsid w:val="799139C7"/>
    <w:rsid w:val="79AE6327"/>
    <w:rsid w:val="79BF7459"/>
    <w:rsid w:val="79E85CDC"/>
    <w:rsid w:val="7A0E41A5"/>
    <w:rsid w:val="7A1B5B8B"/>
    <w:rsid w:val="7A28257D"/>
    <w:rsid w:val="7A3726E2"/>
    <w:rsid w:val="7A635363"/>
    <w:rsid w:val="7AC57DCC"/>
    <w:rsid w:val="7AE94F92"/>
    <w:rsid w:val="7AEA70B6"/>
    <w:rsid w:val="7B027FCA"/>
    <w:rsid w:val="7B03623F"/>
    <w:rsid w:val="7B125AD7"/>
    <w:rsid w:val="7B2014A6"/>
    <w:rsid w:val="7B2A2D17"/>
    <w:rsid w:val="7BB104F0"/>
    <w:rsid w:val="7BB35E76"/>
    <w:rsid w:val="7C612C3E"/>
    <w:rsid w:val="7CCF4F32"/>
    <w:rsid w:val="7CD2561C"/>
    <w:rsid w:val="7CDF626C"/>
    <w:rsid w:val="7D0F0092"/>
    <w:rsid w:val="7D9C4076"/>
    <w:rsid w:val="7DA97531"/>
    <w:rsid w:val="7DB1097E"/>
    <w:rsid w:val="7DC04F48"/>
    <w:rsid w:val="7DE1316F"/>
    <w:rsid w:val="7DE80C9C"/>
    <w:rsid w:val="7E6C4D8D"/>
    <w:rsid w:val="7E77762F"/>
    <w:rsid w:val="7EDC7FBD"/>
    <w:rsid w:val="7F01514B"/>
    <w:rsid w:val="7F29292E"/>
    <w:rsid w:val="7F2D4C94"/>
    <w:rsid w:val="7F4C286A"/>
    <w:rsid w:val="7FBA5A25"/>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9" w:name="heading 4"/>
    <w:lsdException w:qFormat="1" w:uiPriority="9" w:name="heading 5"/>
    <w:lsdException w:qFormat="1" w:unhideWhenUsed="0" w:uiPriority="0" w:semiHidden="0" w:name="heading 6"/>
    <w:lsdException w:qFormat="1" w:uiPriority="9" w:name="heading 7"/>
    <w:lsdException w:qFormat="1" w:uiPriority="9" w:name="heading 8"/>
    <w:lsdException w:qFormat="1" w:uiPriority="9" w:name="heading 9"/>
    <w:lsdException w:qFormat="1" w:unhideWhenUsed="0" w:uiPriority="0" w:semiHidden="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iPriority="0" w:name="index heading"/>
    <w:lsdException w:qFormat="1" w:uiPriority="35"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uiPriority="0" w:name="page number"/>
    <w:lsdException w:uiPriority="0" w:name="endnote reference"/>
    <w:lsdException w:uiPriority="0" w:name="endnote text"/>
    <w:lsdException w:uiPriority="0" w:name="table of authorities"/>
    <w:lsdException w:uiPriority="0" w:name="macro"/>
    <w:lsdException w:qFormat="1" w:unhideWhenUsed="0" w:uiPriority="99" w:semiHidden="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10" w:semiHidden="0" w:name="Title"/>
    <w:lsdException w:uiPriority="0" w:name="Closing"/>
    <w:lsdException w:uiPriority="0" w:name="Signature"/>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11" w:semiHidden="0" w:name="Subtitle"/>
    <w:lsdException w:uiPriority="0" w:name="Salutation"/>
    <w:lsdException w:qFormat="1" w:unhideWhenUsed="0" w:uiPriority="0" w:semiHidden="0" w:name="Date"/>
    <w:lsdException w:qFormat="1" w:unhideWhenUsed="0" w:uiPriority="0" w:semiHidden="0" w:name="Body Text First Indent"/>
    <w:lsdException w:uiPriority="0" w:name="Body Text First Indent 2"/>
    <w:lsdException w:qFormat="1" w:unhideWhenUsed="0" w:uiPriority="0" w:semiHidden="0" w:name="Note Heading"/>
    <w:lsdException w:uiPriority="0" w:name="Body Text 2"/>
    <w:lsdException w:uiPriority="0" w:name="Body Text 3"/>
    <w:lsdException w:qFormat="1" w:unhideWhenUsed="0" w:uiPriority="0" w:semiHidden="0" w:name="Body Text Indent 2"/>
    <w:lsdException w:uiPriority="0" w:name="Body Text Indent 3"/>
    <w:lsdException w:uiPriority="0" w:name="Block Text"/>
    <w:lsdException w:qFormat="1" w:unhideWhenUsed="0"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qFormat="1" w:unhideWhenUsed="0" w:uiPriority="0" w:semiHidden="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lang w:val="en-US" w:eastAsia="zh-CN" w:bidi="ar-SA"/>
    </w:rPr>
  </w:style>
  <w:style w:type="paragraph" w:styleId="2">
    <w:name w:val="heading 1"/>
    <w:basedOn w:val="1"/>
    <w:next w:val="1"/>
    <w:link w:val="71"/>
    <w:qFormat/>
    <w:uiPriority w:val="0"/>
    <w:pPr>
      <w:keepNext/>
      <w:keepLines/>
      <w:widowControl/>
      <w:spacing w:before="340" w:after="330" w:line="576" w:lineRule="auto"/>
      <w:jc w:val="left"/>
      <w:outlineLvl w:val="0"/>
    </w:pPr>
    <w:rPr>
      <w:rFonts w:hint="eastAsia" w:ascii="宋体"/>
      <w:b/>
      <w:kern w:val="44"/>
      <w:sz w:val="44"/>
    </w:rPr>
  </w:style>
  <w:style w:type="paragraph" w:styleId="3">
    <w:name w:val="heading 2"/>
    <w:basedOn w:val="1"/>
    <w:next w:val="1"/>
    <w:link w:val="53"/>
    <w:qFormat/>
    <w:uiPriority w:val="0"/>
    <w:pPr>
      <w:keepNext/>
      <w:keepLines/>
      <w:spacing w:before="260" w:after="260" w:line="416" w:lineRule="auto"/>
      <w:outlineLvl w:val="1"/>
    </w:pPr>
    <w:rPr>
      <w:rFonts w:ascii="Arial" w:hAnsi="Arial" w:eastAsia="黑体"/>
      <w:b/>
      <w:bCs/>
      <w:sz w:val="32"/>
      <w:szCs w:val="32"/>
    </w:rPr>
  </w:style>
  <w:style w:type="paragraph" w:styleId="4">
    <w:name w:val="heading 3"/>
    <w:basedOn w:val="1"/>
    <w:next w:val="1"/>
    <w:qFormat/>
    <w:uiPriority w:val="0"/>
    <w:pPr>
      <w:widowControl/>
      <w:spacing w:beforeLines="50" w:afterLines="50" w:line="400" w:lineRule="exact"/>
      <w:jc w:val="left"/>
      <w:outlineLvl w:val="2"/>
    </w:pPr>
    <w:rPr>
      <w:kern w:val="0"/>
      <w:szCs w:val="27"/>
    </w:rPr>
  </w:style>
  <w:style w:type="paragraph" w:styleId="5">
    <w:name w:val="heading 6"/>
    <w:basedOn w:val="1"/>
    <w:next w:val="1"/>
    <w:link w:val="75"/>
    <w:qFormat/>
    <w:uiPriority w:val="0"/>
    <w:pPr>
      <w:keepNext/>
      <w:keepLines/>
      <w:spacing w:before="240" w:after="64" w:line="320" w:lineRule="auto"/>
      <w:outlineLvl w:val="5"/>
    </w:pPr>
    <w:rPr>
      <w:rFonts w:ascii="Arial" w:hAnsi="Arial" w:eastAsia="黑体"/>
      <w:b/>
      <w:bCs/>
      <w:sz w:val="24"/>
      <w:szCs w:val="24"/>
    </w:rPr>
  </w:style>
  <w:style w:type="character" w:default="1" w:styleId="35">
    <w:name w:val="Default Paragraph Font"/>
    <w:semiHidden/>
    <w:unhideWhenUsed/>
    <w:qFormat/>
    <w:uiPriority w:val="1"/>
  </w:style>
  <w:style w:type="table" w:default="1" w:styleId="33">
    <w:name w:val="Normal Table"/>
    <w:semiHidden/>
    <w:unhideWhenUsed/>
    <w:qFormat/>
    <w:uiPriority w:val="99"/>
    <w:tblPr>
      <w:tblCellMar>
        <w:top w:w="0" w:type="dxa"/>
        <w:left w:w="108" w:type="dxa"/>
        <w:bottom w:w="0" w:type="dxa"/>
        <w:right w:w="108" w:type="dxa"/>
      </w:tblCellMar>
    </w:tblPr>
  </w:style>
  <w:style w:type="paragraph" w:styleId="6">
    <w:name w:val="toc 7"/>
    <w:basedOn w:val="1"/>
    <w:next w:val="1"/>
    <w:unhideWhenUsed/>
    <w:qFormat/>
    <w:uiPriority w:val="39"/>
    <w:pPr>
      <w:ind w:left="2520" w:leftChars="1200"/>
    </w:pPr>
    <w:rPr>
      <w:rFonts w:ascii="Calibri" w:hAnsi="Calibri"/>
      <w:szCs w:val="22"/>
    </w:rPr>
  </w:style>
  <w:style w:type="paragraph" w:styleId="7">
    <w:name w:val="Note Heading"/>
    <w:basedOn w:val="1"/>
    <w:next w:val="1"/>
    <w:link w:val="88"/>
    <w:qFormat/>
    <w:uiPriority w:val="0"/>
    <w:pPr>
      <w:widowControl/>
      <w:jc w:val="center"/>
    </w:pPr>
    <w:rPr>
      <w:sz w:val="24"/>
      <w:lang w:eastAsia="en-US" w:bidi="en-US"/>
    </w:rPr>
  </w:style>
  <w:style w:type="paragraph" w:styleId="8">
    <w:name w:val="Normal Indent"/>
    <w:basedOn w:val="1"/>
    <w:link w:val="56"/>
    <w:qFormat/>
    <w:uiPriority w:val="0"/>
    <w:pPr>
      <w:ind w:firstLine="420"/>
    </w:pPr>
  </w:style>
  <w:style w:type="paragraph" w:styleId="9">
    <w:name w:val="Document Map"/>
    <w:basedOn w:val="1"/>
    <w:link w:val="70"/>
    <w:qFormat/>
    <w:uiPriority w:val="0"/>
    <w:pPr>
      <w:shd w:val="clear" w:color="auto" w:fill="000080"/>
    </w:pPr>
    <w:rPr>
      <w:sz w:val="24"/>
      <w:shd w:val="clear" w:color="auto" w:fill="000080"/>
    </w:rPr>
  </w:style>
  <w:style w:type="paragraph" w:styleId="10">
    <w:name w:val="toa heading"/>
    <w:basedOn w:val="1"/>
    <w:next w:val="1"/>
    <w:qFormat/>
    <w:uiPriority w:val="99"/>
    <w:pPr>
      <w:spacing w:before="120"/>
    </w:pPr>
    <w:rPr>
      <w:rFonts w:ascii="Arial" w:hAnsi="Arial" w:cs="Arial"/>
    </w:rPr>
  </w:style>
  <w:style w:type="paragraph" w:styleId="11">
    <w:name w:val="annotation text"/>
    <w:basedOn w:val="1"/>
    <w:link w:val="79"/>
    <w:qFormat/>
    <w:uiPriority w:val="0"/>
    <w:pPr>
      <w:jc w:val="left"/>
    </w:pPr>
    <w:rPr>
      <w:sz w:val="24"/>
    </w:rPr>
  </w:style>
  <w:style w:type="paragraph" w:styleId="12">
    <w:name w:val="Body Text"/>
    <w:basedOn w:val="1"/>
    <w:next w:val="1"/>
    <w:link w:val="62"/>
    <w:qFormat/>
    <w:uiPriority w:val="0"/>
    <w:pPr>
      <w:spacing w:after="120"/>
    </w:pPr>
    <w:rPr>
      <w:sz w:val="24"/>
    </w:rPr>
  </w:style>
  <w:style w:type="paragraph" w:styleId="13">
    <w:name w:val="Body Text Indent"/>
    <w:basedOn w:val="1"/>
    <w:link w:val="74"/>
    <w:qFormat/>
    <w:uiPriority w:val="0"/>
    <w:pPr>
      <w:spacing w:after="120"/>
      <w:ind w:left="420" w:leftChars="200"/>
    </w:pPr>
    <w:rPr>
      <w:szCs w:val="24"/>
    </w:rPr>
  </w:style>
  <w:style w:type="paragraph" w:styleId="14">
    <w:name w:val="toc 5"/>
    <w:basedOn w:val="1"/>
    <w:next w:val="1"/>
    <w:unhideWhenUsed/>
    <w:qFormat/>
    <w:uiPriority w:val="39"/>
    <w:pPr>
      <w:ind w:left="1680" w:leftChars="800"/>
    </w:pPr>
    <w:rPr>
      <w:rFonts w:ascii="Calibri" w:hAnsi="Calibri"/>
      <w:szCs w:val="22"/>
    </w:rPr>
  </w:style>
  <w:style w:type="paragraph" w:styleId="15">
    <w:name w:val="toc 3"/>
    <w:basedOn w:val="1"/>
    <w:next w:val="1"/>
    <w:unhideWhenUsed/>
    <w:qFormat/>
    <w:uiPriority w:val="39"/>
    <w:pPr>
      <w:ind w:left="840" w:leftChars="400"/>
    </w:pPr>
    <w:rPr>
      <w:rFonts w:ascii="Calibri" w:hAnsi="Calibri"/>
      <w:szCs w:val="22"/>
    </w:rPr>
  </w:style>
  <w:style w:type="paragraph" w:styleId="16">
    <w:name w:val="Plain Text"/>
    <w:basedOn w:val="1"/>
    <w:link w:val="73"/>
    <w:qFormat/>
    <w:uiPriority w:val="0"/>
    <w:pPr>
      <w:spacing w:line="240" w:lineRule="atLeast"/>
    </w:pPr>
    <w:rPr>
      <w:rFonts w:ascii="宋体" w:hAnsi="Courier New"/>
      <w:sz w:val="20"/>
    </w:rPr>
  </w:style>
  <w:style w:type="paragraph" w:styleId="17">
    <w:name w:val="toc 8"/>
    <w:basedOn w:val="1"/>
    <w:next w:val="1"/>
    <w:unhideWhenUsed/>
    <w:qFormat/>
    <w:uiPriority w:val="39"/>
    <w:pPr>
      <w:ind w:left="2940" w:leftChars="1400"/>
    </w:pPr>
    <w:rPr>
      <w:rFonts w:ascii="Calibri" w:hAnsi="Calibri"/>
      <w:szCs w:val="22"/>
    </w:rPr>
  </w:style>
  <w:style w:type="paragraph" w:styleId="18">
    <w:name w:val="Date"/>
    <w:basedOn w:val="1"/>
    <w:next w:val="1"/>
    <w:link w:val="66"/>
    <w:qFormat/>
    <w:uiPriority w:val="0"/>
    <w:rPr>
      <w:rFonts w:eastAsia="仿宋_GB2312"/>
      <w:sz w:val="28"/>
    </w:rPr>
  </w:style>
  <w:style w:type="paragraph" w:styleId="19">
    <w:name w:val="Body Text Indent 2"/>
    <w:basedOn w:val="1"/>
    <w:next w:val="1"/>
    <w:link w:val="90"/>
    <w:qFormat/>
    <w:uiPriority w:val="0"/>
    <w:pPr>
      <w:spacing w:after="120" w:line="480" w:lineRule="auto"/>
      <w:ind w:left="420" w:leftChars="200"/>
    </w:pPr>
    <w:rPr>
      <w:sz w:val="24"/>
      <w:szCs w:val="24"/>
    </w:rPr>
  </w:style>
  <w:style w:type="paragraph" w:styleId="20">
    <w:name w:val="Balloon Text"/>
    <w:basedOn w:val="1"/>
    <w:link w:val="67"/>
    <w:qFormat/>
    <w:uiPriority w:val="0"/>
    <w:rPr>
      <w:sz w:val="18"/>
      <w:szCs w:val="18"/>
    </w:rPr>
  </w:style>
  <w:style w:type="paragraph" w:styleId="21">
    <w:name w:val="footer"/>
    <w:basedOn w:val="1"/>
    <w:link w:val="57"/>
    <w:qFormat/>
    <w:uiPriority w:val="0"/>
    <w:pPr>
      <w:tabs>
        <w:tab w:val="center" w:pos="4153"/>
        <w:tab w:val="right" w:pos="8306"/>
      </w:tabs>
      <w:snapToGrid w:val="0"/>
      <w:jc w:val="left"/>
    </w:pPr>
    <w:rPr>
      <w:sz w:val="18"/>
    </w:rPr>
  </w:style>
  <w:style w:type="paragraph" w:styleId="22">
    <w:name w:val="header"/>
    <w:basedOn w:val="1"/>
    <w:link w:val="69"/>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23">
    <w:name w:val="toc 1"/>
    <w:basedOn w:val="1"/>
    <w:next w:val="1"/>
    <w:qFormat/>
    <w:uiPriority w:val="39"/>
  </w:style>
  <w:style w:type="paragraph" w:styleId="24">
    <w:name w:val="toc 4"/>
    <w:basedOn w:val="1"/>
    <w:next w:val="1"/>
    <w:unhideWhenUsed/>
    <w:qFormat/>
    <w:uiPriority w:val="39"/>
    <w:pPr>
      <w:ind w:left="1260" w:leftChars="600"/>
    </w:pPr>
    <w:rPr>
      <w:rFonts w:ascii="Calibri" w:hAnsi="Calibri"/>
      <w:szCs w:val="22"/>
    </w:rPr>
  </w:style>
  <w:style w:type="paragraph" w:styleId="25">
    <w:name w:val="toc 6"/>
    <w:basedOn w:val="1"/>
    <w:next w:val="1"/>
    <w:autoRedefine/>
    <w:unhideWhenUsed/>
    <w:qFormat/>
    <w:uiPriority w:val="39"/>
    <w:pPr>
      <w:ind w:left="2100" w:leftChars="1000"/>
    </w:pPr>
    <w:rPr>
      <w:rFonts w:ascii="Calibri" w:hAnsi="Calibri"/>
      <w:szCs w:val="22"/>
    </w:rPr>
  </w:style>
  <w:style w:type="paragraph" w:styleId="26">
    <w:name w:val="toc 2"/>
    <w:basedOn w:val="1"/>
    <w:next w:val="1"/>
    <w:unhideWhenUsed/>
    <w:qFormat/>
    <w:uiPriority w:val="39"/>
    <w:pPr>
      <w:ind w:left="420" w:leftChars="200"/>
    </w:pPr>
    <w:rPr>
      <w:rFonts w:ascii="Calibri" w:hAnsi="Calibri"/>
      <w:szCs w:val="22"/>
    </w:rPr>
  </w:style>
  <w:style w:type="paragraph" w:styleId="27">
    <w:name w:val="toc 9"/>
    <w:basedOn w:val="1"/>
    <w:next w:val="1"/>
    <w:unhideWhenUsed/>
    <w:qFormat/>
    <w:uiPriority w:val="39"/>
    <w:pPr>
      <w:ind w:left="3360" w:leftChars="1600"/>
    </w:pPr>
    <w:rPr>
      <w:rFonts w:ascii="Calibri" w:hAnsi="Calibri"/>
      <w:szCs w:val="22"/>
    </w:rPr>
  </w:style>
  <w:style w:type="paragraph" w:styleId="28">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rPr>
  </w:style>
  <w:style w:type="paragraph" w:styleId="29">
    <w:name w:val="Normal (Web)"/>
    <w:basedOn w:val="1"/>
    <w:unhideWhenUsed/>
    <w:qFormat/>
    <w:uiPriority w:val="99"/>
    <w:rPr>
      <w:sz w:val="24"/>
    </w:rPr>
  </w:style>
  <w:style w:type="paragraph" w:styleId="30">
    <w:name w:val="index 1"/>
    <w:basedOn w:val="1"/>
    <w:next w:val="1"/>
    <w:qFormat/>
    <w:uiPriority w:val="0"/>
    <w:pPr>
      <w:spacing w:line="360" w:lineRule="exact"/>
      <w:jc w:val="center"/>
    </w:pPr>
    <w:rPr>
      <w:rFonts w:hint="eastAsia"/>
      <w:color w:val="000000"/>
    </w:rPr>
  </w:style>
  <w:style w:type="paragraph" w:styleId="31">
    <w:name w:val="annotation subject"/>
    <w:basedOn w:val="11"/>
    <w:next w:val="11"/>
    <w:qFormat/>
    <w:uiPriority w:val="0"/>
    <w:rPr>
      <w:b/>
      <w:bCs/>
      <w:sz w:val="21"/>
    </w:rPr>
  </w:style>
  <w:style w:type="paragraph" w:styleId="32">
    <w:name w:val="Body Text First Indent"/>
    <w:basedOn w:val="12"/>
    <w:link w:val="61"/>
    <w:qFormat/>
    <w:uiPriority w:val="0"/>
    <w:pPr>
      <w:spacing w:line="500" w:lineRule="exact"/>
      <w:ind w:firstLine="420" w:firstLineChars="100"/>
    </w:pPr>
    <w:rPr>
      <w:sz w:val="28"/>
    </w:rPr>
  </w:style>
  <w:style w:type="table" w:styleId="34">
    <w:name w:val="Table Grid"/>
    <w:basedOn w:val="33"/>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6">
    <w:name w:val="FollowedHyperlink"/>
    <w:unhideWhenUsed/>
    <w:qFormat/>
    <w:uiPriority w:val="99"/>
    <w:rPr>
      <w:color w:val="800080"/>
      <w:u w:val="single"/>
    </w:rPr>
  </w:style>
  <w:style w:type="character" w:styleId="37">
    <w:name w:val="Hyperlink"/>
    <w:qFormat/>
    <w:uiPriority w:val="99"/>
    <w:rPr>
      <w:color w:val="0000FF"/>
      <w:u w:val="single"/>
    </w:rPr>
  </w:style>
  <w:style w:type="character" w:styleId="38">
    <w:name w:val="annotation reference"/>
    <w:qFormat/>
    <w:uiPriority w:val="0"/>
    <w:rPr>
      <w:rFonts w:hint="default" w:ascii="Times New Roman"/>
      <w:sz w:val="21"/>
    </w:rPr>
  </w:style>
  <w:style w:type="paragraph" w:customStyle="1" w:styleId="39">
    <w:name w:val="列出段落1"/>
    <w:basedOn w:val="1"/>
    <w:qFormat/>
    <w:uiPriority w:val="0"/>
    <w:pPr>
      <w:ind w:firstLine="420" w:firstLineChars="200"/>
    </w:pPr>
    <w:rPr>
      <w:rFonts w:hint="eastAsia"/>
    </w:rPr>
  </w:style>
  <w:style w:type="paragraph" w:customStyle="1" w:styleId="40">
    <w:name w:val="批注框文本1"/>
    <w:basedOn w:val="1"/>
    <w:link w:val="68"/>
    <w:autoRedefine/>
    <w:qFormat/>
    <w:uiPriority w:val="0"/>
    <w:rPr>
      <w:sz w:val="18"/>
    </w:rPr>
  </w:style>
  <w:style w:type="paragraph" w:customStyle="1" w:styleId="41">
    <w:name w:val="普通(网站)1"/>
    <w:basedOn w:val="1"/>
    <w:autoRedefine/>
    <w:qFormat/>
    <w:uiPriority w:val="0"/>
    <w:pPr>
      <w:widowControl/>
      <w:spacing w:before="100" w:beforeAutospacing="1" w:after="100" w:afterAutospacing="1"/>
      <w:jc w:val="left"/>
    </w:pPr>
    <w:rPr>
      <w:rFonts w:hint="eastAsia" w:ascii="宋体" w:hAnsi="宋体"/>
    </w:rPr>
  </w:style>
  <w:style w:type="paragraph" w:customStyle="1" w:styleId="42">
    <w:name w:val="批注主题1"/>
    <w:basedOn w:val="11"/>
    <w:next w:val="11"/>
    <w:link w:val="59"/>
    <w:autoRedefine/>
    <w:qFormat/>
    <w:uiPriority w:val="0"/>
    <w:rPr>
      <w:b/>
    </w:rPr>
  </w:style>
  <w:style w:type="paragraph" w:customStyle="1" w:styleId="43">
    <w:name w:val="正文1"/>
    <w:basedOn w:val="1"/>
    <w:link w:val="64"/>
    <w:autoRedefine/>
    <w:qFormat/>
    <w:uiPriority w:val="0"/>
    <w:pPr>
      <w:spacing w:line="440" w:lineRule="exact"/>
      <w:ind w:firstLine="200" w:firstLineChars="200"/>
    </w:pPr>
    <w:rPr>
      <w:color w:val="000000"/>
    </w:rPr>
  </w:style>
  <w:style w:type="paragraph" w:customStyle="1" w:styleId="44">
    <w:name w:val="xl54"/>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top"/>
    </w:pPr>
    <w:rPr>
      <w:rFonts w:hint="eastAsia" w:ascii="宋体" w:hAnsi="宋体"/>
    </w:rPr>
  </w:style>
  <w:style w:type="paragraph" w:customStyle="1" w:styleId="45">
    <w:name w:val="Char1"/>
    <w:basedOn w:val="1"/>
    <w:autoRedefine/>
    <w:qFormat/>
    <w:uiPriority w:val="0"/>
    <w:rPr>
      <w:rFonts w:hint="eastAsia"/>
    </w:rPr>
  </w:style>
  <w:style w:type="paragraph" w:customStyle="1" w:styleId="46">
    <w:name w:val="宋标一"/>
    <w:basedOn w:val="1"/>
    <w:autoRedefine/>
    <w:qFormat/>
    <w:uiPriority w:val="0"/>
    <w:pPr>
      <w:spacing w:beforeLines="50" w:line="360" w:lineRule="auto"/>
      <w:ind w:firstLine="200" w:firstLineChars="200"/>
    </w:pPr>
    <w:rPr>
      <w:sz w:val="24"/>
      <w:szCs w:val="24"/>
    </w:rPr>
  </w:style>
  <w:style w:type="paragraph" w:customStyle="1" w:styleId="47">
    <w:name w:val="纯文本1"/>
    <w:basedOn w:val="1"/>
    <w:link w:val="76"/>
    <w:autoRedefine/>
    <w:qFormat/>
    <w:uiPriority w:val="0"/>
    <w:pPr>
      <w:spacing w:line="240" w:lineRule="atLeast"/>
    </w:pPr>
    <w:rPr>
      <w:rFonts w:ascii="宋体" w:hAnsi="Courier New"/>
      <w:kern w:val="0"/>
      <w:sz w:val="20"/>
    </w:rPr>
  </w:style>
  <w:style w:type="paragraph" w:customStyle="1" w:styleId="48">
    <w:name w:val="B表头"/>
    <w:link w:val="77"/>
    <w:autoRedefine/>
    <w:qFormat/>
    <w:uiPriority w:val="0"/>
    <w:pPr>
      <w:jc w:val="center"/>
    </w:pPr>
    <w:rPr>
      <w:rFonts w:ascii="Times New Roman" w:hAnsi="Times New Roman" w:eastAsia="黑体" w:cs="Times New Roman"/>
      <w:kern w:val="2"/>
      <w:sz w:val="24"/>
      <w:szCs w:val="24"/>
      <w:lang w:val="en-US" w:eastAsia="zh-CN" w:bidi="ar-SA"/>
    </w:rPr>
  </w:style>
  <w:style w:type="paragraph" w:customStyle="1" w:styleId="49">
    <w:name w:val="B表格文字"/>
    <w:link w:val="78"/>
    <w:autoRedefine/>
    <w:qFormat/>
    <w:uiPriority w:val="0"/>
    <w:pPr>
      <w:jc w:val="center"/>
    </w:pPr>
    <w:rPr>
      <w:rFonts w:ascii="Times New Roman" w:hAnsi="Times New Roman" w:eastAsia="宋体" w:cs="Times New Roman"/>
      <w:kern w:val="2"/>
      <w:sz w:val="21"/>
      <w:szCs w:val="24"/>
      <w:lang w:val="en-US" w:eastAsia="zh-CN" w:bidi="ar-SA"/>
    </w:rPr>
  </w:style>
  <w:style w:type="paragraph" w:customStyle="1" w:styleId="50">
    <w:name w:val="Char Char Char Char Char Char Char Char Char Char Char Char Char"/>
    <w:basedOn w:val="1"/>
    <w:autoRedefine/>
    <w:qFormat/>
    <w:uiPriority w:val="0"/>
    <w:rPr>
      <w:szCs w:val="24"/>
    </w:rPr>
  </w:style>
  <w:style w:type="paragraph" w:customStyle="1" w:styleId="51">
    <w:name w:val="Char Char Char Char Char Char Char Char Char Char Char Char Char1"/>
    <w:basedOn w:val="1"/>
    <w:autoRedefine/>
    <w:qFormat/>
    <w:uiPriority w:val="0"/>
    <w:rPr>
      <w:szCs w:val="24"/>
    </w:rPr>
  </w:style>
  <w:style w:type="character" w:customStyle="1" w:styleId="52">
    <w:name w:val="正文文本 Char Char"/>
    <w:autoRedefine/>
    <w:qFormat/>
    <w:uiPriority w:val="0"/>
    <w:rPr>
      <w:rFonts w:hint="default" w:ascii="Times New Roman"/>
    </w:rPr>
  </w:style>
  <w:style w:type="character" w:customStyle="1" w:styleId="53">
    <w:name w:val="标题 2 字符"/>
    <w:link w:val="3"/>
    <w:autoRedefine/>
    <w:qFormat/>
    <w:uiPriority w:val="0"/>
    <w:rPr>
      <w:rFonts w:ascii="Arial" w:hAnsi="Arial" w:eastAsia="黑体"/>
      <w:b/>
      <w:bCs/>
      <w:kern w:val="2"/>
      <w:sz w:val="32"/>
      <w:szCs w:val="32"/>
    </w:rPr>
  </w:style>
  <w:style w:type="character" w:customStyle="1" w:styleId="54">
    <w:name w:val="Char Char"/>
    <w:autoRedefine/>
    <w:qFormat/>
    <w:uiPriority w:val="0"/>
    <w:rPr>
      <w:rFonts w:hint="eastAsia" w:ascii="宋体" w:hAnsi="宋体" w:eastAsia="宋体"/>
      <w:b/>
      <w:sz w:val="24"/>
      <w:lang w:val="en-US" w:eastAsia="zh-CN"/>
    </w:rPr>
  </w:style>
  <w:style w:type="character" w:customStyle="1" w:styleId="55">
    <w:name w:val="正文首行缩进 Char"/>
    <w:autoRedefine/>
    <w:qFormat/>
    <w:uiPriority w:val="0"/>
    <w:rPr>
      <w:rFonts w:hint="default" w:ascii="Times New Roman"/>
      <w:sz w:val="28"/>
    </w:rPr>
  </w:style>
  <w:style w:type="character" w:customStyle="1" w:styleId="56">
    <w:name w:val="正文缩进 字符"/>
    <w:link w:val="8"/>
    <w:autoRedefine/>
    <w:qFormat/>
    <w:uiPriority w:val="0"/>
    <w:rPr>
      <w:rFonts w:hint="default" w:ascii="Times New Roman"/>
    </w:rPr>
  </w:style>
  <w:style w:type="character" w:customStyle="1" w:styleId="57">
    <w:name w:val="页脚 字符"/>
    <w:link w:val="21"/>
    <w:autoRedefine/>
    <w:qFormat/>
    <w:uiPriority w:val="0"/>
    <w:rPr>
      <w:rFonts w:hint="default" w:ascii="Times New Roman"/>
      <w:sz w:val="18"/>
    </w:rPr>
  </w:style>
  <w:style w:type="character" w:customStyle="1" w:styleId="58">
    <w:name w:val="日期 Char"/>
    <w:autoRedefine/>
    <w:qFormat/>
    <w:uiPriority w:val="0"/>
    <w:rPr>
      <w:rFonts w:hint="default" w:ascii="Times New Roman" w:eastAsia="仿宋_GB2312"/>
      <w:sz w:val="28"/>
    </w:rPr>
  </w:style>
  <w:style w:type="character" w:customStyle="1" w:styleId="59">
    <w:name w:val="批注主题 Char Char"/>
    <w:link w:val="42"/>
    <w:autoRedefine/>
    <w:qFormat/>
    <w:uiPriority w:val="0"/>
    <w:rPr>
      <w:rFonts w:hint="default" w:ascii="Times New Roman"/>
      <w:b/>
      <w:kern w:val="2"/>
      <w:sz w:val="24"/>
    </w:rPr>
  </w:style>
  <w:style w:type="character" w:customStyle="1" w:styleId="60">
    <w:name w:val="批注文字 Char"/>
    <w:autoRedefine/>
    <w:qFormat/>
    <w:uiPriority w:val="0"/>
    <w:rPr>
      <w:rFonts w:hint="default" w:ascii="Times New Roman"/>
      <w:kern w:val="2"/>
      <w:sz w:val="24"/>
    </w:rPr>
  </w:style>
  <w:style w:type="character" w:customStyle="1" w:styleId="61">
    <w:name w:val="正文文本首行缩进 字符"/>
    <w:link w:val="32"/>
    <w:autoRedefine/>
    <w:qFormat/>
    <w:uiPriority w:val="0"/>
    <w:rPr>
      <w:rFonts w:hint="default" w:ascii="Times New Roman"/>
      <w:kern w:val="2"/>
      <w:sz w:val="24"/>
    </w:rPr>
  </w:style>
  <w:style w:type="character" w:customStyle="1" w:styleId="62">
    <w:name w:val="正文文本 字符"/>
    <w:link w:val="12"/>
    <w:autoRedefine/>
    <w:qFormat/>
    <w:uiPriority w:val="0"/>
    <w:rPr>
      <w:rFonts w:hint="default" w:ascii="Times New Roman"/>
      <w:kern w:val="2"/>
      <w:sz w:val="24"/>
    </w:rPr>
  </w:style>
  <w:style w:type="character" w:customStyle="1" w:styleId="63">
    <w:name w:val="页眉 Char Char"/>
    <w:autoRedefine/>
    <w:qFormat/>
    <w:uiPriority w:val="0"/>
    <w:rPr>
      <w:rFonts w:hint="default" w:ascii="Times New Roman"/>
      <w:sz w:val="18"/>
    </w:rPr>
  </w:style>
  <w:style w:type="character" w:customStyle="1" w:styleId="64">
    <w:name w:val="正文1 Char Char"/>
    <w:link w:val="43"/>
    <w:autoRedefine/>
    <w:qFormat/>
    <w:uiPriority w:val="0"/>
    <w:rPr>
      <w:rFonts w:hint="default" w:ascii="Times New Roman"/>
      <w:color w:val="000000"/>
      <w:sz w:val="21"/>
    </w:rPr>
  </w:style>
  <w:style w:type="character" w:customStyle="1" w:styleId="65">
    <w:name w:val="批注框文本 Char1"/>
    <w:autoRedefine/>
    <w:qFormat/>
    <w:uiPriority w:val="0"/>
    <w:rPr>
      <w:rFonts w:hint="default" w:ascii="Times New Roman"/>
      <w:kern w:val="2"/>
      <w:sz w:val="18"/>
    </w:rPr>
  </w:style>
  <w:style w:type="character" w:customStyle="1" w:styleId="66">
    <w:name w:val="日期 字符"/>
    <w:link w:val="18"/>
    <w:autoRedefine/>
    <w:qFormat/>
    <w:uiPriority w:val="0"/>
    <w:rPr>
      <w:rFonts w:hint="default" w:ascii="Times New Roman"/>
      <w:kern w:val="2"/>
      <w:sz w:val="24"/>
    </w:rPr>
  </w:style>
  <w:style w:type="character" w:customStyle="1" w:styleId="67">
    <w:name w:val="批注框文本 字符"/>
    <w:link w:val="20"/>
    <w:autoRedefine/>
    <w:qFormat/>
    <w:uiPriority w:val="0"/>
    <w:rPr>
      <w:kern w:val="2"/>
      <w:sz w:val="18"/>
      <w:szCs w:val="18"/>
    </w:rPr>
  </w:style>
  <w:style w:type="character" w:customStyle="1" w:styleId="68">
    <w:name w:val="批注框文本 Char Char"/>
    <w:link w:val="40"/>
    <w:autoRedefine/>
    <w:qFormat/>
    <w:uiPriority w:val="0"/>
    <w:rPr>
      <w:rFonts w:hint="default" w:ascii="Times New Roman"/>
      <w:sz w:val="18"/>
    </w:rPr>
  </w:style>
  <w:style w:type="character" w:customStyle="1" w:styleId="69">
    <w:name w:val="页眉 字符"/>
    <w:link w:val="22"/>
    <w:autoRedefine/>
    <w:qFormat/>
    <w:uiPriority w:val="0"/>
    <w:rPr>
      <w:rFonts w:hint="default" w:ascii="Times New Roman"/>
      <w:kern w:val="2"/>
      <w:sz w:val="18"/>
    </w:rPr>
  </w:style>
  <w:style w:type="character" w:customStyle="1" w:styleId="70">
    <w:name w:val="文档结构图 字符"/>
    <w:link w:val="9"/>
    <w:autoRedefine/>
    <w:qFormat/>
    <w:uiPriority w:val="0"/>
    <w:rPr>
      <w:rFonts w:hint="default" w:ascii="Times New Roman"/>
      <w:kern w:val="2"/>
      <w:sz w:val="24"/>
      <w:shd w:val="clear" w:color="auto" w:fill="000080"/>
    </w:rPr>
  </w:style>
  <w:style w:type="character" w:customStyle="1" w:styleId="71">
    <w:name w:val="标题 1 字符"/>
    <w:link w:val="2"/>
    <w:autoRedefine/>
    <w:qFormat/>
    <w:uiPriority w:val="99"/>
    <w:rPr>
      <w:rFonts w:hint="eastAsia" w:ascii="宋体" w:eastAsia="宋体"/>
      <w:b/>
      <w:kern w:val="44"/>
      <w:sz w:val="44"/>
    </w:rPr>
  </w:style>
  <w:style w:type="character" w:customStyle="1" w:styleId="72">
    <w:name w:val="ca-221"/>
    <w:autoRedefine/>
    <w:qFormat/>
    <w:uiPriority w:val="0"/>
    <w:rPr>
      <w:rFonts w:ascii="宋体" w:hAnsi="宋体" w:eastAsia="宋体"/>
      <w:sz w:val="28"/>
    </w:rPr>
  </w:style>
  <w:style w:type="character" w:customStyle="1" w:styleId="73">
    <w:name w:val="纯文本 字符"/>
    <w:link w:val="16"/>
    <w:autoRedefine/>
    <w:qFormat/>
    <w:uiPriority w:val="0"/>
    <w:rPr>
      <w:rFonts w:ascii="宋体" w:hAnsi="Courier New"/>
      <w:kern w:val="2"/>
    </w:rPr>
  </w:style>
  <w:style w:type="character" w:customStyle="1" w:styleId="74">
    <w:name w:val="正文文本缩进 字符"/>
    <w:link w:val="13"/>
    <w:autoRedefine/>
    <w:qFormat/>
    <w:uiPriority w:val="0"/>
    <w:rPr>
      <w:kern w:val="2"/>
      <w:sz w:val="21"/>
      <w:szCs w:val="24"/>
    </w:rPr>
  </w:style>
  <w:style w:type="character" w:customStyle="1" w:styleId="75">
    <w:name w:val="标题 6 字符"/>
    <w:link w:val="5"/>
    <w:autoRedefine/>
    <w:qFormat/>
    <w:uiPriority w:val="0"/>
    <w:rPr>
      <w:rFonts w:ascii="Arial" w:hAnsi="Arial" w:eastAsia="黑体"/>
      <w:b/>
      <w:bCs/>
      <w:kern w:val="2"/>
      <w:sz w:val="24"/>
      <w:szCs w:val="24"/>
    </w:rPr>
  </w:style>
  <w:style w:type="character" w:customStyle="1" w:styleId="76">
    <w:name w:val="Plain Text Char Char"/>
    <w:link w:val="47"/>
    <w:autoRedefine/>
    <w:qFormat/>
    <w:uiPriority w:val="0"/>
    <w:rPr>
      <w:rFonts w:ascii="宋体" w:hAnsi="Courier New"/>
    </w:rPr>
  </w:style>
  <w:style w:type="character" w:customStyle="1" w:styleId="77">
    <w:name w:val="B表头 Char Char"/>
    <w:link w:val="48"/>
    <w:autoRedefine/>
    <w:qFormat/>
    <w:uiPriority w:val="0"/>
    <w:rPr>
      <w:rFonts w:eastAsia="黑体"/>
      <w:kern w:val="2"/>
      <w:sz w:val="24"/>
      <w:szCs w:val="24"/>
      <w:lang w:val="en-US" w:eastAsia="zh-CN" w:bidi="ar-SA"/>
    </w:rPr>
  </w:style>
  <w:style w:type="character" w:customStyle="1" w:styleId="78">
    <w:name w:val="B表格文字 Char Char"/>
    <w:link w:val="49"/>
    <w:autoRedefine/>
    <w:qFormat/>
    <w:uiPriority w:val="0"/>
    <w:rPr>
      <w:kern w:val="2"/>
      <w:sz w:val="21"/>
      <w:szCs w:val="24"/>
      <w:lang w:val="en-US" w:eastAsia="zh-CN" w:bidi="ar-SA"/>
    </w:rPr>
  </w:style>
  <w:style w:type="character" w:customStyle="1" w:styleId="79">
    <w:name w:val="批注文字 字符"/>
    <w:link w:val="11"/>
    <w:autoRedefine/>
    <w:qFormat/>
    <w:uiPriority w:val="0"/>
    <w:rPr>
      <w:kern w:val="2"/>
      <w:sz w:val="21"/>
    </w:rPr>
  </w:style>
  <w:style w:type="paragraph" w:customStyle="1" w:styleId="80">
    <w:name w:val="表格文字"/>
    <w:autoRedefine/>
    <w:qFormat/>
    <w:uiPriority w:val="0"/>
    <w:pPr>
      <w:adjustRightInd w:val="0"/>
      <w:snapToGrid w:val="0"/>
      <w:spacing w:before="40" w:after="40"/>
      <w:jc w:val="center"/>
    </w:pPr>
    <w:rPr>
      <w:rFonts w:ascii="Times New Roman" w:hAnsi="Times New Roman" w:eastAsia="宋体" w:cs="Times New Roman"/>
      <w:kern w:val="2"/>
      <w:sz w:val="21"/>
      <w:szCs w:val="21"/>
      <w:lang w:val="en-US" w:eastAsia="zh-CN" w:bidi="ar-SA"/>
    </w:rPr>
  </w:style>
  <w:style w:type="paragraph" w:customStyle="1" w:styleId="81">
    <w:name w:val="p0"/>
    <w:basedOn w:val="1"/>
    <w:autoRedefine/>
    <w:qFormat/>
    <w:uiPriority w:val="0"/>
    <w:pPr>
      <w:widowControl/>
    </w:pPr>
    <w:rPr>
      <w:kern w:val="0"/>
      <w:szCs w:val="21"/>
    </w:rPr>
  </w:style>
  <w:style w:type="character" w:customStyle="1" w:styleId="82">
    <w:name w:val="表头 Char Char"/>
    <w:link w:val="83"/>
    <w:autoRedefine/>
    <w:qFormat/>
    <w:uiPriority w:val="0"/>
    <w:rPr>
      <w:b/>
      <w:kern w:val="2"/>
      <w:sz w:val="24"/>
      <w:szCs w:val="24"/>
      <w:lang w:val="en-US" w:eastAsia="zh-CN" w:bidi="ar-SA"/>
    </w:rPr>
  </w:style>
  <w:style w:type="paragraph" w:customStyle="1" w:styleId="83">
    <w:name w:val="表头"/>
    <w:link w:val="82"/>
    <w:autoRedefine/>
    <w:qFormat/>
    <w:uiPriority w:val="0"/>
    <w:pPr>
      <w:tabs>
        <w:tab w:val="left" w:pos="7380"/>
      </w:tabs>
      <w:snapToGrid w:val="0"/>
      <w:jc w:val="center"/>
    </w:pPr>
    <w:rPr>
      <w:rFonts w:ascii="Times New Roman" w:hAnsi="Times New Roman" w:eastAsia="宋体" w:cs="Times New Roman"/>
      <w:b/>
      <w:kern w:val="2"/>
      <w:sz w:val="24"/>
      <w:szCs w:val="24"/>
      <w:lang w:val="en-US" w:eastAsia="zh-CN" w:bidi="ar-SA"/>
    </w:rPr>
  </w:style>
  <w:style w:type="paragraph" w:customStyle="1" w:styleId="84">
    <w:name w:val="样式 小四 行距: 1.5 倍行距"/>
    <w:basedOn w:val="1"/>
    <w:autoRedefine/>
    <w:qFormat/>
    <w:uiPriority w:val="0"/>
    <w:pPr>
      <w:spacing w:line="360" w:lineRule="auto"/>
      <w:ind w:firstLine="200" w:firstLineChars="200"/>
    </w:pPr>
    <w:rPr>
      <w:rFonts w:cs="宋体"/>
      <w:sz w:val="24"/>
    </w:rPr>
  </w:style>
  <w:style w:type="paragraph" w:customStyle="1" w:styleId="85">
    <w:name w:val="xl27"/>
    <w:basedOn w:val="1"/>
    <w:autoRedefine/>
    <w:qFormat/>
    <w:uiPriority w:val="0"/>
    <w:pPr>
      <w:widowControl/>
      <w:pBdr>
        <w:left w:val="single" w:color="auto" w:sz="4" w:space="0"/>
        <w:right w:val="single" w:color="auto" w:sz="4" w:space="0"/>
      </w:pBdr>
      <w:spacing w:before="100" w:beforeAutospacing="1" w:after="100" w:afterAutospacing="1"/>
      <w:jc w:val="center"/>
      <w:textAlignment w:val="center"/>
    </w:pPr>
    <w:rPr>
      <w:rFonts w:hint="eastAsia" w:ascii="宋体" w:hAnsi="宋体"/>
      <w:kern w:val="0"/>
      <w:sz w:val="24"/>
    </w:rPr>
  </w:style>
  <w:style w:type="character" w:customStyle="1" w:styleId="86">
    <w:name w:val="正文（首行缩进两字） Char Char"/>
    <w:autoRedefine/>
    <w:qFormat/>
    <w:uiPriority w:val="0"/>
    <w:rPr>
      <w:kern w:val="2"/>
      <w:sz w:val="24"/>
    </w:rPr>
  </w:style>
  <w:style w:type="character" w:customStyle="1" w:styleId="87">
    <w:name w:val="正文文本缩进 Char1"/>
    <w:autoRedefine/>
    <w:qFormat/>
    <w:uiPriority w:val="0"/>
    <w:rPr>
      <w:kern w:val="2"/>
      <w:sz w:val="24"/>
      <w:szCs w:val="24"/>
    </w:rPr>
  </w:style>
  <w:style w:type="character" w:customStyle="1" w:styleId="88">
    <w:name w:val="注释标题 字符"/>
    <w:link w:val="7"/>
    <w:autoRedefine/>
    <w:qFormat/>
    <w:uiPriority w:val="0"/>
    <w:rPr>
      <w:kern w:val="2"/>
      <w:sz w:val="24"/>
      <w:lang w:eastAsia="en-US" w:bidi="en-US"/>
    </w:rPr>
  </w:style>
  <w:style w:type="paragraph" w:customStyle="1" w:styleId="89">
    <w:name w:val="Char Char Char Char Char2 Char"/>
    <w:basedOn w:val="1"/>
    <w:autoRedefine/>
    <w:semiHidden/>
    <w:qFormat/>
    <w:uiPriority w:val="0"/>
    <w:pPr>
      <w:adjustRightInd w:val="0"/>
      <w:snapToGrid w:val="0"/>
      <w:spacing w:line="360" w:lineRule="auto"/>
      <w:ind w:firstLine="200" w:firstLineChars="200"/>
    </w:pPr>
    <w:rPr>
      <w:rFonts w:ascii="宋体" w:hAnsi="宋体" w:cs="宋体"/>
      <w:sz w:val="24"/>
      <w:szCs w:val="26"/>
    </w:rPr>
  </w:style>
  <w:style w:type="character" w:customStyle="1" w:styleId="90">
    <w:name w:val="正文文本缩进 2 字符"/>
    <w:link w:val="19"/>
    <w:autoRedefine/>
    <w:qFormat/>
    <w:uiPriority w:val="0"/>
    <w:rPr>
      <w:kern w:val="2"/>
      <w:sz w:val="24"/>
      <w:szCs w:val="24"/>
    </w:rPr>
  </w:style>
  <w:style w:type="paragraph" w:customStyle="1" w:styleId="91">
    <w:name w:val="正文文本缩进1"/>
    <w:basedOn w:val="1"/>
    <w:autoRedefine/>
    <w:unhideWhenUsed/>
    <w:qFormat/>
    <w:uiPriority w:val="0"/>
    <w:pPr>
      <w:spacing w:line="440" w:lineRule="exact"/>
      <w:ind w:firstLine="527"/>
    </w:pPr>
    <w:rPr>
      <w:rFonts w:hint="eastAsia" w:ascii="宋体"/>
      <w:sz w:val="24"/>
      <w:szCs w:val="24"/>
    </w:rPr>
  </w:style>
  <w:style w:type="paragraph" w:customStyle="1" w:styleId="92">
    <w:name w:val="Char"/>
    <w:basedOn w:val="1"/>
    <w:autoRedefine/>
    <w:qFormat/>
    <w:uiPriority w:val="0"/>
    <w:pPr>
      <w:widowControl/>
      <w:spacing w:after="160" w:line="240" w:lineRule="exact"/>
      <w:jc w:val="center"/>
    </w:pPr>
    <w:rPr>
      <w:szCs w:val="24"/>
    </w:rPr>
  </w:style>
  <w:style w:type="paragraph" w:customStyle="1" w:styleId="93">
    <w:name w:val="Char4 Char Char Char Char Char Char1"/>
    <w:basedOn w:val="1"/>
    <w:autoRedefine/>
    <w:qFormat/>
    <w:uiPriority w:val="0"/>
    <w:pPr>
      <w:spacing w:line="360" w:lineRule="auto"/>
      <w:ind w:firstLine="200" w:firstLineChars="200"/>
    </w:pPr>
    <w:rPr>
      <w:rFonts w:ascii="宋体" w:hAnsi="宋体" w:cs="宋体"/>
      <w:sz w:val="24"/>
      <w:szCs w:val="24"/>
    </w:rPr>
  </w:style>
  <w:style w:type="paragraph" w:styleId="94">
    <w:name w:val="List Paragraph"/>
    <w:basedOn w:val="1"/>
    <w:autoRedefine/>
    <w:qFormat/>
    <w:uiPriority w:val="34"/>
    <w:pPr>
      <w:ind w:firstLine="420" w:firstLineChars="200"/>
    </w:pPr>
    <w:rPr>
      <w:sz w:val="24"/>
      <w:szCs w:val="24"/>
    </w:rPr>
  </w:style>
  <w:style w:type="paragraph" w:customStyle="1" w:styleId="95">
    <w:name w:val="Char Char Char1 Char Char Char Char"/>
    <w:basedOn w:val="1"/>
    <w:autoRedefine/>
    <w:qFormat/>
    <w:uiPriority w:val="0"/>
    <w:rPr>
      <w:szCs w:val="24"/>
    </w:rPr>
  </w:style>
  <w:style w:type="character" w:customStyle="1" w:styleId="96">
    <w:name w:val="aa正文 Char"/>
    <w:link w:val="97"/>
    <w:autoRedefine/>
    <w:qFormat/>
    <w:uiPriority w:val="0"/>
    <w:rPr>
      <w:bCs/>
      <w:snapToGrid w:val="0"/>
      <w:color w:val="000000"/>
      <w:sz w:val="24"/>
      <w:szCs w:val="24"/>
    </w:rPr>
  </w:style>
  <w:style w:type="paragraph" w:customStyle="1" w:styleId="97">
    <w:name w:val="aa正文"/>
    <w:basedOn w:val="1"/>
    <w:link w:val="96"/>
    <w:autoRedefine/>
    <w:qFormat/>
    <w:uiPriority w:val="0"/>
    <w:pPr>
      <w:topLinePunct/>
      <w:spacing w:line="500" w:lineRule="exact"/>
      <w:ind w:firstLine="200" w:firstLineChars="200"/>
      <w:textAlignment w:val="baseline"/>
    </w:pPr>
    <w:rPr>
      <w:bCs/>
      <w:snapToGrid w:val="0"/>
      <w:color w:val="000000"/>
      <w:kern w:val="0"/>
      <w:sz w:val="24"/>
      <w:szCs w:val="24"/>
    </w:rPr>
  </w:style>
  <w:style w:type="character" w:customStyle="1" w:styleId="98">
    <w:name w:val="纯文本 Char1"/>
    <w:autoRedefine/>
    <w:qFormat/>
    <w:uiPriority w:val="0"/>
    <w:rPr>
      <w:rFonts w:ascii="宋体" w:hAnsi="Courier New"/>
      <w:kern w:val="2"/>
      <w:sz w:val="28"/>
      <w:szCs w:val="21"/>
    </w:rPr>
  </w:style>
  <w:style w:type="paragraph" w:customStyle="1" w:styleId="99">
    <w:name w:val="Char4 Char Char Char Char Char Char11"/>
    <w:basedOn w:val="1"/>
    <w:autoRedefine/>
    <w:qFormat/>
    <w:uiPriority w:val="0"/>
    <w:pPr>
      <w:spacing w:line="360" w:lineRule="auto"/>
      <w:ind w:firstLine="200" w:firstLineChars="200"/>
    </w:pPr>
    <w:rPr>
      <w:rFonts w:ascii="宋体" w:hAnsi="宋体" w:cs="宋体"/>
      <w:sz w:val="24"/>
      <w:szCs w:val="24"/>
    </w:rPr>
  </w:style>
  <w:style w:type="character" w:customStyle="1" w:styleId="100">
    <w:name w:val="B表格文字 Char"/>
    <w:autoRedefine/>
    <w:qFormat/>
    <w:uiPriority w:val="0"/>
    <w:rPr>
      <w:kern w:val="2"/>
      <w:sz w:val="21"/>
      <w:szCs w:val="24"/>
      <w:lang w:val="en-US" w:eastAsia="zh-CN" w:bidi="ar-SA"/>
    </w:rPr>
  </w:style>
  <w:style w:type="character" w:customStyle="1" w:styleId="101">
    <w:name w:val="B表头 Char"/>
    <w:autoRedefine/>
    <w:qFormat/>
    <w:uiPriority w:val="0"/>
    <w:rPr>
      <w:rFonts w:eastAsia="黑体"/>
      <w:kern w:val="2"/>
      <w:sz w:val="24"/>
      <w:szCs w:val="24"/>
      <w:lang w:val="en-US" w:eastAsia="zh-CN" w:bidi="ar-SA"/>
    </w:rPr>
  </w:style>
  <w:style w:type="paragraph" w:customStyle="1" w:styleId="102">
    <w:name w:val="Default"/>
    <w:autoRedefine/>
    <w:qFormat/>
    <w:uiPriority w:val="0"/>
    <w:pPr>
      <w:widowControl w:val="0"/>
      <w:autoSpaceDE w:val="0"/>
      <w:autoSpaceDN w:val="0"/>
      <w:adjustRightInd w:val="0"/>
    </w:pPr>
    <w:rPr>
      <w:rFonts w:ascii="宋体" w:hAnsi="宋体" w:eastAsia="宋体" w:cs="宋体"/>
      <w:color w:val="000000"/>
      <w:sz w:val="24"/>
      <w:szCs w:val="24"/>
      <w:lang w:val="en-US" w:eastAsia="zh-CN" w:bidi="ar-SA"/>
    </w:rPr>
  </w:style>
  <w:style w:type="paragraph" w:customStyle="1" w:styleId="103">
    <w:name w:val="表格题目"/>
    <w:basedOn w:val="1"/>
    <w:next w:val="1"/>
    <w:autoRedefine/>
    <w:qFormat/>
    <w:uiPriority w:val="0"/>
    <w:pPr>
      <w:adjustRightInd w:val="0"/>
      <w:spacing w:beforeLines="50" w:afterLines="100" w:line="360" w:lineRule="auto"/>
      <w:ind w:right="109" w:rightChars="109"/>
      <w:jc w:val="center"/>
      <w:textAlignment w:val="baseline"/>
    </w:pPr>
    <w:rPr>
      <w:bCs/>
      <w:sz w:val="24"/>
      <w:szCs w:val="22"/>
    </w:rPr>
  </w:style>
  <w:style w:type="paragraph" w:customStyle="1" w:styleId="104">
    <w:name w:val="C图表标题"/>
    <w:basedOn w:val="1"/>
    <w:autoRedefine/>
    <w:qFormat/>
    <w:uiPriority w:val="0"/>
    <w:pPr>
      <w:jc w:val="center"/>
    </w:pPr>
    <w:rPr>
      <w:b/>
    </w:rPr>
  </w:style>
  <w:style w:type="paragraph" w:customStyle="1" w:styleId="105">
    <w:name w:val="zw"/>
    <w:basedOn w:val="1"/>
    <w:autoRedefine/>
    <w:qFormat/>
    <w:uiPriority w:val="0"/>
    <w:pPr>
      <w:shd w:val="clear" w:color="auto" w:fill="FFFFFF"/>
      <w:adjustRightInd w:val="0"/>
      <w:snapToGrid w:val="0"/>
      <w:spacing w:line="360" w:lineRule="auto"/>
      <w:ind w:firstLine="200" w:firstLineChars="200"/>
    </w:pPr>
    <w:rPr>
      <w:snapToGrid w:val="0"/>
      <w:kern w:val="0"/>
      <w:sz w:val="24"/>
    </w:rPr>
  </w:style>
  <w:style w:type="paragraph" w:customStyle="1" w:styleId="106">
    <w:name w:val="表格"/>
    <w:basedOn w:val="1"/>
    <w:autoRedefine/>
    <w:qFormat/>
    <w:uiPriority w:val="0"/>
    <w:pPr>
      <w:keepNext/>
      <w:adjustRightInd w:val="0"/>
      <w:spacing w:line="312" w:lineRule="atLeast"/>
      <w:jc w:val="center"/>
      <w:textAlignment w:val="baseline"/>
    </w:pPr>
    <w:rPr>
      <w:kern w:val="0"/>
    </w:rPr>
  </w:style>
  <w:style w:type="paragraph" w:customStyle="1" w:styleId="107">
    <w:name w:val="表格1"/>
    <w:basedOn w:val="1"/>
    <w:autoRedefine/>
    <w:qFormat/>
    <w:uiPriority w:val="0"/>
    <w:pPr>
      <w:adjustRightInd w:val="0"/>
      <w:spacing w:line="360" w:lineRule="atLeast"/>
      <w:jc w:val="center"/>
      <w:textAlignment w:val="baseline"/>
    </w:pPr>
    <w:rPr>
      <w:rFonts w:ascii="CG Times (WN)"/>
      <w:spacing w:val="6"/>
    </w:rPr>
  </w:style>
  <w:style w:type="paragraph" w:customStyle="1" w:styleId="108">
    <w:name w:val="报告"/>
    <w:basedOn w:val="1"/>
    <w:autoRedefine/>
    <w:qFormat/>
    <w:uiPriority w:val="0"/>
    <w:pPr>
      <w:adjustRightInd w:val="0"/>
      <w:ind w:firstLine="505"/>
      <w:textAlignment w:val="center"/>
    </w:pPr>
    <w:rPr>
      <w:rFonts w:ascii="TimesNewRoman" w:hAnsi="TimesNewRoman"/>
    </w:rPr>
  </w:style>
  <w:style w:type="paragraph" w:customStyle="1" w:styleId="109">
    <w:name w:val="Body text|2"/>
    <w:basedOn w:val="1"/>
    <w:autoRedefine/>
    <w:qFormat/>
    <w:uiPriority w:val="0"/>
    <w:pPr>
      <w:shd w:val="clear" w:color="auto" w:fill="FFFFFF"/>
      <w:spacing w:before="560" w:line="419" w:lineRule="exact"/>
      <w:ind w:firstLine="460"/>
      <w:jc w:val="distribute"/>
    </w:pPr>
    <w:rPr>
      <w:rFonts w:ascii="PMingLiU" w:hAnsi="PMingLiU" w:eastAsia="PMingLiU" w:cs="PMingLiU"/>
      <w:sz w:val="19"/>
      <w:szCs w:val="19"/>
    </w:rPr>
  </w:style>
  <w:style w:type="paragraph" w:customStyle="1" w:styleId="110">
    <w:name w:val="无间隔1"/>
    <w:qFormat/>
    <w:uiPriority w:val="99"/>
    <w:pPr>
      <w:widowControl w:val="0"/>
      <w:spacing w:line="20" w:lineRule="atLeast"/>
      <w:jc w:val="center"/>
    </w:pPr>
    <w:rPr>
      <w:rFonts w:ascii="Times New Roman" w:hAnsi="Times New Roman" w:eastAsia="宋体" w:cs="Times New Roman"/>
      <w:kern w:val="2"/>
      <w:sz w:val="21"/>
      <w:szCs w:val="22"/>
      <w:lang w:val="en-US" w:eastAsia="zh-CN" w:bidi="ar-SA"/>
    </w:rPr>
  </w:style>
  <w:style w:type="paragraph" w:customStyle="1" w:styleId="111">
    <w:name w:val="Revision"/>
    <w:hidden/>
    <w:unhideWhenUsed/>
    <w:qFormat/>
    <w:uiPriority w:val="99"/>
    <w:rPr>
      <w:rFonts w:ascii="Times New Roman" w:hAnsi="Times New Roman" w:eastAsia="宋体" w:cs="Times New Roman"/>
      <w:kern w:val="2"/>
      <w:sz w:val="21"/>
      <w:lang w:val="en-US" w:eastAsia="zh-CN" w:bidi="ar-SA"/>
    </w:rPr>
  </w:style>
  <w:style w:type="paragraph" w:customStyle="1" w:styleId="112">
    <w:name w:val="可研正文"/>
    <w:basedOn w:val="1"/>
    <w:qFormat/>
    <w:uiPriority w:val="0"/>
    <w:pPr>
      <w:adjustRightInd w:val="0"/>
      <w:snapToGrid w:val="0"/>
      <w:spacing w:line="360" w:lineRule="auto"/>
      <w:ind w:firstLine="480" w:firstLineChars="200"/>
    </w:pPr>
    <w:rPr>
      <w:rFonts w:ascii="宋体" w:hAnsi="Arial" w:cs="Arial"/>
      <w:sz w:val="24"/>
      <w:szCs w:val="24"/>
    </w:rPr>
  </w:style>
  <w:style w:type="paragraph" w:customStyle="1" w:styleId="113">
    <w:name w:val="1正文版式"/>
    <w:basedOn w:val="1"/>
    <w:qFormat/>
    <w:uiPriority w:val="0"/>
    <w:pPr>
      <w:tabs>
        <w:tab w:val="left" w:pos="3514"/>
      </w:tabs>
    </w:pPr>
    <w:rPr>
      <w:rFonts w:cs="方正藏文新白体_Unicode"/>
      <w:sz w:val="24"/>
      <w:szCs w:val="24"/>
    </w:rPr>
  </w:style>
  <w:style w:type="paragraph" w:customStyle="1" w:styleId="114">
    <w:name w:val="表内"/>
    <w:basedOn w:val="1"/>
    <w:qFormat/>
    <w:uiPriority w:val="0"/>
    <w:pPr>
      <w:widowControl/>
      <w:adjustRightInd w:val="0"/>
      <w:snapToGrid w:val="0"/>
      <w:spacing w:line="240" w:lineRule="auto"/>
      <w:ind w:firstLine="0" w:firstLineChars="0"/>
      <w:jc w:val="center"/>
    </w:pPr>
    <w:rPr>
      <w:rFonts w:cs="宋体"/>
      <w:kern w:val="0"/>
      <w:sz w:val="18"/>
      <w:szCs w:val="21"/>
    </w:rPr>
  </w:style>
  <w:style w:type="paragraph" w:customStyle="1" w:styleId="115">
    <w:name w:val="表头-L"/>
    <w:basedOn w:val="1"/>
    <w:next w:val="116"/>
    <w:qFormat/>
    <w:uiPriority w:val="0"/>
    <w:pPr>
      <w:spacing w:line="240" w:lineRule="auto"/>
      <w:ind w:firstLine="0" w:firstLineChars="0"/>
      <w:jc w:val="center"/>
    </w:pPr>
    <w:rPr>
      <w:b/>
    </w:rPr>
  </w:style>
  <w:style w:type="paragraph" w:customStyle="1" w:styleId="116">
    <w:name w:val="表格-L"/>
    <w:basedOn w:val="1"/>
    <w:qFormat/>
    <w:uiPriority w:val="0"/>
    <w:pPr>
      <w:spacing w:line="240" w:lineRule="auto"/>
      <w:ind w:firstLine="0" w:firstLineChars="0"/>
      <w:jc w:val="center"/>
    </w:pPr>
    <w:rPr>
      <w:rFonts w:ascii="Times New Roman" w:hAnsi="Times New Roman"/>
      <w:sz w:val="18"/>
    </w:rPr>
  </w:style>
  <w:style w:type="paragraph" w:customStyle="1" w:styleId="117">
    <w:name w:val="表图名"/>
    <w:basedOn w:val="1"/>
    <w:qFormat/>
    <w:uiPriority w:val="0"/>
    <w:pPr>
      <w:adjustRightInd w:val="0"/>
      <w:snapToGrid w:val="0"/>
      <w:ind w:firstLine="0" w:firstLineChars="0"/>
      <w:jc w:val="center"/>
    </w:pPr>
    <w:rPr>
      <w:rFonts w:cs="黑体"/>
      <w:b/>
      <w:snapToGrid w:val="0"/>
    </w:rPr>
  </w:style>
  <w:style w:type="paragraph" w:customStyle="1" w:styleId="118">
    <w:name w:val="文本-L"/>
    <w:basedOn w:val="1"/>
    <w:next w:val="1"/>
    <w:qFormat/>
    <w:uiPriority w:val="0"/>
    <w:pPr>
      <w:wordWrap w:val="0"/>
    </w:pPr>
    <w:rPr>
      <w:rFonts w:ascii="Times New Roman" w:hAnsi="Times New Roman"/>
      <w:kern w:val="0"/>
    </w:rPr>
  </w:style>
  <w:style w:type="paragraph" w:customStyle="1" w:styleId="119">
    <w:name w:val="表文"/>
    <w:basedOn w:val="1"/>
    <w:next w:val="8"/>
    <w:qFormat/>
    <w:uiPriority w:val="0"/>
    <w:pPr>
      <w:spacing w:line="240" w:lineRule="auto"/>
      <w:ind w:firstLine="0" w:firstLineChars="0"/>
      <w:jc w:val="center"/>
    </w:pPr>
    <w:rPr>
      <w:sz w:val="18"/>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2.xml"/><Relationship Id="rId39" Type="http://schemas.openxmlformats.org/officeDocument/2006/relationships/fontTable" Target="fontTable.xml"/><Relationship Id="rId38" Type="http://schemas.openxmlformats.org/officeDocument/2006/relationships/customXml" Target="../customXml/item2.xml"/><Relationship Id="rId37" Type="http://schemas.openxmlformats.org/officeDocument/2006/relationships/numbering" Target="numbering.xml"/><Relationship Id="rId36" Type="http://schemas.openxmlformats.org/officeDocument/2006/relationships/customXml" Target="../customXml/item1.xml"/><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er" Target="footer1.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customShpInfo spid="_x0000_s1027"/>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DD34A24-E709-4400-A1D6-6CD78F5EF77E}">
  <ds:schemaRefs/>
</ds:datastoreItem>
</file>

<file path=docProps/app.xml><?xml version="1.0" encoding="utf-8"?>
<Properties xmlns="http://schemas.openxmlformats.org/officeDocument/2006/extended-properties" xmlns:vt="http://schemas.openxmlformats.org/officeDocument/2006/docPropsVTypes">
  <Template>Normal</Template>
  <Company>中国石油大学</Company>
  <Pages>45</Pages>
  <Words>4716</Words>
  <Characters>5166</Characters>
  <Lines>287</Lines>
  <Paragraphs>80</Paragraphs>
  <TotalTime>0</TotalTime>
  <ScaleCrop>false</ScaleCrop>
  <LinksUpToDate>false</LinksUpToDate>
  <CharactersWithSpaces>5272</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2021-11-11T02:18:00Z</dcterms:created>
  <dc:creator>Tian</dc:creator>
  <cp:lastModifiedBy>Dumb</cp:lastModifiedBy>
  <dcterms:modified xsi:type="dcterms:W3CDTF">2025-12-20T09:34:18Z</dcterms:modified>
  <dc:title>一、前言</dc:title>
  <cp:revision>539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88ED773821CD411892032A1C9B2FBAC7_12</vt:lpwstr>
  </property>
  <property fmtid="{D5CDD505-2E9C-101B-9397-08002B2CF9AE}" pid="4" name="KSOTemplateDocerSaveRecord">
    <vt:lpwstr>eyJoZGlkIjoiNTU0ZmIwYTQ3NzlmZGUxZmU3Zjk0M2IyZTNmM2IxNjAiLCJ1c2VySWQiOiIxNTcwMjU3MDc3In0=</vt:lpwstr>
  </property>
</Properties>
</file>